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both"/>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center"/>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center"/>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adjustRightInd/>
        <w:snapToGrid/>
        <w:spacing w:afterAutospacing="0" w:line="560" w:lineRule="exact"/>
        <w:ind w:firstLine="0" w:firstLineChars="0"/>
        <w:jc w:val="center"/>
        <w:textAlignment w:val="auto"/>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adjustRightInd/>
        <w:snapToGrid/>
        <w:spacing w:afterAutospacing="0" w:line="560" w:lineRule="exact"/>
        <w:ind w:firstLine="0" w:firstLineChars="0"/>
        <w:jc w:val="center"/>
        <w:textAlignment w:val="auto"/>
        <w:rPr>
          <w:rFonts w:ascii="华文中宋" w:hAnsi="华文中宋" w:eastAsia="华文中宋" w:cs="华文中宋"/>
          <w:b/>
          <w:kern w:val="0"/>
          <w:sz w:val="44"/>
          <w:szCs w:val="44"/>
        </w:rPr>
      </w:pPr>
      <w:r>
        <w:rPr>
          <w:rFonts w:hint="eastAsia" w:ascii="华文中宋" w:hAnsi="华文中宋" w:eastAsia="华文中宋" w:cs="华文中宋"/>
          <w:b/>
          <w:kern w:val="0"/>
          <w:sz w:val="44"/>
          <w:szCs w:val="44"/>
        </w:rPr>
        <w:t>《上海市</w:t>
      </w:r>
      <w:r>
        <w:rPr>
          <w:rFonts w:hint="eastAsia" w:ascii="华文中宋" w:hAnsi="华文中宋" w:eastAsia="华文中宋" w:cs="华文中宋"/>
          <w:b/>
          <w:kern w:val="0"/>
          <w:sz w:val="44"/>
          <w:szCs w:val="44"/>
          <w:lang w:val="en-US" w:eastAsia="zh-CN"/>
        </w:rPr>
        <w:t>市场监督管理行政处罚程序规定</w:t>
      </w:r>
      <w:r>
        <w:rPr>
          <w:rFonts w:hint="eastAsia" w:ascii="华文中宋" w:hAnsi="华文中宋" w:eastAsia="华文中宋" w:cs="华文中宋"/>
          <w:b/>
          <w:kern w:val="0"/>
          <w:sz w:val="44"/>
          <w:szCs w:val="44"/>
        </w:rPr>
        <w:t>》立法后评估报告</w:t>
      </w: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both"/>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center"/>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center"/>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center"/>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center"/>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spacing w:afterAutospacing="0" w:line="560" w:lineRule="exact"/>
        <w:ind w:firstLine="0" w:firstLineChars="0"/>
        <w:jc w:val="center"/>
        <w:rPr>
          <w:rFonts w:ascii="华文中宋" w:hAnsi="华文中宋" w:eastAsia="华文中宋" w:cs="华文中宋"/>
          <w:b/>
          <w:kern w:val="0"/>
          <w:sz w:val="32"/>
          <w:szCs w:val="32"/>
        </w:rPr>
      </w:pPr>
    </w:p>
    <w:p>
      <w:pPr>
        <w:keepNext w:val="0"/>
        <w:keepLines w:val="0"/>
        <w:pageBreakBefore w:val="0"/>
        <w:widowControl/>
        <w:pBdr>
          <w:bottom w:val="single" w:color="EEEEEE" w:sz="4" w:space="0"/>
        </w:pBdr>
        <w:kinsoku/>
        <w:wordWrap/>
        <w:overflowPunct/>
        <w:topLinePunct w:val="0"/>
        <w:autoSpaceDE/>
        <w:autoSpaceDN/>
        <w:bidi w:val="0"/>
        <w:adjustRightInd/>
        <w:snapToGrid/>
        <w:spacing w:afterAutospacing="0" w:line="560" w:lineRule="exact"/>
        <w:ind w:firstLine="0" w:firstLineChars="0"/>
        <w:jc w:val="center"/>
        <w:textAlignment w:val="auto"/>
        <w:rPr>
          <w:rFonts w:ascii="楷体" w:hAnsi="楷体" w:eastAsia="楷体" w:cs="楷体"/>
          <w:b/>
          <w:kern w:val="0"/>
          <w:sz w:val="32"/>
          <w:szCs w:val="32"/>
        </w:rPr>
      </w:pPr>
      <w:r>
        <w:rPr>
          <w:rFonts w:hint="eastAsia" w:ascii="楷体" w:hAnsi="楷体" w:eastAsia="楷体" w:cs="楷体"/>
          <w:b/>
          <w:kern w:val="0"/>
          <w:sz w:val="32"/>
          <w:szCs w:val="32"/>
        </w:rPr>
        <w:t>上海市行政法治研究所</w:t>
      </w:r>
    </w:p>
    <w:p>
      <w:pPr>
        <w:keepNext w:val="0"/>
        <w:keepLines w:val="0"/>
        <w:pageBreakBefore w:val="0"/>
        <w:widowControl/>
        <w:pBdr>
          <w:bottom w:val="single" w:color="EEEEEE" w:sz="4" w:space="0"/>
        </w:pBdr>
        <w:kinsoku/>
        <w:wordWrap/>
        <w:overflowPunct/>
        <w:topLinePunct w:val="0"/>
        <w:autoSpaceDE/>
        <w:autoSpaceDN/>
        <w:bidi w:val="0"/>
        <w:adjustRightInd/>
        <w:snapToGrid/>
        <w:spacing w:afterAutospacing="0" w:line="560" w:lineRule="exact"/>
        <w:ind w:firstLine="0" w:firstLineChars="0"/>
        <w:jc w:val="center"/>
        <w:textAlignment w:val="auto"/>
        <w:rPr>
          <w:rFonts w:ascii="楷体" w:hAnsi="楷体" w:eastAsia="楷体" w:cs="楷体"/>
          <w:b/>
          <w:kern w:val="0"/>
          <w:sz w:val="32"/>
          <w:szCs w:val="32"/>
        </w:rPr>
      </w:pPr>
      <w:r>
        <w:rPr>
          <w:rFonts w:hint="eastAsia" w:ascii="楷体" w:hAnsi="楷体" w:eastAsia="楷体" w:cs="楷体"/>
          <w:b/>
          <w:kern w:val="0"/>
          <w:sz w:val="32"/>
          <w:szCs w:val="32"/>
        </w:rPr>
        <w:t>评估组</w:t>
      </w:r>
    </w:p>
    <w:p>
      <w:pPr>
        <w:keepNext w:val="0"/>
        <w:keepLines w:val="0"/>
        <w:pageBreakBefore w:val="0"/>
        <w:widowControl/>
        <w:pBdr>
          <w:bottom w:val="single" w:color="EEEEEE" w:sz="4" w:space="0"/>
        </w:pBdr>
        <w:kinsoku/>
        <w:wordWrap/>
        <w:overflowPunct/>
        <w:topLinePunct w:val="0"/>
        <w:autoSpaceDE/>
        <w:autoSpaceDN/>
        <w:bidi w:val="0"/>
        <w:adjustRightInd/>
        <w:snapToGrid/>
        <w:spacing w:afterAutospacing="0" w:line="560" w:lineRule="exact"/>
        <w:ind w:firstLine="0" w:firstLineChars="0"/>
        <w:jc w:val="center"/>
        <w:textAlignment w:val="auto"/>
        <w:rPr>
          <w:rFonts w:hint="eastAsia" w:ascii="楷体" w:hAnsi="楷体" w:eastAsia="楷体" w:cs="楷体"/>
          <w:b/>
          <w:kern w:val="0"/>
          <w:sz w:val="32"/>
          <w:szCs w:val="32"/>
        </w:rPr>
      </w:pPr>
      <w:r>
        <w:rPr>
          <w:rFonts w:hint="eastAsia" w:ascii="楷体" w:hAnsi="楷体" w:eastAsia="楷体" w:cs="楷体"/>
          <w:b/>
          <w:kern w:val="0"/>
          <w:sz w:val="32"/>
          <w:szCs w:val="32"/>
        </w:rPr>
        <w:t>2021年7</w:t>
      </w:r>
    </w:p>
    <w:p>
      <w:pPr>
        <w:rPr>
          <w:rFonts w:hint="eastAsia" w:ascii="楷体" w:hAnsi="楷体" w:eastAsia="楷体" w:cs="楷体"/>
          <w:b/>
          <w:kern w:val="0"/>
          <w:sz w:val="32"/>
          <w:szCs w:val="32"/>
        </w:rPr>
      </w:pPr>
      <w:r>
        <w:rPr>
          <w:rFonts w:hint="eastAsia" w:ascii="楷体" w:hAnsi="楷体" w:eastAsia="楷体" w:cs="楷体"/>
          <w:b/>
          <w:kern w:val="0"/>
          <w:sz w:val="32"/>
          <w:szCs w:val="32"/>
        </w:rPr>
        <w:br w:type="page"/>
      </w:r>
    </w:p>
    <w:sdt>
      <w:sdtPr>
        <w:rPr>
          <w:rFonts w:ascii="宋体" w:hAnsi="宋体" w:eastAsia="宋体" w:cstheme="minorBidi"/>
          <w:kern w:val="2"/>
          <w:sz w:val="21"/>
          <w:szCs w:val="24"/>
          <w:lang w:val="en-US" w:eastAsia="zh-CN" w:bidi="ar-SA"/>
        </w:rPr>
        <w:id w:val="147458196"/>
        <w15:color w:val="DBDBDB"/>
        <w:docPartObj>
          <w:docPartGallery w:val="Table of Contents"/>
          <w:docPartUnique/>
        </w:docPartObj>
      </w:sdtPr>
      <w:sdtEndPr>
        <w:rPr>
          <w:rFonts w:hint="eastAsia" w:ascii="楷体" w:hAnsi="楷体" w:eastAsia="楷体" w:cs="楷体"/>
          <w:kern w:val="0"/>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8306"/>
            </w:tabs>
          </w:pPr>
          <w:bookmarkStart w:id="37" w:name="_GoBack"/>
          <w:bookmarkEnd w:id="37"/>
          <w:r>
            <w:rPr>
              <w:rFonts w:hint="eastAsia" w:ascii="楷体" w:hAnsi="楷体" w:eastAsia="楷体" w:cs="楷体"/>
              <w:b/>
              <w:kern w:val="0"/>
              <w:sz w:val="32"/>
              <w:szCs w:val="32"/>
            </w:rPr>
            <w:fldChar w:fldCharType="begin"/>
          </w:r>
          <w:r>
            <w:rPr>
              <w:rFonts w:hint="eastAsia" w:ascii="楷体" w:hAnsi="楷体" w:eastAsia="楷体" w:cs="楷体"/>
              <w:b/>
              <w:kern w:val="0"/>
              <w:sz w:val="32"/>
              <w:szCs w:val="32"/>
            </w:rPr>
            <w:instrText xml:space="preserve">TOC \o "1-3" \h \u </w:instrText>
          </w:r>
          <w:r>
            <w:rPr>
              <w:rFonts w:hint="eastAsia" w:ascii="楷体" w:hAnsi="楷体" w:eastAsia="楷体" w:cs="楷体"/>
              <w:b/>
              <w:kern w:val="0"/>
              <w:sz w:val="32"/>
              <w:szCs w:val="32"/>
            </w:rPr>
            <w:fldChar w:fldCharType="separate"/>
          </w: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_Toc30578 </w:instrText>
          </w:r>
          <w:r>
            <w:rPr>
              <w:rFonts w:hint="eastAsia" w:ascii="楷体" w:hAnsi="楷体" w:eastAsia="楷体" w:cs="楷体"/>
              <w:kern w:val="0"/>
              <w:szCs w:val="32"/>
            </w:rPr>
            <w:fldChar w:fldCharType="separate"/>
          </w:r>
          <w:r>
            <w:rPr>
              <w:rFonts w:hint="eastAsia"/>
              <w:lang w:eastAsia="zh-CN"/>
            </w:rPr>
            <w:t>前言</w:t>
          </w:r>
          <w:r>
            <w:tab/>
          </w:r>
          <w:r>
            <w:fldChar w:fldCharType="begin"/>
          </w:r>
          <w:r>
            <w:instrText xml:space="preserve"> PAGEREF _Toc30578 </w:instrText>
          </w:r>
          <w:r>
            <w:fldChar w:fldCharType="separate"/>
          </w:r>
          <w:r>
            <w:t>3</w:t>
          </w:r>
          <w:r>
            <w:fldChar w:fldCharType="end"/>
          </w:r>
          <w:r>
            <w:rPr>
              <w:rFonts w:hint="eastAsia" w:ascii="楷体" w:hAnsi="楷体" w:eastAsia="楷体" w:cs="楷体"/>
              <w:kern w:val="0"/>
              <w:szCs w:val="32"/>
            </w:rPr>
            <w:fldChar w:fldCharType="end"/>
          </w:r>
        </w:p>
        <w:p>
          <w:pPr>
            <w:pStyle w:val="8"/>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_Toc7418 </w:instrText>
          </w:r>
          <w:r>
            <w:rPr>
              <w:rFonts w:hint="eastAsia" w:ascii="楷体" w:hAnsi="楷体" w:eastAsia="楷体" w:cs="楷体"/>
              <w:kern w:val="0"/>
              <w:szCs w:val="32"/>
            </w:rPr>
            <w:fldChar w:fldCharType="separate"/>
          </w:r>
          <w:r>
            <w:rPr>
              <w:rFonts w:hint="eastAsia"/>
            </w:rPr>
            <w:t>一、评估工作概况</w:t>
          </w:r>
          <w:r>
            <w:tab/>
          </w:r>
          <w:r>
            <w:fldChar w:fldCharType="begin"/>
          </w:r>
          <w:r>
            <w:instrText xml:space="preserve"> PAGEREF _Toc7418 </w:instrText>
          </w:r>
          <w:r>
            <w:fldChar w:fldCharType="separate"/>
          </w:r>
          <w:r>
            <w:t>4</w:t>
          </w:r>
          <w:r>
            <w:fldChar w:fldCharType="end"/>
          </w:r>
          <w:r>
            <w:rPr>
              <w:rFonts w:hint="eastAsia" w:ascii="楷体" w:hAnsi="楷体" w:eastAsia="楷体" w:cs="楷体"/>
              <w:kern w:val="0"/>
              <w:szCs w:val="32"/>
            </w:rPr>
            <w:fldChar w:fldCharType="end"/>
          </w:r>
        </w:p>
        <w:p>
          <w:pPr>
            <w:pStyle w:val="11"/>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_Toc27515 </w:instrText>
          </w:r>
          <w:r>
            <w:rPr>
              <w:rFonts w:hint="eastAsia" w:ascii="楷体" w:hAnsi="楷体" w:eastAsia="楷体" w:cs="楷体"/>
              <w:kern w:val="0"/>
              <w:szCs w:val="32"/>
            </w:rPr>
            <w:fldChar w:fldCharType="separate"/>
          </w:r>
          <w:r>
            <w:rPr>
              <w:rFonts w:hint="eastAsia"/>
            </w:rPr>
            <w:t>（一）评估计划与进度</w:t>
          </w:r>
          <w:r>
            <w:tab/>
          </w:r>
          <w:r>
            <w:fldChar w:fldCharType="begin"/>
          </w:r>
          <w:r>
            <w:instrText xml:space="preserve"> PAGEREF _Toc27515 </w:instrText>
          </w:r>
          <w:r>
            <w:fldChar w:fldCharType="separate"/>
          </w:r>
          <w:r>
            <w:t>4</w:t>
          </w:r>
          <w:r>
            <w:fldChar w:fldCharType="end"/>
          </w:r>
          <w:r>
            <w:rPr>
              <w:rFonts w:hint="eastAsia" w:ascii="楷体" w:hAnsi="楷体" w:eastAsia="楷体" w:cs="楷体"/>
              <w:kern w:val="0"/>
              <w:szCs w:val="32"/>
            </w:rPr>
            <w:fldChar w:fldCharType="end"/>
          </w:r>
        </w:p>
        <w:p>
          <w:pPr>
            <w:pStyle w:val="11"/>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_Toc14237 </w:instrText>
          </w:r>
          <w:r>
            <w:rPr>
              <w:rFonts w:hint="eastAsia" w:ascii="楷体" w:hAnsi="楷体" w:eastAsia="楷体" w:cs="楷体"/>
              <w:kern w:val="0"/>
              <w:szCs w:val="32"/>
            </w:rPr>
            <w:fldChar w:fldCharType="separate"/>
          </w:r>
          <w:r>
            <w:rPr>
              <w:rFonts w:hint="eastAsia"/>
            </w:rPr>
            <w:t>（二）评估方法</w:t>
          </w:r>
          <w:r>
            <w:tab/>
          </w:r>
          <w:r>
            <w:fldChar w:fldCharType="begin"/>
          </w:r>
          <w:r>
            <w:instrText xml:space="preserve"> PAGEREF _Toc14237 </w:instrText>
          </w:r>
          <w:r>
            <w:fldChar w:fldCharType="separate"/>
          </w:r>
          <w:r>
            <w:t>4</w:t>
          </w:r>
          <w:r>
            <w:fldChar w:fldCharType="end"/>
          </w:r>
          <w:r>
            <w:rPr>
              <w:rFonts w:hint="eastAsia" w:ascii="楷体" w:hAnsi="楷体" w:eastAsia="楷体" w:cs="楷体"/>
              <w:kern w:val="0"/>
              <w:szCs w:val="32"/>
            </w:rPr>
            <w:fldChar w:fldCharType="end"/>
          </w:r>
        </w:p>
        <w:p>
          <w:pPr>
            <w:pStyle w:val="8"/>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_Toc3445 </w:instrText>
          </w:r>
          <w:r>
            <w:rPr>
              <w:rFonts w:hint="eastAsia" w:ascii="楷体" w:hAnsi="楷体" w:eastAsia="楷体" w:cs="楷体"/>
              <w:kern w:val="0"/>
              <w:szCs w:val="32"/>
            </w:rPr>
            <w:fldChar w:fldCharType="separate"/>
          </w:r>
          <w:r>
            <w:rPr>
              <w:rFonts w:hint="eastAsia"/>
            </w:rPr>
            <w:t>二、评估情况</w:t>
          </w:r>
          <w:r>
            <w:tab/>
          </w:r>
          <w:r>
            <w:fldChar w:fldCharType="begin"/>
          </w:r>
          <w:r>
            <w:instrText xml:space="preserve"> PAGEREF _Toc3445 </w:instrText>
          </w:r>
          <w:r>
            <w:fldChar w:fldCharType="separate"/>
          </w:r>
          <w:r>
            <w:t>5</w:t>
          </w:r>
          <w:r>
            <w:fldChar w:fldCharType="end"/>
          </w:r>
          <w:r>
            <w:rPr>
              <w:rFonts w:hint="eastAsia" w:ascii="楷体" w:hAnsi="楷体" w:eastAsia="楷体" w:cs="楷体"/>
              <w:kern w:val="0"/>
              <w:szCs w:val="32"/>
            </w:rPr>
            <w:fldChar w:fldCharType="end"/>
          </w:r>
        </w:p>
        <w:p>
          <w:pPr>
            <w:pStyle w:val="11"/>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_Toc31143 </w:instrText>
          </w:r>
          <w:r>
            <w:rPr>
              <w:rFonts w:hint="eastAsia" w:ascii="楷体" w:hAnsi="楷体" w:eastAsia="楷体" w:cs="楷体"/>
              <w:kern w:val="0"/>
              <w:szCs w:val="32"/>
            </w:rPr>
            <w:fldChar w:fldCharType="separate"/>
          </w:r>
          <w:r>
            <w:rPr>
              <w:rFonts w:hint="eastAsia"/>
            </w:rPr>
            <w:t>（一）总体评估结论</w:t>
          </w:r>
          <w:r>
            <w:tab/>
          </w:r>
          <w:r>
            <w:fldChar w:fldCharType="begin"/>
          </w:r>
          <w:r>
            <w:instrText xml:space="preserve"> PAGEREF _Toc31143 </w:instrText>
          </w:r>
          <w:r>
            <w:fldChar w:fldCharType="separate"/>
          </w:r>
          <w:r>
            <w:t>5</w:t>
          </w:r>
          <w:r>
            <w:fldChar w:fldCharType="end"/>
          </w:r>
          <w:r>
            <w:rPr>
              <w:rFonts w:hint="eastAsia" w:ascii="楷体" w:hAnsi="楷体" w:eastAsia="楷体" w:cs="楷体"/>
              <w:kern w:val="0"/>
              <w:szCs w:val="32"/>
            </w:rPr>
            <w:fldChar w:fldCharType="end"/>
          </w:r>
        </w:p>
        <w:p>
          <w:pPr>
            <w:pStyle w:val="11"/>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_Toc22161 </w:instrText>
          </w:r>
          <w:r>
            <w:rPr>
              <w:rFonts w:hint="eastAsia" w:ascii="楷体" w:hAnsi="楷体" w:eastAsia="楷体" w:cs="楷体"/>
              <w:kern w:val="0"/>
              <w:szCs w:val="32"/>
            </w:rPr>
            <w:fldChar w:fldCharType="separate"/>
          </w:r>
          <w:r>
            <w:rPr>
              <w:rFonts w:hint="eastAsia"/>
            </w:rPr>
            <w:t>（二）分指标评估</w:t>
          </w:r>
          <w:r>
            <w:tab/>
          </w:r>
          <w:r>
            <w:fldChar w:fldCharType="begin"/>
          </w:r>
          <w:r>
            <w:instrText xml:space="preserve"> PAGEREF _Toc22161 </w:instrText>
          </w:r>
          <w:r>
            <w:fldChar w:fldCharType="separate"/>
          </w:r>
          <w:r>
            <w:t>9</w:t>
          </w:r>
          <w:r>
            <w:fldChar w:fldCharType="end"/>
          </w:r>
          <w:r>
            <w:rPr>
              <w:rFonts w:hint="eastAsia" w:ascii="楷体" w:hAnsi="楷体" w:eastAsia="楷体" w:cs="楷体"/>
              <w:kern w:val="0"/>
              <w:szCs w:val="32"/>
            </w:rPr>
            <w:fldChar w:fldCharType="end"/>
          </w:r>
        </w:p>
        <w:p>
          <w:pPr>
            <w:pStyle w:val="5"/>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_Toc23363 </w:instrText>
          </w:r>
          <w:r>
            <w:rPr>
              <w:rFonts w:hint="eastAsia" w:ascii="楷体" w:hAnsi="楷体" w:eastAsia="楷体" w:cs="楷体"/>
              <w:kern w:val="0"/>
              <w:szCs w:val="32"/>
            </w:rPr>
            <w:fldChar w:fldCharType="separate"/>
          </w:r>
          <w:r>
            <w:t xml:space="preserve">1. </w:t>
          </w:r>
          <w:r>
            <w:rPr>
              <w:rFonts w:hint="eastAsia"/>
            </w:rPr>
            <w:t>关于立法的合法性【好</w:t>
          </w:r>
          <w:r>
            <w:t>】</w:t>
          </w:r>
          <w:r>
            <w:tab/>
          </w:r>
          <w:r>
            <w:fldChar w:fldCharType="begin"/>
          </w:r>
          <w:r>
            <w:instrText xml:space="preserve"> PAGEREF _Toc23363 </w:instrText>
          </w:r>
          <w:r>
            <w:fldChar w:fldCharType="separate"/>
          </w:r>
          <w:r>
            <w:t>10</w:t>
          </w:r>
          <w:r>
            <w:fldChar w:fldCharType="end"/>
          </w:r>
          <w:r>
            <w:rPr>
              <w:rFonts w:hint="eastAsia" w:ascii="楷体" w:hAnsi="楷体" w:eastAsia="楷体" w:cs="楷体"/>
              <w:kern w:val="0"/>
              <w:szCs w:val="32"/>
            </w:rPr>
            <w:fldChar w:fldCharType="end"/>
          </w:r>
        </w:p>
        <w:p>
          <w:pPr>
            <w:pStyle w:val="5"/>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_Toc15110 </w:instrText>
          </w:r>
          <w:r>
            <w:rPr>
              <w:rFonts w:hint="eastAsia" w:ascii="楷体" w:hAnsi="楷体" w:eastAsia="楷体" w:cs="楷体"/>
              <w:kern w:val="0"/>
              <w:szCs w:val="32"/>
            </w:rPr>
            <w:fldChar w:fldCharType="separate"/>
          </w:r>
          <w:r>
            <w:rPr>
              <w:rFonts w:hint="eastAsia"/>
            </w:rPr>
            <w:t>2. 关于立法的合理性【较好】</w:t>
          </w:r>
          <w:r>
            <w:tab/>
          </w:r>
          <w:r>
            <w:fldChar w:fldCharType="begin"/>
          </w:r>
          <w:r>
            <w:instrText xml:space="preserve"> PAGEREF _Toc15110 </w:instrText>
          </w:r>
          <w:r>
            <w:fldChar w:fldCharType="separate"/>
          </w:r>
          <w:r>
            <w:t>11</w:t>
          </w:r>
          <w:r>
            <w:fldChar w:fldCharType="end"/>
          </w:r>
          <w:r>
            <w:rPr>
              <w:rFonts w:hint="eastAsia" w:ascii="楷体" w:hAnsi="楷体" w:eastAsia="楷体" w:cs="楷体"/>
              <w:kern w:val="0"/>
              <w:szCs w:val="32"/>
            </w:rPr>
            <w:fldChar w:fldCharType="end"/>
          </w:r>
        </w:p>
        <w:p>
          <w:pPr>
            <w:pStyle w:val="5"/>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_Toc20898 </w:instrText>
          </w:r>
          <w:r>
            <w:rPr>
              <w:rFonts w:hint="eastAsia" w:ascii="楷体" w:hAnsi="楷体" w:eastAsia="楷体" w:cs="楷体"/>
              <w:kern w:val="0"/>
              <w:szCs w:val="32"/>
            </w:rPr>
            <w:fldChar w:fldCharType="separate"/>
          </w:r>
          <w:r>
            <w:rPr>
              <w:rFonts w:hint="eastAsia"/>
            </w:rPr>
            <w:t>3. 关于立法的科学性</w:t>
          </w:r>
          <w:r>
            <w:rPr>
              <w:rFonts w:hint="eastAsia"/>
              <w:lang w:eastAsia="zh-CN"/>
            </w:rPr>
            <w:t>【较好】</w:t>
          </w:r>
          <w:r>
            <w:tab/>
          </w:r>
          <w:r>
            <w:fldChar w:fldCharType="begin"/>
          </w:r>
          <w:r>
            <w:instrText xml:space="preserve"> PAGEREF _Toc20898 </w:instrText>
          </w:r>
          <w:r>
            <w:fldChar w:fldCharType="separate"/>
          </w:r>
          <w:r>
            <w:t>14</w:t>
          </w:r>
          <w:r>
            <w:fldChar w:fldCharType="end"/>
          </w:r>
          <w:r>
            <w:rPr>
              <w:rFonts w:hint="eastAsia" w:ascii="楷体" w:hAnsi="楷体" w:eastAsia="楷体" w:cs="楷体"/>
              <w:kern w:val="0"/>
              <w:szCs w:val="32"/>
            </w:rPr>
            <w:fldChar w:fldCharType="end"/>
          </w:r>
        </w:p>
        <w:p>
          <w:pPr>
            <w:pStyle w:val="5"/>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_Toc11729 </w:instrText>
          </w:r>
          <w:r>
            <w:rPr>
              <w:rFonts w:hint="eastAsia" w:ascii="楷体" w:hAnsi="楷体" w:eastAsia="楷体" w:cs="楷体"/>
              <w:kern w:val="0"/>
              <w:szCs w:val="32"/>
            </w:rPr>
            <w:fldChar w:fldCharType="separate"/>
          </w:r>
          <w:r>
            <w:rPr>
              <w:rFonts w:hint="eastAsia"/>
            </w:rPr>
            <w:t>4. 立法的实效性【较好】</w:t>
          </w:r>
          <w:r>
            <w:tab/>
          </w:r>
          <w:r>
            <w:fldChar w:fldCharType="begin"/>
          </w:r>
          <w:r>
            <w:instrText xml:space="preserve"> PAGEREF _Toc11729 </w:instrText>
          </w:r>
          <w:r>
            <w:fldChar w:fldCharType="separate"/>
          </w:r>
          <w:r>
            <w:t>15</w:t>
          </w:r>
          <w:r>
            <w:fldChar w:fldCharType="end"/>
          </w:r>
          <w:r>
            <w:rPr>
              <w:rFonts w:hint="eastAsia" w:ascii="楷体" w:hAnsi="楷体" w:eastAsia="楷体" w:cs="楷体"/>
              <w:kern w:val="0"/>
              <w:szCs w:val="32"/>
            </w:rPr>
            <w:fldChar w:fldCharType="end"/>
          </w:r>
        </w:p>
        <w:p>
          <w:pPr>
            <w:pStyle w:val="5"/>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_Toc13359 </w:instrText>
          </w:r>
          <w:r>
            <w:rPr>
              <w:rFonts w:hint="eastAsia" w:ascii="楷体" w:hAnsi="楷体" w:eastAsia="楷体" w:cs="楷体"/>
              <w:kern w:val="0"/>
              <w:szCs w:val="32"/>
            </w:rPr>
            <w:fldChar w:fldCharType="separate"/>
          </w:r>
          <w:r>
            <w:rPr>
              <w:rFonts w:hint="eastAsia" w:ascii="Calibri" w:hAnsi="Calibri" w:eastAsia="仿宋" w:cs="Calibri"/>
              <w:bCs/>
              <w:kern w:val="2"/>
              <w:szCs w:val="32"/>
              <w:lang w:val="en-US" w:eastAsia="zh-CN" w:bidi="ar-SA"/>
            </w:rPr>
            <w:t xml:space="preserve">5. </w:t>
          </w:r>
          <w:r>
            <w:rPr>
              <w:rFonts w:hint="eastAsia"/>
              <w:lang w:val="en-US" w:eastAsia="zh-CN"/>
            </w:rPr>
            <w:t>关于</w:t>
          </w:r>
          <w:r>
            <w:rPr>
              <w:rFonts w:hint="eastAsia" w:ascii="Calibri" w:hAnsi="Calibri" w:eastAsia="仿宋" w:cs="Calibri"/>
              <w:bCs/>
              <w:kern w:val="2"/>
              <w:szCs w:val="32"/>
              <w:lang w:val="en-US" w:eastAsia="zh-CN" w:bidi="ar-SA"/>
            </w:rPr>
            <w:t>立法的协调性【好】</w:t>
          </w:r>
          <w:r>
            <w:tab/>
          </w:r>
          <w:r>
            <w:fldChar w:fldCharType="begin"/>
          </w:r>
          <w:r>
            <w:instrText xml:space="preserve"> PAGEREF _Toc13359 </w:instrText>
          </w:r>
          <w:r>
            <w:fldChar w:fldCharType="separate"/>
          </w:r>
          <w:r>
            <w:t>17</w:t>
          </w:r>
          <w:r>
            <w:fldChar w:fldCharType="end"/>
          </w:r>
          <w:r>
            <w:rPr>
              <w:rFonts w:hint="eastAsia" w:ascii="楷体" w:hAnsi="楷体" w:eastAsia="楷体" w:cs="楷体"/>
              <w:kern w:val="0"/>
              <w:szCs w:val="32"/>
            </w:rPr>
            <w:fldChar w:fldCharType="end"/>
          </w:r>
        </w:p>
        <w:p>
          <w:pPr>
            <w:pStyle w:val="5"/>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_Toc8071 </w:instrText>
          </w:r>
          <w:r>
            <w:rPr>
              <w:rFonts w:hint="eastAsia" w:ascii="楷体" w:hAnsi="楷体" w:eastAsia="楷体" w:cs="楷体"/>
              <w:kern w:val="0"/>
              <w:szCs w:val="32"/>
            </w:rPr>
            <w:fldChar w:fldCharType="separate"/>
          </w:r>
          <w:r>
            <w:rPr>
              <w:rFonts w:hint="eastAsia"/>
              <w:lang w:val="en-US" w:eastAsia="zh-CN"/>
            </w:rPr>
            <w:t>6. 关于立法的技术【好】</w:t>
          </w:r>
          <w:r>
            <w:tab/>
          </w:r>
          <w:r>
            <w:fldChar w:fldCharType="begin"/>
          </w:r>
          <w:r>
            <w:instrText xml:space="preserve"> PAGEREF _Toc8071 </w:instrText>
          </w:r>
          <w:r>
            <w:fldChar w:fldCharType="separate"/>
          </w:r>
          <w:r>
            <w:t>19</w:t>
          </w:r>
          <w:r>
            <w:fldChar w:fldCharType="end"/>
          </w:r>
          <w:r>
            <w:rPr>
              <w:rFonts w:hint="eastAsia" w:ascii="楷体" w:hAnsi="楷体" w:eastAsia="楷体" w:cs="楷体"/>
              <w:kern w:val="0"/>
              <w:szCs w:val="32"/>
            </w:rPr>
            <w:fldChar w:fldCharType="end"/>
          </w:r>
        </w:p>
        <w:p>
          <w:pPr>
            <w:pStyle w:val="8"/>
            <w:tabs>
              <w:tab w:val="right" w:leader="dot" w:pos="8306"/>
            </w:tabs>
          </w:pPr>
          <w:r>
            <w:rPr>
              <w:rFonts w:hint="eastAsia" w:ascii="楷体" w:hAnsi="楷体" w:eastAsia="楷体" w:cs="楷体"/>
              <w:kern w:val="0"/>
              <w:szCs w:val="32"/>
            </w:rPr>
            <w:fldChar w:fldCharType="begin"/>
          </w:r>
          <w:r>
            <w:rPr>
              <w:rFonts w:hint="eastAsia" w:ascii="楷体" w:hAnsi="楷体" w:eastAsia="楷体" w:cs="楷体"/>
              <w:kern w:val="0"/>
              <w:szCs w:val="32"/>
            </w:rPr>
            <w:instrText xml:space="preserve"> HYPERLINK \l _Toc13465 </w:instrText>
          </w:r>
          <w:r>
            <w:rPr>
              <w:rFonts w:hint="eastAsia" w:ascii="楷体" w:hAnsi="楷体" w:eastAsia="楷体" w:cs="楷体"/>
              <w:kern w:val="0"/>
              <w:szCs w:val="32"/>
            </w:rPr>
            <w:fldChar w:fldCharType="separate"/>
          </w:r>
          <w:r>
            <w:rPr>
              <w:rFonts w:hint="eastAsia"/>
            </w:rPr>
            <w:t>三、评估建议</w:t>
          </w:r>
          <w:r>
            <w:tab/>
          </w:r>
          <w:r>
            <w:fldChar w:fldCharType="begin"/>
          </w:r>
          <w:r>
            <w:instrText xml:space="preserve"> PAGEREF _Toc13465 </w:instrText>
          </w:r>
          <w:r>
            <w:fldChar w:fldCharType="separate"/>
          </w:r>
          <w:r>
            <w:t>20</w:t>
          </w:r>
          <w:r>
            <w:fldChar w:fldCharType="end"/>
          </w:r>
          <w:r>
            <w:rPr>
              <w:rFonts w:hint="eastAsia" w:ascii="楷体" w:hAnsi="楷体" w:eastAsia="楷体" w:cs="楷体"/>
              <w:kern w:val="0"/>
              <w:szCs w:val="32"/>
            </w:rPr>
            <w:fldChar w:fldCharType="end"/>
          </w:r>
        </w:p>
        <w:p>
          <w:pPr>
            <w:keepNext w:val="0"/>
            <w:keepLines w:val="0"/>
            <w:pageBreakBefore w:val="0"/>
            <w:widowControl/>
            <w:pBdr>
              <w:bottom w:val="single" w:color="EEEEEE" w:sz="4" w:space="0"/>
            </w:pBdr>
            <w:kinsoku/>
            <w:wordWrap/>
            <w:overflowPunct/>
            <w:topLinePunct w:val="0"/>
            <w:autoSpaceDE/>
            <w:autoSpaceDN/>
            <w:bidi w:val="0"/>
            <w:adjustRightInd/>
            <w:snapToGrid/>
            <w:spacing w:afterAutospacing="0" w:line="560" w:lineRule="exact"/>
            <w:ind w:firstLine="0" w:firstLineChars="0"/>
            <w:jc w:val="center"/>
            <w:textAlignment w:val="auto"/>
            <w:rPr>
              <w:rFonts w:hint="eastAsia" w:ascii="楷体" w:hAnsi="楷体" w:eastAsia="楷体" w:cs="楷体"/>
              <w:b/>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楷体" w:hAnsi="楷体" w:eastAsia="楷体" w:cs="楷体"/>
              <w:kern w:val="0"/>
              <w:szCs w:val="32"/>
            </w:rPr>
            <w:fldChar w:fldCharType="end"/>
          </w:r>
        </w:p>
      </w:sdtContent>
    </w:sdt>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黑体" w:hAnsi="黑体" w:eastAsia="黑体" w:cs="黑体"/>
          <w:color w:val="424242"/>
          <w:sz w:val="32"/>
          <w:szCs w:val="32"/>
        </w:rPr>
      </w:pPr>
    </w:p>
    <w:p>
      <w:pPr>
        <w:pStyle w:val="2"/>
        <w:pageBreakBefore w:val="0"/>
        <w:kinsoku/>
        <w:wordWrap/>
        <w:overflowPunct/>
        <w:topLinePunct w:val="0"/>
        <w:autoSpaceDE/>
        <w:autoSpaceDN/>
        <w:bidi w:val="0"/>
        <w:spacing w:line="560" w:lineRule="exact"/>
        <w:ind w:firstLine="3855" w:firstLineChars="1200"/>
        <w:rPr>
          <w:rFonts w:hint="eastAsia"/>
          <w:lang w:eastAsia="zh-CN"/>
        </w:rPr>
      </w:pPr>
      <w:bookmarkStart w:id="0" w:name="_Toc30578"/>
      <w:r>
        <w:rPr>
          <w:rFonts w:hint="eastAsia"/>
          <w:lang w:eastAsia="zh-CN"/>
        </w:rPr>
        <w:t>前言</w:t>
      </w:r>
      <w:bookmarkEnd w:id="0"/>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baseline"/>
        <w:rPr>
          <w:rFonts w:hint="eastAsia" w:ascii="仿宋" w:hAnsi="仿宋" w:eastAsia="仿宋" w:cs="仿宋"/>
          <w:color w:val="424242"/>
          <w:sz w:val="32"/>
          <w:szCs w:val="32"/>
        </w:rPr>
      </w:pPr>
      <w:r>
        <w:rPr>
          <w:rFonts w:hint="eastAsia" w:ascii="仿宋" w:hAnsi="仿宋" w:eastAsia="仿宋" w:cs="仿宋"/>
          <w:color w:val="424242"/>
          <w:sz w:val="32"/>
          <w:szCs w:val="32"/>
        </w:rPr>
        <w:t>2016年8月29日，上海市人民政府发布了《上海市市场监督管理行政处罚程序规定》（以下简称《程序规定》），并于2016年11月1日正式施行。《程序规定》对本市场监督管理领域的行政处罚程序作出了系统性规定，推动了市场监督行政处罚在程序上的规范化运作。</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baseline"/>
        <w:rPr>
          <w:rFonts w:hint="eastAsia" w:ascii="仿宋" w:hAnsi="仿宋" w:eastAsia="仿宋" w:cs="仿宋"/>
          <w:color w:val="333333"/>
          <w:sz w:val="32"/>
          <w:szCs w:val="32"/>
          <w:shd w:val="clear" w:color="auto" w:fill="FFFFFF"/>
        </w:rPr>
      </w:pPr>
      <w:r>
        <w:rPr>
          <w:rFonts w:hint="eastAsia" w:ascii="仿宋" w:hAnsi="仿宋" w:eastAsia="仿宋" w:cs="仿宋"/>
          <w:color w:val="424242"/>
          <w:sz w:val="32"/>
          <w:szCs w:val="32"/>
        </w:rPr>
        <w:t>《程序规定》已实施近五年，取得了明显的成效。然而，作为《程序规定》主要立法依据的《行政处罚法》于在2017年和2021年两次修订。2018年，国家市场监督管理局颁布了《市场监督管理行政处罚程序暂行规定》，</w:t>
      </w:r>
      <w:r>
        <w:rPr>
          <w:rFonts w:hint="eastAsia" w:ascii="仿宋" w:hAnsi="仿宋" w:eastAsia="仿宋" w:cs="仿宋"/>
          <w:color w:val="333333"/>
          <w:sz w:val="32"/>
          <w:szCs w:val="32"/>
          <w:shd w:val="clear" w:color="auto" w:fill="FFFFFF"/>
        </w:rPr>
        <w:t>自2019年4月1日起施行。2021年，国家市场监督管理局又进一步对该规定进行了修订，名称中去掉了“暂行”二字。在这种情况下，就形成了行政基本法、部门规章和地方政府规章对同一事项在不同时期分别立法的现状。而本市的地方立法早于国家立法。</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baseline"/>
        <w:rPr>
          <w:rFonts w:hint="eastAsia" w:ascii="仿宋" w:hAnsi="仿宋" w:eastAsia="仿宋" w:cs="仿宋"/>
          <w:color w:val="424242"/>
          <w:sz w:val="32"/>
          <w:szCs w:val="32"/>
        </w:rPr>
      </w:pPr>
      <w:r>
        <w:rPr>
          <w:rFonts w:hint="eastAsia" w:ascii="仿宋" w:hAnsi="仿宋" w:eastAsia="仿宋" w:cs="仿宋"/>
          <w:color w:val="424242"/>
          <w:sz w:val="32"/>
          <w:szCs w:val="32"/>
        </w:rPr>
        <w:t>在上位法已经作出重大修订、国家部委规章规定又十分详尽的情况下，本市《程序规定》是否还有保留的必要性，是否需要启动立法废止程序。根据《上海市规章立法后评估办法》，市市场监督管理部门启动了对《程序规定》的立法后评估工作，以便为《程序规定》是修与废的立法决策提供必要的评估意见作为依据。</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baseline"/>
        <w:rPr>
          <w:rFonts w:ascii="仿宋" w:hAnsi="仿宋" w:eastAsia="仿宋" w:cs="仿宋"/>
          <w:color w:val="424242"/>
          <w:sz w:val="32"/>
          <w:szCs w:val="32"/>
        </w:rPr>
      </w:pPr>
      <w:r>
        <w:rPr>
          <w:rFonts w:hint="eastAsia" w:ascii="仿宋" w:hAnsi="仿宋" w:eastAsia="仿宋" w:cs="仿宋"/>
          <w:color w:val="424242"/>
          <w:sz w:val="32"/>
          <w:szCs w:val="32"/>
        </w:rPr>
        <w:t>受上海市市场监督管理局的委托，上海市行政法治研究所承担了《程序规定》的立法评估工作。本立法后评估报告分为三部分：第一部分是评估工作概况，简单介绍了评估计划、进度与评估方法；第二第部分是评估情况，是本立法评估报告的重点。评估组从总体评估和对照具体评估指标两个层面对《程序规定》立法及实施情况分别提出了评估意见；第三部分是评估建议，结合具体评估情况，综合考虑《程序规定》的实施情况，评估组对《程序规定》提出了应当废止的评估意见，并对予以废止的原因作出了说明。</w:t>
      </w:r>
    </w:p>
    <w:p>
      <w:pPr>
        <w:pStyle w:val="2"/>
        <w:pageBreakBefore w:val="0"/>
        <w:kinsoku/>
        <w:wordWrap/>
        <w:overflowPunct/>
        <w:topLinePunct w:val="0"/>
        <w:autoSpaceDE/>
        <w:autoSpaceDN/>
        <w:bidi w:val="0"/>
        <w:spacing w:line="560" w:lineRule="exact"/>
        <w:rPr>
          <w:rStyle w:val="18"/>
          <w:b/>
        </w:rPr>
      </w:pPr>
      <w:bookmarkStart w:id="1" w:name="_Toc7418"/>
      <w:r>
        <w:rPr>
          <w:rStyle w:val="18"/>
          <w:rFonts w:hint="eastAsia"/>
          <w:b/>
        </w:rPr>
        <w:t>一、评估工作概况</w:t>
      </w:r>
      <w:bookmarkEnd w:id="1"/>
    </w:p>
    <w:p>
      <w:pPr>
        <w:pStyle w:val="3"/>
        <w:pageBreakBefore w:val="0"/>
        <w:kinsoku/>
        <w:wordWrap/>
        <w:overflowPunct/>
        <w:topLinePunct w:val="0"/>
        <w:autoSpaceDE/>
        <w:autoSpaceDN/>
        <w:bidi w:val="0"/>
        <w:spacing w:line="560" w:lineRule="exact"/>
      </w:pPr>
      <w:bookmarkStart w:id="2" w:name="_Toc27515"/>
      <w:r>
        <w:rPr>
          <w:rFonts w:hint="eastAsia"/>
        </w:rPr>
        <w:t>（一）评估计划与进度</w:t>
      </w:r>
      <w:bookmarkEnd w:id="2"/>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color w:val="424242"/>
          <w:sz w:val="32"/>
          <w:szCs w:val="32"/>
        </w:rPr>
      </w:pPr>
      <w:r>
        <w:rPr>
          <w:rFonts w:hint="eastAsia" w:ascii="微软雅黑" w:hAnsi="微软雅黑" w:eastAsia="微软雅黑" w:cs="微软雅黑"/>
          <w:color w:val="424242"/>
          <w:sz w:val="32"/>
          <w:szCs w:val="32"/>
        </w:rPr>
        <w:t>  </w:t>
      </w:r>
      <w:r>
        <w:rPr>
          <w:rFonts w:hint="eastAsia" w:ascii="仿宋" w:hAnsi="仿宋" w:eastAsia="仿宋" w:cs="仿宋"/>
          <w:color w:val="424242"/>
          <w:sz w:val="32"/>
          <w:szCs w:val="32"/>
        </w:rPr>
        <w:t>评估工作主要分为以下三个阶段进行：一是部署阶段。2021年4月，评估组接到任务、与委托方对接后即制定了统一的评估工作方案，确定评估小组组成人员，完成评估的准备和部署。二是调研阶段。2021年5月-6月，根据评估工作方案，通过资料搜集、文本研究、相关专家访谈等多种方式，了解《程序规定》出台的背景、实施情况及与其他政府规范性文件的配套情况等。三是分析和撰写评估报告阶段。2021年7月，以目前立法后评估主要理论研究成果为依据，按评估单位的立法后评估框架体系，对调研资料进行汇总、梳理、分析，在此基础上，完成评估报告。</w:t>
      </w:r>
    </w:p>
    <w:p>
      <w:pPr>
        <w:pStyle w:val="3"/>
        <w:pageBreakBefore w:val="0"/>
        <w:kinsoku/>
        <w:wordWrap/>
        <w:overflowPunct/>
        <w:topLinePunct w:val="0"/>
        <w:autoSpaceDE/>
        <w:autoSpaceDN/>
        <w:bidi w:val="0"/>
        <w:spacing w:line="560" w:lineRule="exact"/>
      </w:pPr>
      <w:bookmarkStart w:id="3" w:name="_Toc14237"/>
      <w:r>
        <w:rPr>
          <w:rFonts w:hint="eastAsia"/>
        </w:rPr>
        <w:t>（二）评估方法</w:t>
      </w:r>
      <w:bookmarkEnd w:id="3"/>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color w:val="424242"/>
          <w:sz w:val="32"/>
          <w:szCs w:val="32"/>
        </w:rPr>
      </w:pPr>
      <w:r>
        <w:rPr>
          <w:rFonts w:hint="eastAsia" w:ascii="微软雅黑" w:hAnsi="微软雅黑" w:eastAsia="微软雅黑" w:cs="微软雅黑"/>
          <w:color w:val="424242"/>
          <w:sz w:val="32"/>
          <w:szCs w:val="32"/>
        </w:rPr>
        <w:t> </w:t>
      </w:r>
      <w:r>
        <w:rPr>
          <w:rFonts w:hint="eastAsia" w:ascii="仿宋" w:hAnsi="仿宋" w:eastAsia="仿宋" w:cs="仿宋"/>
          <w:color w:val="424242"/>
          <w:sz w:val="32"/>
          <w:szCs w:val="32"/>
        </w:rPr>
        <w:t> 本次评估主要采用了以下4种评估方式：</w:t>
      </w:r>
      <w:r>
        <w:rPr>
          <w:rFonts w:hint="eastAsia" w:ascii="仿宋" w:hAnsi="仿宋" w:eastAsia="仿宋" w:cs="仿宋"/>
          <w:b/>
          <w:bCs/>
          <w:color w:val="424242"/>
          <w:sz w:val="32"/>
          <w:szCs w:val="32"/>
        </w:rPr>
        <w:t>一是专家访谈。</w:t>
      </w:r>
      <w:r>
        <w:rPr>
          <w:rFonts w:hint="eastAsia" w:ascii="仿宋" w:hAnsi="仿宋" w:eastAsia="仿宋" w:cs="仿宋"/>
          <w:color w:val="424242"/>
          <w:sz w:val="32"/>
          <w:szCs w:val="32"/>
        </w:rPr>
        <w:t>依托评估单位的专家库，对政府法制领域长年从事立法工作的专家进行了个别访谈，全面了解《程序规定》的立法背景，阶段性作用以及对目前“一事多规”立法现状的处理意见。</w:t>
      </w:r>
      <w:r>
        <w:rPr>
          <w:rFonts w:hint="eastAsia" w:ascii="仿宋" w:hAnsi="仿宋" w:eastAsia="仿宋" w:cs="仿宋"/>
          <w:b/>
          <w:bCs/>
          <w:color w:val="424242"/>
          <w:sz w:val="32"/>
          <w:szCs w:val="32"/>
        </w:rPr>
        <w:t>二是召开座谈会</w:t>
      </w:r>
      <w:r>
        <w:rPr>
          <w:rFonts w:hint="eastAsia" w:ascii="仿宋" w:hAnsi="仿宋" w:eastAsia="仿宋" w:cs="仿宋"/>
          <w:color w:val="424242"/>
          <w:sz w:val="32"/>
          <w:szCs w:val="32"/>
        </w:rPr>
        <w:t>。组织本市主要区</w:t>
      </w:r>
      <w:r>
        <w:rPr>
          <w:rFonts w:hint="eastAsia" w:ascii="仿宋" w:hAnsi="仿宋" w:eastAsia="仿宋" w:cs="仿宋"/>
          <w:color w:val="424242"/>
          <w:sz w:val="32"/>
          <w:szCs w:val="32"/>
          <w:lang w:eastAsia="zh-CN"/>
        </w:rPr>
        <w:t>市场监督管理</w:t>
      </w:r>
      <w:r>
        <w:rPr>
          <w:rFonts w:hint="eastAsia" w:ascii="仿宋" w:hAnsi="仿宋" w:eastAsia="仿宋" w:cs="仿宋"/>
          <w:color w:val="424242"/>
          <w:sz w:val="32"/>
          <w:szCs w:val="32"/>
        </w:rPr>
        <w:t>部门的一线执法人员进行座谈，结合《程序规定》及执法实践，听取一线执法人员执法中遇到的有关程序方面的问题以及对《程序规定》立法（立改废）的建议。</w:t>
      </w:r>
      <w:r>
        <w:rPr>
          <w:rFonts w:hint="eastAsia" w:ascii="仿宋" w:hAnsi="仿宋" w:eastAsia="仿宋" w:cs="仿宋"/>
          <w:b/>
          <w:bCs/>
          <w:color w:val="424242"/>
          <w:sz w:val="32"/>
          <w:szCs w:val="32"/>
        </w:rPr>
        <w:t>三是比较分析</w:t>
      </w:r>
      <w:r>
        <w:rPr>
          <w:rFonts w:hint="eastAsia" w:ascii="仿宋" w:hAnsi="仿宋" w:eastAsia="仿宋" w:cs="仿宋"/>
          <w:color w:val="424242"/>
          <w:sz w:val="32"/>
          <w:szCs w:val="32"/>
        </w:rPr>
        <w:t>。将《办法》与上位法、同位阶规章、配套规范性文件等进行比较，并结合长三角一体化发展背景，与长三角其他地区行政处罚程序相关立法也进行了比对。</w:t>
      </w:r>
      <w:r>
        <w:rPr>
          <w:rFonts w:hint="eastAsia" w:ascii="仿宋" w:hAnsi="仿宋" w:eastAsia="仿宋" w:cs="仿宋"/>
          <w:b/>
          <w:color w:val="424242"/>
          <w:sz w:val="32"/>
          <w:szCs w:val="32"/>
        </w:rPr>
        <w:t>四是</w:t>
      </w:r>
      <w:r>
        <w:rPr>
          <w:rFonts w:hint="eastAsia" w:ascii="仿宋" w:hAnsi="仿宋" w:eastAsia="仿宋" w:cs="仿宋"/>
          <w:b/>
          <w:bCs/>
          <w:color w:val="424242"/>
          <w:sz w:val="32"/>
          <w:szCs w:val="32"/>
        </w:rPr>
        <w:t>典型案例分析。</w:t>
      </w:r>
      <w:r>
        <w:rPr>
          <w:rFonts w:hint="eastAsia" w:ascii="仿宋" w:hAnsi="仿宋" w:eastAsia="仿宋" w:cs="仿宋"/>
          <w:color w:val="424242"/>
          <w:sz w:val="32"/>
          <w:szCs w:val="32"/>
        </w:rPr>
        <w:t>收集有关行政执法程序的典型案例，分析《程序规定》在实际执法中的运用情况，判断其在目前</w:t>
      </w:r>
      <w:r>
        <w:rPr>
          <w:rFonts w:hint="eastAsia" w:ascii="仿宋" w:hAnsi="仿宋" w:eastAsia="仿宋" w:cs="仿宋"/>
          <w:color w:val="424242"/>
          <w:sz w:val="32"/>
          <w:szCs w:val="32"/>
          <w:lang w:eastAsia="zh-CN"/>
        </w:rPr>
        <w:t>市场监督管理</w:t>
      </w:r>
      <w:r>
        <w:rPr>
          <w:rFonts w:hint="eastAsia" w:ascii="仿宋" w:hAnsi="仿宋" w:eastAsia="仿宋" w:cs="仿宋"/>
          <w:color w:val="424242"/>
          <w:sz w:val="32"/>
          <w:szCs w:val="32"/>
        </w:rPr>
        <w:t>行政处罚中的作用。  </w:t>
      </w:r>
    </w:p>
    <w:p>
      <w:pPr>
        <w:pStyle w:val="2"/>
        <w:pageBreakBefore w:val="0"/>
        <w:kinsoku/>
        <w:wordWrap/>
        <w:overflowPunct/>
        <w:topLinePunct w:val="0"/>
        <w:autoSpaceDE/>
        <w:autoSpaceDN/>
        <w:bidi w:val="0"/>
        <w:spacing w:line="560" w:lineRule="exact"/>
        <w:rPr>
          <w:rFonts w:hint="eastAsia"/>
        </w:rPr>
      </w:pPr>
      <w:bookmarkStart w:id="4" w:name="_Toc3445"/>
      <w:r>
        <w:rPr>
          <w:rFonts w:hint="eastAsia"/>
        </w:rPr>
        <w:t>二、评估情况</w:t>
      </w:r>
      <w:bookmarkEnd w:id="4"/>
    </w:p>
    <w:p>
      <w:pPr>
        <w:pStyle w:val="3"/>
        <w:pageBreakBefore w:val="0"/>
        <w:kinsoku/>
        <w:wordWrap/>
        <w:overflowPunct/>
        <w:topLinePunct w:val="0"/>
        <w:autoSpaceDE/>
        <w:autoSpaceDN/>
        <w:bidi w:val="0"/>
        <w:spacing w:line="560" w:lineRule="exact"/>
      </w:pPr>
      <w:bookmarkStart w:id="5" w:name="_Toc31143"/>
      <w:r>
        <w:rPr>
          <w:rFonts w:hint="eastAsia"/>
        </w:rPr>
        <w:t>（一）总体评估结论</w:t>
      </w:r>
      <w:bookmarkEnd w:id="5"/>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color w:val="424242"/>
          <w:sz w:val="32"/>
          <w:szCs w:val="32"/>
        </w:rPr>
      </w:pPr>
      <w:r>
        <w:rPr>
          <w:rFonts w:hint="eastAsia" w:ascii="微软雅黑" w:hAnsi="微软雅黑" w:eastAsia="微软雅黑" w:cs="微软雅黑"/>
          <w:color w:val="424242"/>
          <w:sz w:val="32"/>
          <w:szCs w:val="32"/>
        </w:rPr>
        <w:t>  </w:t>
      </w:r>
      <w:r>
        <w:rPr>
          <w:rFonts w:hint="eastAsia" w:ascii="仿宋" w:hAnsi="仿宋" w:eastAsia="仿宋" w:cs="仿宋"/>
          <w:color w:val="424242"/>
          <w:sz w:val="32"/>
          <w:szCs w:val="32"/>
        </w:rPr>
        <w:t>在专题调研、专家座谈、立法比较分析等基础上，经过充分讨论，评估组一致认为，《程序规定》的出台，解决了原工商局、质监局、食药监局三局合并后行政处罚程序统一的问题，顺应了统一</w:t>
      </w:r>
      <w:r>
        <w:rPr>
          <w:rFonts w:hint="eastAsia" w:ascii="仿宋" w:hAnsi="仿宋" w:eastAsia="仿宋" w:cs="仿宋"/>
          <w:color w:val="424242"/>
          <w:sz w:val="32"/>
          <w:szCs w:val="32"/>
          <w:lang w:eastAsia="zh-CN"/>
        </w:rPr>
        <w:t>市场监督管理</w:t>
      </w:r>
      <w:r>
        <w:rPr>
          <w:rFonts w:hint="eastAsia" w:ascii="仿宋" w:hAnsi="仿宋" w:eastAsia="仿宋" w:cs="仿宋"/>
          <w:color w:val="424242"/>
          <w:sz w:val="32"/>
          <w:szCs w:val="32"/>
        </w:rPr>
        <w:t>的趋势和要求。《程序规定》系全国首创，是本市</w:t>
      </w:r>
      <w:r>
        <w:rPr>
          <w:rFonts w:hint="eastAsia" w:ascii="仿宋" w:hAnsi="仿宋" w:eastAsia="仿宋" w:cs="仿宋"/>
          <w:color w:val="424242"/>
          <w:sz w:val="32"/>
          <w:szCs w:val="32"/>
          <w:lang w:eastAsia="zh-CN"/>
        </w:rPr>
        <w:t>市场监督管理</w:t>
      </w:r>
      <w:r>
        <w:rPr>
          <w:rFonts w:hint="eastAsia" w:ascii="仿宋" w:hAnsi="仿宋" w:eastAsia="仿宋" w:cs="仿宋"/>
          <w:color w:val="424242"/>
          <w:sz w:val="32"/>
          <w:szCs w:val="32"/>
        </w:rPr>
        <w:t>领域高水平制度建设成果的体现。由于</w:t>
      </w:r>
      <w:r>
        <w:rPr>
          <w:rFonts w:hint="eastAsia" w:ascii="仿宋" w:hAnsi="仿宋" w:eastAsia="仿宋" w:cs="仿宋"/>
          <w:color w:val="424242"/>
          <w:sz w:val="32"/>
          <w:szCs w:val="32"/>
          <w:lang w:eastAsia="zh-CN"/>
        </w:rPr>
        <w:t>市场监督管理</w:t>
      </w:r>
      <w:r>
        <w:rPr>
          <w:rFonts w:hint="eastAsia" w:ascii="仿宋" w:hAnsi="仿宋" w:eastAsia="仿宋" w:cs="仿宋"/>
          <w:color w:val="424242"/>
          <w:sz w:val="32"/>
          <w:szCs w:val="32"/>
        </w:rPr>
        <w:t>领域的机构改革始于基层，为解决三局合一后基层执法标准不一，程序不同的迫切问题，本市在梳理整合原工商、质监和食药监三个领域相关法律法规规定的基础上，对原工商、质监和食药监有关立案、办理等时限的立法规定，在制定《程序规定》时，选取了其中最严格的规定，旨在自我加压，从严要求，以提高改革成效，立法理念先进，满足了立法当时的需要，具有一定的前瞻性。《程序规定》实施以来，基本实现了规范市场监督管理部门依法行使职权，保护公民、法人或者其他组织合法权益的立法目的，也为随后出台的国家层面相关立法，提供了扎实的地方经验，较好地完成了服务机构改革的既定历史任务。评估组对</w:t>
      </w:r>
      <w:r>
        <w:rPr>
          <w:rFonts w:hint="eastAsia" w:ascii="仿宋" w:hAnsi="仿宋" w:eastAsia="仿宋" w:cs="仿宋"/>
          <w:bCs/>
          <w:color w:val="424242"/>
          <w:sz w:val="32"/>
          <w:szCs w:val="32"/>
        </w:rPr>
        <w:t>《程序规定》的总体评估意见可以归纳概括为以下4点：</w:t>
      </w:r>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color w:val="424242"/>
          <w:sz w:val="32"/>
          <w:szCs w:val="32"/>
        </w:rPr>
      </w:pPr>
      <w:r>
        <w:rPr>
          <w:rFonts w:hint="eastAsia" w:ascii="微软雅黑" w:hAnsi="微软雅黑" w:eastAsia="微软雅黑" w:cs="微软雅黑"/>
          <w:color w:val="424242"/>
          <w:sz w:val="32"/>
          <w:szCs w:val="32"/>
        </w:rPr>
        <w:t>  </w:t>
      </w:r>
      <w:r>
        <w:rPr>
          <w:rFonts w:hint="eastAsia" w:ascii="仿宋" w:hAnsi="仿宋" w:eastAsia="仿宋" w:cs="仿宋"/>
          <w:b/>
          <w:bCs/>
          <w:color w:val="424242"/>
          <w:sz w:val="32"/>
          <w:szCs w:val="32"/>
        </w:rPr>
        <w:t>1.《程序规定》的不少内容被最新修订的《行政处罚法》所吸收，有的甚至是被整条吸收，显示了《程序规定》立法的先进性、科学性与前瞻性。比</w:t>
      </w:r>
      <w:r>
        <w:rPr>
          <w:rFonts w:hint="eastAsia" w:ascii="仿宋" w:hAnsi="仿宋" w:eastAsia="仿宋" w:cs="仿宋"/>
          <w:color w:val="424242"/>
          <w:sz w:val="32"/>
          <w:szCs w:val="32"/>
        </w:rPr>
        <w:t>如：本市《程序规定》第十条有关回避决定的规定、第十八条有关证据种类的规定、第四十一条有关行政处罚决定书内容包括不服行政处罚决定，申请行政复议或者提起行政诉讼的途径和期限</w:t>
      </w:r>
      <w:r>
        <w:rPr>
          <w:rFonts w:hint="eastAsia" w:ascii="仿宋" w:hAnsi="仿宋" w:eastAsia="仿宋" w:cs="仿宋"/>
          <w:color w:val="424242"/>
          <w:sz w:val="32"/>
          <w:szCs w:val="32"/>
          <w:lang w:eastAsia="zh-CN"/>
        </w:rPr>
        <w:t>的规定</w:t>
      </w:r>
      <w:r>
        <w:rPr>
          <w:rFonts w:hint="eastAsia" w:ascii="仿宋" w:hAnsi="仿宋" w:eastAsia="仿宋" w:cs="仿宋"/>
          <w:color w:val="424242"/>
          <w:sz w:val="32"/>
          <w:szCs w:val="32"/>
        </w:rPr>
        <w:t>等。</w:t>
      </w:r>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color w:val="424242"/>
          <w:sz w:val="32"/>
          <w:szCs w:val="32"/>
        </w:rPr>
      </w:pPr>
      <w:r>
        <w:rPr>
          <w:rFonts w:hint="eastAsia" w:ascii="仿宋" w:hAnsi="仿宋" w:eastAsia="仿宋" w:cs="仿宋"/>
          <w:color w:val="424242"/>
          <w:sz w:val="32"/>
          <w:szCs w:val="32"/>
        </w:rPr>
        <w:t xml:space="preserve">    2.</w:t>
      </w:r>
      <w:r>
        <w:rPr>
          <w:rFonts w:hint="eastAsia" w:ascii="仿宋" w:hAnsi="仿宋" w:eastAsia="仿宋" w:cs="仿宋"/>
          <w:b/>
          <w:bCs/>
          <w:color w:val="424242"/>
          <w:sz w:val="32"/>
          <w:szCs w:val="32"/>
        </w:rPr>
        <w:t>新修订的《行政处罚法》规定更加具体、详尽，致使《程序规定》的有些条款内容，与修订后的上位法出现不一致。</w:t>
      </w:r>
      <w:r>
        <w:rPr>
          <w:rFonts w:hint="eastAsia" w:ascii="仿宋" w:hAnsi="仿宋" w:eastAsia="仿宋" w:cs="仿宋"/>
          <w:color w:val="424242"/>
          <w:sz w:val="32"/>
          <w:szCs w:val="32"/>
        </w:rPr>
        <w:t>《程序规定》2016年出台，作为《程序规定》主要依据之一的《行政处罚法》分别在2017年和2021年两次进行修订。2017年的修订增加了行政处罚决定法制审核制度的相关规定，对审核人员的资质做出了明确要求；2021年的修订是对《行政处罚法》进行的整体上的大修。《程序规定》的不少内容与新修订的上位法出现了不一致，落后于新修订上位法的立法理念和目前行政执法体制改革的形势要求。比如：对于行政处罚决定的法制审核，《程序规定》第三十二条（审核）规定：“案件调查终结，办案机构应当将调查终结报告和相关材料送法制机构审核。”但是，《行政处罚法》第五十八条</w:t>
      </w:r>
      <w:bookmarkStart w:id="6" w:name="tiao_58_kuan_1"/>
      <w:bookmarkEnd w:id="6"/>
      <w:r>
        <w:rPr>
          <w:rFonts w:hint="eastAsia" w:ascii="仿宋" w:hAnsi="仿宋" w:eastAsia="仿宋" w:cs="仿宋"/>
          <w:color w:val="424242"/>
          <w:sz w:val="32"/>
          <w:szCs w:val="32"/>
        </w:rPr>
        <w:t>则规定只有在（一）涉及重大公共利益的；</w:t>
      </w:r>
      <w:bookmarkStart w:id="7" w:name="tiao_58_kuan_1_xiang_2"/>
      <w:bookmarkEnd w:id="7"/>
      <w:r>
        <w:rPr>
          <w:rFonts w:hint="eastAsia" w:ascii="仿宋" w:hAnsi="仿宋" w:eastAsia="仿宋" w:cs="仿宋"/>
          <w:color w:val="424242"/>
          <w:sz w:val="32"/>
          <w:szCs w:val="32"/>
        </w:rPr>
        <w:t>（二）直接关系当事人或者第三人重大权益，经过听证程序的；</w:t>
      </w:r>
      <w:bookmarkStart w:id="8" w:name="tiao_58_kuan_1_xiang_3"/>
      <w:bookmarkEnd w:id="8"/>
      <w:r>
        <w:rPr>
          <w:rFonts w:hint="eastAsia" w:ascii="仿宋" w:hAnsi="仿宋" w:eastAsia="仿宋" w:cs="仿宋"/>
          <w:color w:val="424242"/>
          <w:sz w:val="32"/>
          <w:szCs w:val="32"/>
        </w:rPr>
        <w:t>（三）案件情况疑难复杂、涉及多个法律关系的；</w:t>
      </w:r>
      <w:bookmarkStart w:id="9" w:name="tiao_58_kuan_1_xiang_4"/>
      <w:bookmarkEnd w:id="9"/>
      <w:r>
        <w:rPr>
          <w:rFonts w:hint="eastAsia" w:ascii="仿宋" w:hAnsi="仿宋" w:eastAsia="仿宋" w:cs="仿宋"/>
          <w:color w:val="424242"/>
          <w:sz w:val="32"/>
          <w:szCs w:val="32"/>
        </w:rPr>
        <w:t>（四）法律、法规规定应当进行法制审核的其他情形下，在行政机关负责人作出行政处罚的决定之前，应当由从事行政处罚决定法制审核的人员进行法制审核；未经法制审核或者审核未通过的，不得作出决定</w:t>
      </w:r>
      <w:bookmarkStart w:id="10" w:name="tiao_58_kuan_1_xiang_1"/>
      <w:bookmarkEnd w:id="10"/>
      <w:r>
        <w:rPr>
          <w:rFonts w:hint="eastAsia" w:ascii="仿宋" w:hAnsi="仿宋" w:eastAsia="仿宋" w:cs="仿宋"/>
          <w:color w:val="424242"/>
          <w:sz w:val="32"/>
          <w:szCs w:val="32"/>
        </w:rPr>
        <w:t>。当然，地方要求高于国家规定并无不当，只是该条第二款还强调：“</w:t>
      </w:r>
      <w:bookmarkStart w:id="11" w:name="tiao_58_kuan_2"/>
      <w:bookmarkEnd w:id="11"/>
      <w:r>
        <w:rPr>
          <w:rFonts w:hint="eastAsia" w:ascii="仿宋" w:hAnsi="仿宋" w:eastAsia="仿宋" w:cs="仿宋"/>
          <w:color w:val="424242"/>
          <w:sz w:val="32"/>
          <w:szCs w:val="32"/>
        </w:rPr>
        <w:t>行政机关中初次从事行政处罚决定法制审核的人员，应当通过国家统一法律职业资格考试取得法律职业资格。”对审核人员应具备的资质提出了更高的要求，该款内容虽然在老的《行政处罚法》中也有规定，但《程序规定》在立法时并未予以吸收。先制定出台的立法规范与后制定出台的立法规范出现不一致，甚至矛盾，虽然很正常，但也在一定程度上反映了《程序规定》修改或废止的必要性。</w:t>
      </w:r>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color w:val="424242"/>
          <w:sz w:val="32"/>
          <w:szCs w:val="32"/>
        </w:rPr>
      </w:pPr>
      <w:r>
        <w:rPr>
          <w:rFonts w:hint="eastAsia" w:ascii="仿宋" w:hAnsi="仿宋" w:eastAsia="仿宋" w:cs="仿宋"/>
          <w:color w:val="424242"/>
          <w:sz w:val="32"/>
          <w:szCs w:val="32"/>
        </w:rPr>
        <w:t xml:space="preserve">    </w:t>
      </w:r>
      <w:r>
        <w:rPr>
          <w:rFonts w:hint="eastAsia" w:ascii="仿宋" w:hAnsi="仿宋" w:eastAsia="仿宋" w:cs="仿宋"/>
          <w:b/>
          <w:bCs/>
          <w:color w:val="424242"/>
          <w:sz w:val="32"/>
          <w:szCs w:val="32"/>
        </w:rPr>
        <w:t>3.国家市场监督管理局颁布了《市场监督管理行政处罚程序暂行规定》，在全国范围内统一了行政处罚的程序规定。</w:t>
      </w:r>
      <w:r>
        <w:rPr>
          <w:rFonts w:hint="eastAsia" w:ascii="仿宋" w:hAnsi="仿宋" w:eastAsia="仿宋" w:cs="仿宋"/>
          <w:color w:val="424242"/>
          <w:sz w:val="32"/>
          <w:szCs w:val="32"/>
        </w:rPr>
        <w:t>作为行政处罚程序正义保障的规定，2018年国家市场监督管理局颁布了《市场监督管理行政处罚程序暂行规定》，表明国家市场监督管理部门在全国范围内统一规范市场</w:t>
      </w:r>
      <w:r>
        <w:rPr>
          <w:rFonts w:hint="eastAsia" w:ascii="仿宋" w:hAnsi="仿宋" w:eastAsia="仿宋" w:cs="仿宋"/>
          <w:color w:val="424242"/>
          <w:sz w:val="32"/>
          <w:szCs w:val="32"/>
          <w:lang w:eastAsia="zh-CN"/>
        </w:rPr>
        <w:t>监督</w:t>
      </w:r>
      <w:r>
        <w:rPr>
          <w:rFonts w:hint="eastAsia" w:ascii="仿宋" w:hAnsi="仿宋" w:eastAsia="仿宋" w:cs="仿宋"/>
          <w:color w:val="424242"/>
          <w:sz w:val="32"/>
          <w:szCs w:val="32"/>
        </w:rPr>
        <w:t>管</w:t>
      </w:r>
      <w:r>
        <w:rPr>
          <w:rFonts w:hint="eastAsia" w:ascii="仿宋" w:hAnsi="仿宋" w:eastAsia="仿宋" w:cs="仿宋"/>
          <w:color w:val="424242"/>
          <w:sz w:val="32"/>
          <w:szCs w:val="32"/>
          <w:lang w:eastAsia="zh-CN"/>
        </w:rPr>
        <w:t>理</w:t>
      </w:r>
      <w:r>
        <w:rPr>
          <w:rFonts w:hint="eastAsia" w:ascii="仿宋" w:hAnsi="仿宋" w:eastAsia="仿宋" w:cs="仿宋"/>
          <w:color w:val="424242"/>
          <w:sz w:val="32"/>
          <w:szCs w:val="32"/>
        </w:rPr>
        <w:t>领域各类行政处罚程序的意图。2021年，国家市场监督管理局又对《市场监督管理行政处罚程序暂行规定》再次进行修改，去除名称中的“暂行”二字，并对条文进行全面调整。本市的《程序规定》与《市场监督管理行政处罚程序暂行规定》虽然在体例结构和主要内容上大体一致，但是，在立案时间等具体规定上存在细微差异。由于《市场监督管理行政处罚程序暂行规定》总共七章八十七条，其内容规定较本市的《程序规定》更为具体，在2019年国家《市场监督管理行政处罚程序暂行规定》出台后，本市市场监督管理部门的行政执法人员基本是以《行政处罚法》《市场监督管理行政处罚程序暂行规定》作为行政处罚的主要依据，而本市的《程序规定》基本处于“闲置”状态。同时，在行政处罚程序规定上，由于国家部委规章和地方政府规章并存，导致管理相对人对行政处罚过程中依据适用的比对，也引发了关于法律适用问题的投诉举报。作为行政处罚的程序性规定，本市的《程序规定》基本不涉及实体规定，因此，需要彰显地方立法特色的规定并不多。在国家法治统一的大背景下，在国家部委规章已作出详尽规定的情形下，</w:t>
      </w:r>
      <w:r>
        <w:rPr>
          <w:rFonts w:hint="eastAsia" w:ascii="仿宋" w:hAnsi="仿宋" w:eastAsia="仿宋" w:cs="仿宋"/>
          <w:bCs/>
          <w:color w:val="424242"/>
          <w:sz w:val="32"/>
          <w:szCs w:val="32"/>
        </w:rPr>
        <w:t>地方政府规章就程序规定再进行实施性细化的实践并不多，</w:t>
      </w:r>
      <w:r>
        <w:rPr>
          <w:rFonts w:hint="eastAsia" w:ascii="仿宋" w:hAnsi="仿宋" w:eastAsia="仿宋" w:cs="仿宋"/>
          <w:color w:val="424242"/>
          <w:sz w:val="32"/>
          <w:szCs w:val="32"/>
        </w:rPr>
        <w:t>因为从保障国家统一市场秩序的角度，统一适用国家局规章，可以在地方各省市之间实现有关行政处罚的有效衔接，避免法律适用上的无序状态。</w:t>
      </w:r>
      <w:r>
        <w:rPr>
          <w:rFonts w:hint="eastAsia" w:ascii="仿宋" w:hAnsi="仿宋" w:eastAsia="仿宋" w:cs="仿宋"/>
          <w:bCs/>
          <w:color w:val="424242"/>
          <w:sz w:val="32"/>
          <w:szCs w:val="32"/>
        </w:rPr>
        <w:t>因此，</w:t>
      </w:r>
      <w:r>
        <w:rPr>
          <w:rFonts w:hint="eastAsia" w:ascii="仿宋" w:hAnsi="仿宋" w:eastAsia="仿宋" w:cs="仿宋"/>
          <w:color w:val="424242"/>
          <w:sz w:val="32"/>
          <w:szCs w:val="32"/>
        </w:rPr>
        <w:t>从执法实践的角度来看，</w:t>
      </w:r>
      <w:r>
        <w:rPr>
          <w:rFonts w:hint="eastAsia" w:ascii="仿宋" w:hAnsi="仿宋" w:eastAsia="仿宋" w:cs="仿宋"/>
          <w:bCs/>
          <w:color w:val="424242"/>
          <w:sz w:val="32"/>
          <w:szCs w:val="32"/>
        </w:rPr>
        <w:t>本市</w:t>
      </w:r>
      <w:r>
        <w:rPr>
          <w:rFonts w:hint="eastAsia" w:ascii="仿宋" w:hAnsi="仿宋" w:eastAsia="仿宋" w:cs="仿宋"/>
          <w:color w:val="424242"/>
          <w:sz w:val="32"/>
          <w:szCs w:val="32"/>
        </w:rPr>
        <w:t>《程序规定》继续保留的必要性进一步减弱。</w:t>
      </w:r>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color w:val="424242"/>
          <w:sz w:val="32"/>
          <w:szCs w:val="32"/>
        </w:rPr>
      </w:pPr>
      <w:r>
        <w:rPr>
          <w:rFonts w:hint="eastAsia" w:ascii="仿宋" w:hAnsi="仿宋" w:eastAsia="仿宋" w:cs="仿宋"/>
          <w:color w:val="424242"/>
          <w:sz w:val="32"/>
          <w:szCs w:val="32"/>
        </w:rPr>
        <w:t xml:space="preserve">    4.</w:t>
      </w:r>
      <w:r>
        <w:rPr>
          <w:rFonts w:hint="eastAsia" w:ascii="仿宋" w:hAnsi="仿宋" w:eastAsia="仿宋" w:cs="仿宋"/>
          <w:b/>
          <w:bCs/>
          <w:color w:val="424242"/>
          <w:sz w:val="32"/>
          <w:szCs w:val="32"/>
        </w:rPr>
        <w:t>从立法背景上看，《程序规定》服务于机构改革的历史使命已基本完成。</w:t>
      </w:r>
      <w:r>
        <w:rPr>
          <w:rFonts w:hint="eastAsia" w:ascii="仿宋" w:hAnsi="仿宋" w:eastAsia="仿宋" w:cs="仿宋"/>
          <w:bCs/>
          <w:color w:val="424242"/>
          <w:sz w:val="32"/>
          <w:szCs w:val="32"/>
        </w:rPr>
        <w:t>本市</w:t>
      </w:r>
      <w:r>
        <w:rPr>
          <w:rFonts w:hint="eastAsia" w:ascii="仿宋" w:hAnsi="仿宋" w:eastAsia="仿宋" w:cs="仿宋"/>
          <w:color w:val="424242"/>
          <w:sz w:val="32"/>
          <w:szCs w:val="32"/>
        </w:rPr>
        <w:t>《程序规定》的出台，很大程度上是满足机构改革的需要。在《程序规定》出台前，就行政处罚程序而言，上海市食品药品监督管理局颁布了关于印发《&lt;上海市食品药品监督管理局行政处罚程序规定&gt;的通知》（沪食药监法[2013]779号），上海市物价局颁布了《关于贯彻实施&lt;价格行政处罚程序规定&gt;》的通知（沪价检[2013]004号）。为配合机构改革，统一行政处罚程序，市工商行政管理局还颁布了关于实施《上海市市场监督管理行政处罚程序规定》的若干意见〔沪工商规[2017]1号〕。随着机构改革的完成，《程序规定》及其配套规范性文件的历史使命也基本完成。改革后的市场监督管理部门行政处罚标准、程序规定各异的情况已得到根本性解决。</w:t>
      </w:r>
    </w:p>
    <w:p>
      <w:pPr>
        <w:pStyle w:val="3"/>
        <w:pageBreakBefore w:val="0"/>
        <w:kinsoku/>
        <w:wordWrap/>
        <w:overflowPunct/>
        <w:topLinePunct w:val="0"/>
        <w:autoSpaceDE/>
        <w:autoSpaceDN/>
        <w:bidi w:val="0"/>
        <w:spacing w:line="560" w:lineRule="exact"/>
      </w:pPr>
      <w:bookmarkStart w:id="12" w:name="_Toc22161"/>
      <w:r>
        <w:rPr>
          <w:rFonts w:hint="eastAsia"/>
        </w:rPr>
        <w:t>（二）分指标评估</w:t>
      </w:r>
      <w:bookmarkEnd w:id="12"/>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rPr>
          <w:rFonts w:hint="eastAsia" w:ascii="仿宋" w:hAnsi="仿宋" w:eastAsia="仿宋" w:cs="仿宋"/>
          <w:sz w:val="32"/>
          <w:szCs w:val="32"/>
        </w:rPr>
      </w:pPr>
      <w:r>
        <w:rPr>
          <w:rFonts w:hint="eastAsia" w:ascii="仿宋" w:hAnsi="仿宋" w:eastAsia="仿宋" w:cs="仿宋"/>
          <w:sz w:val="32"/>
          <w:szCs w:val="32"/>
        </w:rPr>
        <w:t>在立法后评估中，评估指标是对评估对象进行定性或者定量分析并作出评价的依据。结合立法后评估的相关评估指标，根据《程序规定》作为地方政府程序性立法的实际，评估组选择了以下6项一级指标、18项二级指标作为对《程序规定》分项评估的具体评估指标（见表1），按照“好”“较好” “良好”“一般”“差”5个等级作出评价。</w:t>
      </w:r>
    </w:p>
    <w:p>
      <w:pPr>
        <w:keepNext w:val="0"/>
        <w:keepLines w:val="0"/>
        <w:pageBreakBefore w:val="0"/>
        <w:kinsoku/>
        <w:wordWrap/>
        <w:overflowPunct/>
        <w:topLinePunct w:val="0"/>
        <w:autoSpaceDE/>
        <w:autoSpaceDN/>
        <w:bidi w:val="0"/>
        <w:spacing w:afterAutospacing="0" w:line="560" w:lineRule="exact"/>
        <w:ind w:firstLine="640" w:firstLineChars="200"/>
        <w:rPr>
          <w:rFonts w:ascii="仿宋" w:hAnsi="仿宋" w:eastAsia="仿宋" w:cs="仿宋"/>
          <w:sz w:val="32"/>
          <w:szCs w:val="32"/>
        </w:rPr>
      </w:pPr>
    </w:p>
    <w:p>
      <w:pPr>
        <w:keepNext w:val="0"/>
        <w:keepLines w:val="0"/>
        <w:pageBreakBefore w:val="0"/>
        <w:kinsoku/>
        <w:wordWrap/>
        <w:overflowPunct/>
        <w:topLinePunct w:val="0"/>
        <w:autoSpaceDE/>
        <w:autoSpaceDN/>
        <w:bidi w:val="0"/>
        <w:spacing w:afterAutospacing="0" w:line="560" w:lineRule="exact"/>
        <w:ind w:firstLine="643" w:firstLineChars="200"/>
        <w:jc w:val="center"/>
        <w:rPr>
          <w:rFonts w:ascii="宋体" w:hAnsi="宋体" w:cs="楷体"/>
          <w:b/>
          <w:sz w:val="32"/>
          <w:szCs w:val="32"/>
        </w:rPr>
      </w:pPr>
      <w:r>
        <w:rPr>
          <w:rFonts w:hint="eastAsia" w:ascii="宋体" w:hAnsi="宋体" w:cs="楷体"/>
          <w:b/>
          <w:sz w:val="32"/>
          <w:szCs w:val="32"/>
        </w:rPr>
        <w:t>表1：评估指标</w:t>
      </w:r>
    </w:p>
    <w:tbl>
      <w:tblPr>
        <w:tblStyle w:val="13"/>
        <w:tblW w:w="7840"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keepNext w:val="0"/>
              <w:keepLines w:val="0"/>
              <w:pageBreakBefore w:val="0"/>
              <w:kinsoku/>
              <w:wordWrap/>
              <w:overflowPunct/>
              <w:topLinePunct w:val="0"/>
              <w:autoSpaceDE/>
              <w:autoSpaceDN/>
              <w:bidi w:val="0"/>
              <w:adjustRightInd w:val="0"/>
              <w:snapToGrid w:val="0"/>
              <w:spacing w:afterAutospacing="0" w:line="560" w:lineRule="exact"/>
              <w:rPr>
                <w:rFonts w:ascii="楷体" w:hAnsi="楷体" w:eastAsia="楷体" w:cs="华文楷体"/>
                <w:b/>
                <w:sz w:val="32"/>
                <w:szCs w:val="32"/>
              </w:rPr>
            </w:pPr>
            <w:r>
              <w:rPr>
                <w:rFonts w:hint="eastAsia" w:ascii="楷体" w:hAnsi="楷体" w:eastAsia="楷体" w:cs="华文楷体"/>
                <w:b/>
                <w:sz w:val="32"/>
                <w:szCs w:val="32"/>
              </w:rPr>
              <w:t>一级指标</w:t>
            </w:r>
          </w:p>
        </w:tc>
        <w:tc>
          <w:tcPr>
            <w:tcW w:w="6110" w:type="dxa"/>
          </w:tcPr>
          <w:p>
            <w:pPr>
              <w:keepNext w:val="0"/>
              <w:keepLines w:val="0"/>
              <w:pageBreakBefore w:val="0"/>
              <w:kinsoku/>
              <w:wordWrap/>
              <w:overflowPunct/>
              <w:topLinePunct w:val="0"/>
              <w:autoSpaceDE/>
              <w:autoSpaceDN/>
              <w:bidi w:val="0"/>
              <w:adjustRightInd w:val="0"/>
              <w:snapToGrid w:val="0"/>
              <w:spacing w:afterAutospacing="0" w:line="560" w:lineRule="exact"/>
              <w:ind w:firstLine="2554" w:firstLineChars="795"/>
              <w:rPr>
                <w:rFonts w:ascii="楷体" w:hAnsi="楷体" w:eastAsia="楷体" w:cs="华文楷体"/>
                <w:b/>
                <w:sz w:val="32"/>
                <w:szCs w:val="32"/>
              </w:rPr>
            </w:pPr>
            <w:r>
              <w:rPr>
                <w:rFonts w:hint="eastAsia" w:ascii="楷体" w:hAnsi="楷体" w:eastAsia="楷体" w:cs="华文楷体"/>
                <w:b/>
                <w:sz w:val="32"/>
                <w:szCs w:val="32"/>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b/>
                <w:sz w:val="32"/>
                <w:szCs w:val="32"/>
              </w:rPr>
            </w:pPr>
            <w:r>
              <w:rPr>
                <w:rFonts w:hint="eastAsia" w:ascii="宋体" w:hAnsi="宋体"/>
                <w:b/>
                <w:sz w:val="32"/>
                <w:szCs w:val="32"/>
              </w:rPr>
              <w:t>合法性</w:t>
            </w:r>
          </w:p>
        </w:tc>
        <w:tc>
          <w:tcPr>
            <w:tcW w:w="611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sz w:val="32"/>
                <w:szCs w:val="32"/>
              </w:rPr>
            </w:pPr>
            <w:r>
              <w:rPr>
                <w:rFonts w:hint="eastAsia" w:ascii="宋体" w:hAnsi="宋体"/>
                <w:sz w:val="32"/>
                <w:szCs w:val="32"/>
              </w:rPr>
              <w:t>依据合法；符合法定权限；符合法定程序；内容合法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b/>
                <w:sz w:val="32"/>
                <w:szCs w:val="32"/>
              </w:rPr>
            </w:pPr>
            <w:r>
              <w:rPr>
                <w:rFonts w:hint="eastAsia" w:ascii="宋体" w:hAnsi="宋体"/>
                <w:b/>
                <w:sz w:val="32"/>
                <w:szCs w:val="32"/>
              </w:rPr>
              <w:t>合理性</w:t>
            </w:r>
          </w:p>
        </w:tc>
        <w:tc>
          <w:tcPr>
            <w:tcW w:w="611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sz w:val="32"/>
                <w:szCs w:val="32"/>
              </w:rPr>
            </w:pPr>
            <w:r>
              <w:rPr>
                <w:rFonts w:hint="eastAsia" w:ascii="宋体" w:hAnsi="宋体"/>
                <w:sz w:val="32"/>
                <w:szCs w:val="32"/>
              </w:rPr>
              <w:t>正当性；平等对待；与改革发展的同步性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b/>
                <w:sz w:val="32"/>
                <w:szCs w:val="32"/>
              </w:rPr>
            </w:pPr>
            <w:r>
              <w:rPr>
                <w:rFonts w:hint="eastAsia" w:ascii="宋体" w:hAnsi="宋体"/>
                <w:b/>
                <w:sz w:val="32"/>
                <w:szCs w:val="32"/>
              </w:rPr>
              <w:t>实效性</w:t>
            </w:r>
          </w:p>
        </w:tc>
        <w:tc>
          <w:tcPr>
            <w:tcW w:w="611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sz w:val="32"/>
                <w:szCs w:val="32"/>
              </w:rPr>
            </w:pPr>
            <w:r>
              <w:rPr>
                <w:rFonts w:hint="eastAsia" w:ascii="宋体" w:hAnsi="宋体"/>
                <w:sz w:val="32"/>
                <w:szCs w:val="32"/>
              </w:rPr>
              <w:t>守法的有效性；执法的有效性；与社会发展的相适应性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b/>
                <w:sz w:val="32"/>
                <w:szCs w:val="32"/>
              </w:rPr>
            </w:pPr>
            <w:r>
              <w:rPr>
                <w:rFonts w:hint="eastAsia" w:ascii="宋体" w:hAnsi="宋体"/>
                <w:b/>
                <w:sz w:val="32"/>
                <w:szCs w:val="32"/>
              </w:rPr>
              <w:t>协调性</w:t>
            </w:r>
          </w:p>
        </w:tc>
        <w:tc>
          <w:tcPr>
            <w:tcW w:w="611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sz w:val="32"/>
                <w:szCs w:val="32"/>
              </w:rPr>
            </w:pPr>
            <w:r>
              <w:rPr>
                <w:rFonts w:hint="eastAsia" w:ascii="宋体" w:hAnsi="宋体"/>
                <w:sz w:val="32"/>
                <w:szCs w:val="32"/>
              </w:rPr>
              <w:t>与相关同位法之间的协调性；与配套规范性文件的协调性；与其他公共政策之间的协调性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b/>
                <w:sz w:val="32"/>
                <w:szCs w:val="32"/>
              </w:rPr>
            </w:pPr>
            <w:r>
              <w:rPr>
                <w:rFonts w:hint="eastAsia" w:ascii="宋体" w:hAnsi="宋体"/>
                <w:b/>
                <w:sz w:val="32"/>
                <w:szCs w:val="32"/>
              </w:rPr>
              <w:t>科学性</w:t>
            </w:r>
          </w:p>
        </w:tc>
        <w:tc>
          <w:tcPr>
            <w:tcW w:w="611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sz w:val="32"/>
                <w:szCs w:val="32"/>
              </w:rPr>
            </w:pPr>
            <w:r>
              <w:rPr>
                <w:rFonts w:hint="eastAsia" w:ascii="宋体" w:hAnsi="宋体"/>
                <w:sz w:val="32"/>
                <w:szCs w:val="32"/>
              </w:rPr>
              <w:t>专业性；可操作性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b/>
                <w:sz w:val="32"/>
                <w:szCs w:val="32"/>
              </w:rPr>
            </w:pPr>
            <w:r>
              <w:rPr>
                <w:rFonts w:hint="eastAsia" w:ascii="宋体" w:hAnsi="宋体"/>
                <w:b/>
                <w:sz w:val="32"/>
                <w:szCs w:val="32"/>
              </w:rPr>
              <w:t>立法技术</w:t>
            </w:r>
          </w:p>
        </w:tc>
        <w:tc>
          <w:tcPr>
            <w:tcW w:w="6110" w:type="dxa"/>
            <w:vAlign w:val="center"/>
          </w:tcPr>
          <w:p>
            <w:pPr>
              <w:keepNext w:val="0"/>
              <w:keepLines w:val="0"/>
              <w:pageBreakBefore w:val="0"/>
              <w:kinsoku/>
              <w:wordWrap/>
              <w:overflowPunct/>
              <w:topLinePunct w:val="0"/>
              <w:autoSpaceDE/>
              <w:autoSpaceDN/>
              <w:bidi w:val="0"/>
              <w:adjustRightInd w:val="0"/>
              <w:snapToGrid w:val="0"/>
              <w:spacing w:afterAutospacing="0" w:line="560" w:lineRule="exact"/>
              <w:rPr>
                <w:rFonts w:ascii="宋体" w:hAnsi="宋体"/>
                <w:sz w:val="32"/>
                <w:szCs w:val="32"/>
              </w:rPr>
            </w:pPr>
            <w:r>
              <w:rPr>
                <w:rFonts w:hint="eastAsia" w:ascii="宋体" w:hAnsi="宋体"/>
                <w:sz w:val="32"/>
                <w:szCs w:val="32"/>
              </w:rPr>
              <w:t>文本结构的完整性；立法语言的准确性；内在逻辑的严密性</w:t>
            </w:r>
          </w:p>
        </w:tc>
      </w:tr>
    </w:tbl>
    <w:p>
      <w:pPr>
        <w:pStyle w:val="4"/>
        <w:pageBreakBefore w:val="0"/>
        <w:numPr>
          <w:ilvl w:val="0"/>
          <w:numId w:val="0"/>
        </w:numPr>
        <w:kinsoku/>
        <w:wordWrap/>
        <w:overflowPunct/>
        <w:topLinePunct w:val="0"/>
        <w:autoSpaceDE/>
        <w:autoSpaceDN/>
        <w:bidi w:val="0"/>
        <w:spacing w:line="560" w:lineRule="exact"/>
        <w:ind w:leftChars="200"/>
      </w:pPr>
    </w:p>
    <w:p>
      <w:pPr>
        <w:pStyle w:val="4"/>
        <w:pageBreakBefore w:val="0"/>
        <w:numPr>
          <w:ilvl w:val="0"/>
          <w:numId w:val="1"/>
        </w:numPr>
        <w:kinsoku/>
        <w:wordWrap/>
        <w:overflowPunct/>
        <w:topLinePunct w:val="0"/>
        <w:autoSpaceDE/>
        <w:autoSpaceDN/>
        <w:bidi w:val="0"/>
        <w:spacing w:line="560" w:lineRule="exact"/>
      </w:pPr>
      <w:bookmarkStart w:id="13" w:name="_Toc23363"/>
      <w:r>
        <w:rPr>
          <w:rFonts w:hint="eastAsia"/>
        </w:rPr>
        <w:t>关于立法的合法性【好</w:t>
      </w:r>
      <w:r>
        <w:t>】</w:t>
      </w:r>
      <w:bookmarkEnd w:id="13"/>
    </w:p>
    <w:p>
      <w:pPr>
        <w:keepNext w:val="0"/>
        <w:keepLines w:val="0"/>
        <w:pageBreakBefore w:val="0"/>
        <w:numPr>
          <w:ilvl w:val="0"/>
          <w:numId w:val="0"/>
        </w:numPr>
        <w:kinsoku/>
        <w:wordWrap/>
        <w:overflowPunct/>
        <w:topLinePunct w:val="0"/>
        <w:autoSpaceDE/>
        <w:autoSpaceDN/>
        <w:bidi w:val="0"/>
        <w:spacing w:afterAutospacing="0"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合法性是立法文件必须符合客观规律、充分反映民意、科学理性、基本价值理念等。</w:t>
      </w:r>
    </w:p>
    <w:p>
      <w:pPr>
        <w:keepNext w:val="0"/>
        <w:keepLines w:val="0"/>
        <w:pageBreakBefore w:val="0"/>
        <w:kinsoku/>
        <w:wordWrap/>
        <w:overflowPunct/>
        <w:topLinePunct w:val="0"/>
        <w:autoSpaceDE/>
        <w:autoSpaceDN/>
        <w:bidi w:val="0"/>
        <w:spacing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（1）立法依据合法。</w:t>
      </w:r>
      <w:r>
        <w:rPr>
          <w:rFonts w:hint="eastAsia" w:ascii="仿宋" w:hAnsi="仿宋" w:eastAsia="仿宋" w:cs="仿宋"/>
          <w:sz w:val="32"/>
          <w:szCs w:val="32"/>
        </w:rPr>
        <w:t>《程序规定》是2016年9月5日，通过上海市人民政府令第43号发布的地方政府规章，《程序规定》制定时的上位法依据是《行政处罚法》和《行政强制法》，两部法律均为行政法领域基本法。</w:t>
      </w:r>
    </w:p>
    <w:p>
      <w:pPr>
        <w:keepNext w:val="0"/>
        <w:keepLines w:val="0"/>
        <w:pageBreakBefore w:val="0"/>
        <w:numPr>
          <w:ilvl w:val="0"/>
          <w:numId w:val="2"/>
        </w:numPr>
        <w:kinsoku/>
        <w:wordWrap/>
        <w:overflowPunct/>
        <w:topLinePunct w:val="0"/>
        <w:autoSpaceDE/>
        <w:autoSpaceDN/>
        <w:bidi w:val="0"/>
        <w:spacing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立法权限合法。</w:t>
      </w:r>
      <w:r>
        <w:rPr>
          <w:rFonts w:hint="eastAsia" w:ascii="仿宋" w:hAnsi="仿宋" w:eastAsia="仿宋" w:cs="仿宋"/>
          <w:sz w:val="32"/>
          <w:szCs w:val="32"/>
        </w:rPr>
        <w:t>根据《立法法》第八十二条</w:t>
      </w:r>
      <w:bookmarkStart w:id="14" w:name="tiao_82_kuan_1"/>
      <w:bookmarkEnd w:id="14"/>
      <w:r>
        <w:rPr>
          <w:rFonts w:hint="eastAsia" w:ascii="仿宋" w:hAnsi="仿宋" w:eastAsia="仿宋" w:cs="仿宋"/>
          <w:sz w:val="32"/>
          <w:szCs w:val="32"/>
        </w:rPr>
        <w:t>：“省、自治区、直辖市和设区的市、自治州的人民政府，可以根据法律、行政法规和本省、自治区、直辖市的地方性法规，制定规章。</w:t>
      </w:r>
      <w:r>
        <w:rPr>
          <w:sz w:val="32"/>
          <w:szCs w:val="32"/>
        </w:rPr>
        <w:fldChar w:fldCharType="begin"/>
      </w:r>
      <w:r>
        <w:rPr>
          <w:sz w:val="32"/>
          <w:szCs w:val="32"/>
        </w:rPr>
        <w:instrText xml:space="preserve"> HYPERLINK "https://www.pkulaw.com/chl/javascript:void(0);" </w:instrText>
      </w:r>
      <w:r>
        <w:rPr>
          <w:sz w:val="32"/>
          <w:szCs w:val="32"/>
        </w:rPr>
        <w:fldChar w:fldCharType="separate"/>
      </w:r>
      <w:r>
        <w:rPr>
          <w:sz w:val="32"/>
          <w:szCs w:val="32"/>
        </w:rPr>
        <w:fldChar w:fldCharType="end"/>
      </w:r>
      <w:bookmarkStart w:id="15" w:name="tiao_82_kuan_2"/>
      <w:bookmarkEnd w:id="15"/>
      <w:r>
        <w:rPr>
          <w:rFonts w:hint="eastAsia" w:ascii="仿宋" w:hAnsi="仿宋" w:eastAsia="仿宋" w:cs="仿宋"/>
          <w:sz w:val="32"/>
          <w:szCs w:val="32"/>
        </w:rPr>
        <w:t>地方政府规章可以就下列事项作出规定：</w:t>
      </w:r>
      <w:r>
        <w:rPr>
          <w:sz w:val="32"/>
          <w:szCs w:val="32"/>
        </w:rPr>
        <w:fldChar w:fldCharType="begin"/>
      </w:r>
      <w:r>
        <w:rPr>
          <w:sz w:val="32"/>
          <w:szCs w:val="32"/>
        </w:rPr>
        <w:instrText xml:space="preserve"> HYPERLINK "https://www.pkulaw.com/chl/javascript:void(0);" </w:instrText>
      </w:r>
      <w:r>
        <w:rPr>
          <w:sz w:val="32"/>
          <w:szCs w:val="32"/>
        </w:rPr>
        <w:fldChar w:fldCharType="separate"/>
      </w:r>
      <w:r>
        <w:rPr>
          <w:sz w:val="32"/>
          <w:szCs w:val="32"/>
        </w:rPr>
        <w:fldChar w:fldCharType="end"/>
      </w:r>
      <w:bookmarkStart w:id="16" w:name="tiao_82_kuan_2_xiang_1"/>
      <w:bookmarkEnd w:id="16"/>
      <w:r>
        <w:rPr>
          <w:rFonts w:hint="eastAsia" w:ascii="仿宋" w:hAnsi="仿宋" w:eastAsia="仿宋" w:cs="仿宋"/>
          <w:sz w:val="32"/>
          <w:szCs w:val="32"/>
        </w:rPr>
        <w:t>（一）为执行法律、行政法规、地方性法规的规定需要制定规章的事项；（二）属于本行政区域的具体行政管理事项。</w:t>
      </w:r>
      <w:r>
        <w:rPr>
          <w:sz w:val="32"/>
          <w:szCs w:val="32"/>
        </w:rPr>
        <w:fldChar w:fldCharType="begin"/>
      </w:r>
      <w:r>
        <w:rPr>
          <w:sz w:val="32"/>
          <w:szCs w:val="32"/>
        </w:rPr>
        <w:instrText xml:space="preserve"> HYPERLINK "https://www.pkulaw.com/chl/javascript:void(0);" </w:instrText>
      </w:r>
      <w:r>
        <w:rPr>
          <w:sz w:val="32"/>
          <w:szCs w:val="32"/>
        </w:rPr>
        <w:fldChar w:fldCharType="separate"/>
      </w:r>
      <w:r>
        <w:rPr>
          <w:sz w:val="32"/>
          <w:szCs w:val="32"/>
        </w:rPr>
        <w:fldChar w:fldCharType="end"/>
      </w:r>
      <w:r>
        <w:rPr>
          <w:rFonts w:hint="eastAsia" w:ascii="仿宋" w:hAnsi="仿宋" w:eastAsia="仿宋" w:cs="仿宋"/>
          <w:sz w:val="32"/>
          <w:szCs w:val="32"/>
        </w:rPr>
        <w:t>”显然，</w:t>
      </w:r>
      <w:r>
        <w:rPr>
          <w:rFonts w:hint="eastAsia" w:ascii="仿宋" w:hAnsi="仿宋" w:eastAsia="仿宋" w:cs="仿宋"/>
          <w:sz w:val="32"/>
          <w:szCs w:val="32"/>
          <w:lang w:eastAsia="zh-CN"/>
        </w:rPr>
        <w:t>《程序规定》属于</w:t>
      </w:r>
      <w:r>
        <w:rPr>
          <w:rFonts w:hint="eastAsia" w:ascii="仿宋" w:hAnsi="仿宋" w:eastAsia="仿宋" w:cs="仿宋"/>
          <w:sz w:val="32"/>
          <w:szCs w:val="32"/>
        </w:rPr>
        <w:t>为执行《行政处罚法》《行政强制法》而制定地方政府规章，立法权限合法。</w:t>
      </w:r>
      <w:r>
        <w:rPr>
          <w:sz w:val="32"/>
          <w:szCs w:val="32"/>
        </w:rPr>
        <w:fldChar w:fldCharType="begin"/>
      </w:r>
      <w:r>
        <w:rPr>
          <w:sz w:val="32"/>
          <w:szCs w:val="32"/>
        </w:rPr>
        <w:instrText xml:space="preserve"> HYPERLINK "https://www.pkulaw.com/chl/javascript:void(0);" </w:instrText>
      </w:r>
      <w:r>
        <w:rPr>
          <w:sz w:val="32"/>
          <w:szCs w:val="32"/>
        </w:rPr>
        <w:fldChar w:fldCharType="separate"/>
      </w:r>
      <w:r>
        <w:rPr>
          <w:sz w:val="32"/>
          <w:szCs w:val="32"/>
        </w:rPr>
        <w:fldChar w:fldCharType="end"/>
      </w:r>
      <w:bookmarkStart w:id="17" w:name="tiao_82_kuan_3"/>
      <w:bookmarkEnd w:id="17"/>
      <w:bookmarkStart w:id="18" w:name="tiao_82_kuan_4"/>
      <w:bookmarkEnd w:id="18"/>
      <w:bookmarkStart w:id="19" w:name="tiao_82_kuan_6"/>
      <w:bookmarkEnd w:id="19"/>
      <w:bookmarkStart w:id="20" w:name="tiao_82_kuan_2_xiang_2"/>
      <w:bookmarkEnd w:id="20"/>
      <w:bookmarkStart w:id="21" w:name="tiao_82_kuan_5"/>
      <w:bookmarkEnd w:id="21"/>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"https://www.pkulaw.com/chl/javascript:void(0);" </w:instrText>
      </w:r>
      <w:r>
        <w:rPr>
          <w:rFonts w:hint="eastAsia" w:ascii="仿宋" w:hAnsi="仿宋" w:eastAsia="仿宋" w:cs="仿宋"/>
          <w:sz w:val="32"/>
          <w:szCs w:val="32"/>
        </w:rPr>
        <w:fldChar w:fldCharType="end"/>
      </w:r>
    </w:p>
    <w:p>
      <w:pPr>
        <w:keepNext w:val="0"/>
        <w:keepLines w:val="0"/>
        <w:pageBreakBefore w:val="0"/>
        <w:kinsoku/>
        <w:wordWrap/>
        <w:overflowPunct/>
        <w:topLinePunct w:val="0"/>
        <w:autoSpaceDE/>
        <w:autoSpaceDN/>
        <w:bidi w:val="0"/>
        <w:spacing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（3）立法程序合法</w:t>
      </w:r>
      <w:r>
        <w:rPr>
          <w:rFonts w:hint="eastAsia" w:ascii="仿宋" w:hAnsi="仿宋" w:eastAsia="仿宋" w:cs="仿宋"/>
          <w:sz w:val="32"/>
          <w:szCs w:val="32"/>
        </w:rPr>
        <w:t>。《程序规定》经2016年8月29日市政府第124次常务会议通过，2016年9月5日公布，并于当年11月1日正式实施，其制定符合法定程序，从制度层面上统一了全市市场</w:t>
      </w:r>
      <w:r>
        <w:rPr>
          <w:rFonts w:hint="eastAsia" w:ascii="仿宋" w:hAnsi="仿宋" w:eastAsia="仿宋" w:cs="仿宋"/>
          <w:sz w:val="32"/>
          <w:szCs w:val="32"/>
          <w:lang w:eastAsia="zh-CN"/>
        </w:rPr>
        <w:t>监督</w:t>
      </w:r>
      <w:r>
        <w:rPr>
          <w:rFonts w:hint="eastAsia" w:ascii="仿宋" w:hAnsi="仿宋" w:eastAsia="仿宋" w:cs="仿宋"/>
          <w:sz w:val="32"/>
          <w:szCs w:val="32"/>
        </w:rPr>
        <w:t>管</w:t>
      </w:r>
      <w:r>
        <w:rPr>
          <w:rFonts w:hint="eastAsia" w:ascii="仿宋" w:hAnsi="仿宋" w:eastAsia="仿宋" w:cs="仿宋"/>
          <w:sz w:val="32"/>
          <w:szCs w:val="32"/>
          <w:lang w:eastAsia="zh-CN"/>
        </w:rPr>
        <w:t>理</w:t>
      </w:r>
      <w:r>
        <w:rPr>
          <w:rFonts w:hint="eastAsia" w:ascii="仿宋" w:hAnsi="仿宋" w:eastAsia="仿宋" w:cs="仿宋"/>
          <w:sz w:val="32"/>
          <w:szCs w:val="32"/>
        </w:rPr>
        <w:t>部门的行政处罚程序，为上海市场</w:t>
      </w:r>
      <w:r>
        <w:rPr>
          <w:rFonts w:hint="eastAsia" w:ascii="仿宋" w:hAnsi="仿宋" w:eastAsia="仿宋" w:cs="仿宋"/>
          <w:sz w:val="32"/>
          <w:szCs w:val="32"/>
          <w:lang w:eastAsia="zh-CN"/>
        </w:rPr>
        <w:t>监督管理</w:t>
      </w:r>
      <w:r>
        <w:rPr>
          <w:rFonts w:hint="eastAsia" w:ascii="仿宋" w:hAnsi="仿宋" w:eastAsia="仿宋" w:cs="仿宋"/>
          <w:sz w:val="32"/>
          <w:szCs w:val="32"/>
        </w:rPr>
        <w:t>行政处罚信息系统的建设提供了规范依据与流程框架，促进</w:t>
      </w:r>
      <w:r>
        <w:rPr>
          <w:rFonts w:hint="eastAsia" w:ascii="仿宋" w:hAnsi="仿宋" w:eastAsia="仿宋" w:cs="仿宋"/>
          <w:sz w:val="32"/>
          <w:szCs w:val="32"/>
          <w:lang w:eastAsia="zh-CN"/>
        </w:rPr>
        <w:t>市场监督管理</w:t>
      </w:r>
      <w:r>
        <w:rPr>
          <w:rFonts w:hint="eastAsia" w:ascii="仿宋" w:hAnsi="仿宋" w:eastAsia="仿宋" w:cs="仿宋"/>
          <w:sz w:val="32"/>
          <w:szCs w:val="32"/>
        </w:rPr>
        <w:t>综合执法体制改革完成向一支队伍、一个程序、一套文书、一个系统的规范转变。</w:t>
      </w:r>
    </w:p>
    <w:p>
      <w:pPr>
        <w:keepNext w:val="0"/>
        <w:keepLines w:val="0"/>
        <w:pageBreakBefore w:val="0"/>
        <w:kinsoku/>
        <w:wordWrap/>
        <w:overflowPunct/>
        <w:topLinePunct w:val="0"/>
        <w:autoSpaceDE/>
        <w:autoSpaceDN/>
        <w:bidi w:val="0"/>
        <w:spacing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（4）立法内容合法。</w:t>
      </w:r>
      <w:r>
        <w:rPr>
          <w:rFonts w:hint="eastAsia" w:ascii="仿宋" w:hAnsi="仿宋" w:eastAsia="仿宋" w:cs="仿宋"/>
          <w:sz w:val="32"/>
          <w:szCs w:val="32"/>
        </w:rPr>
        <w:t>作为《程序规定》立法依据的《行政处罚法》，根据2017年9月1日第十二届全国人民代表大会常务委员会第二十九次会议通过的《全国人民代表大会常务委员会《关于修改&lt;中华人民共和国法官法&gt;等八部法律的决定》(中华人民共和国主席令（第七十六号）)作出修改，在第三十八条中增加一款，“在行政机关负责人作出决定之前，应当由从事行政处罚决定审核的人员进行审核。行政机关中初次从事行政处罚决定审核的人员，应当通过国家统一法律职业资格考试取得法律职业资格。”</w:t>
      </w:r>
      <w:bookmarkStart w:id="22" w:name="tiao_8_kuan_3"/>
      <w:bookmarkEnd w:id="22"/>
      <w:r>
        <w:rPr>
          <w:rFonts w:hint="eastAsia" w:ascii="仿宋" w:hAnsi="仿宋" w:eastAsia="仿宋" w:cs="仿宋"/>
          <w:sz w:val="32"/>
          <w:szCs w:val="32"/>
        </w:rPr>
        <w:t>该决定自2018年1月1日起施行，是行政执法三项制度中重大行政执法决定审核制度在基本法中的应用与体现。根据《上海市人民政府办公厅关于印发本市建立重大行政执法决定法制审核制度意见的通知》（沪府办发[2017]5号），重大行政执法决定法制审核制度在上海的实施时间晚于《程序规定》，而《程序规定》没有对行政处罚决定进行法制审核这一行政执法三项制度之一的核心制度作出规定，故存在立法内容上的缺失。</w:t>
      </w:r>
    </w:p>
    <w:p>
      <w:pPr>
        <w:pStyle w:val="4"/>
        <w:pageBreakBefore w:val="0"/>
        <w:numPr>
          <w:ilvl w:val="0"/>
          <w:numId w:val="1"/>
        </w:numPr>
        <w:kinsoku/>
        <w:wordWrap/>
        <w:overflowPunct/>
        <w:topLinePunct w:val="0"/>
        <w:autoSpaceDE/>
        <w:autoSpaceDN/>
        <w:bidi w:val="0"/>
        <w:spacing w:line="560" w:lineRule="exact"/>
        <w:ind w:left="0" w:firstLine="641"/>
        <w:rPr>
          <w:rFonts w:hint="eastAsia"/>
        </w:rPr>
      </w:pPr>
      <w:bookmarkStart w:id="23" w:name="_Toc15110"/>
      <w:r>
        <w:rPr>
          <w:rFonts w:hint="eastAsia"/>
        </w:rPr>
        <w:t>关于立法的合理性【较好】</w:t>
      </w:r>
      <w:bookmarkEnd w:id="23"/>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立法的合理性，是立法机关在立法以及制度设计时，应当考虑立法在主观上是否出于正当动机，在客观上是否符合正当目的。</w:t>
      </w:r>
      <w:bookmarkStart w:id="24" w:name="_Toc53401736"/>
      <w:bookmarkStart w:id="25" w:name="_Toc31491"/>
      <w:bookmarkStart w:id="26" w:name="_Toc22305"/>
      <w:bookmarkStart w:id="27" w:name="_Toc12053"/>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sz w:val="32"/>
          <w:szCs w:val="32"/>
        </w:rPr>
      </w:pPr>
      <w:r>
        <w:rPr>
          <w:rFonts w:hint="eastAsia" w:ascii="仿宋" w:hAnsi="仿宋" w:eastAsia="仿宋" w:cs="仿宋"/>
          <w:sz w:val="32"/>
          <w:szCs w:val="32"/>
        </w:rPr>
        <w:t xml:space="preserve">    （1）立法的正当性</w:t>
      </w:r>
      <w:bookmarkEnd w:id="24"/>
      <w:bookmarkEnd w:id="25"/>
      <w:bookmarkEnd w:id="26"/>
      <w:bookmarkEnd w:id="27"/>
      <w:r>
        <w:rPr>
          <w:rFonts w:hint="eastAsia" w:ascii="仿宋" w:hAnsi="仿宋" w:eastAsia="仿宋" w:cs="仿宋"/>
          <w:sz w:val="32"/>
          <w:szCs w:val="32"/>
        </w:rPr>
        <w:t>。《程序规定》的立法目的是为了规范市场监督管理机关依法行使职权，保护公民、法人或者其他组织的合法权益。经对《程序规定》的条款逐一进行评估，其主要内容都较好地体现了立法正当性。比如：《程序规定》第三条（教育指导）规定：“对违法行为的查处，应当坚持处罚与教育相结合的原则，可以采取指导、建议等方式，教育公民、法人或者其他组织自觉守法。”这一原则的提出，与目前地方推动创新分类监管、信用监管、“互联网＋监管”等监管方式创新，推进包容审慎监管、规范行政执法行为等优化营商环境的措施是相辅相成的。</w:t>
      </w:r>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仿宋" w:hAnsi="仿宋" w:eastAsia="仿宋" w:cs="仿宋"/>
          <w:sz w:val="32"/>
          <w:szCs w:val="32"/>
        </w:rPr>
      </w:pPr>
      <w:r>
        <w:rPr>
          <w:rFonts w:hint="eastAsia" w:ascii="仿宋" w:hAnsi="仿宋" w:eastAsia="仿宋" w:cs="仿宋"/>
          <w:sz w:val="32"/>
          <w:szCs w:val="32"/>
        </w:rPr>
        <w:t xml:space="preserve">    （2）立法的平等性。行政法律关系是不平等主体之间的法律关系，行政处罚更是对有违法行为的当事人进行的惩戒。尽管如此，《程序规定》还是应当从程序正义的角度，充分保护当事人的合法权益。因此，《程序规定》在平等性上有充分的体现，比如：来自行政机关内部的督办制度（第四条 层级指导和监督）；行政检查的程序要求（第九条）；回避制度（第十条）；比如：短于国家规定的立案期限（第十四条）；不得因当事人陈述、申辩而加重行政处罚（第三十六条）等内容，都充分体现了《程序规定》对相对人的平等对待。</w:t>
      </w:r>
    </w:p>
    <w:p>
      <w:pPr>
        <w:pStyle w:val="12"/>
        <w:keepNext w:val="0"/>
        <w:keepLines w:val="0"/>
        <w:pageBreakBefore w:val="0"/>
        <w:widowControl/>
        <w:kinsoku/>
        <w:wordWrap/>
        <w:overflowPunct/>
        <w:topLinePunct w:val="0"/>
        <w:autoSpaceDE/>
        <w:autoSpaceDN/>
        <w:bidi w:val="0"/>
        <w:spacing w:beforeAutospacing="0" w:afterAutospacing="0" w:line="560" w:lineRule="exact"/>
        <w:jc w:val="both"/>
        <w:rPr>
          <w:rFonts w:ascii="Calibri" w:hAnsi="Calibri" w:eastAsia="仿宋" w:cs="Calibri"/>
          <w:b/>
          <w:bCs/>
          <w:kern w:val="2"/>
          <w:sz w:val="32"/>
          <w:szCs w:val="32"/>
        </w:rPr>
      </w:pPr>
      <w:r>
        <w:rPr>
          <w:rFonts w:hint="eastAsia" w:ascii="微软雅黑" w:hAnsi="微软雅黑" w:eastAsia="微软雅黑" w:cs="微软雅黑"/>
          <w:color w:val="424242"/>
          <w:sz w:val="32"/>
          <w:szCs w:val="32"/>
        </w:rPr>
        <w:t>  </w:t>
      </w:r>
      <w:r>
        <w:rPr>
          <w:rFonts w:hint="eastAsia" w:ascii="Calibri" w:hAnsi="Calibri" w:eastAsia="仿宋" w:cs="Calibri"/>
          <w:b/>
          <w:bCs/>
          <w:kern w:val="2"/>
          <w:sz w:val="32"/>
          <w:szCs w:val="32"/>
        </w:rPr>
        <w:t>（3）与改革发展的同步性。</w:t>
      </w:r>
      <w:r>
        <w:rPr>
          <w:rFonts w:hint="eastAsia" w:ascii="仿宋" w:hAnsi="仿宋" w:eastAsia="仿宋" w:cs="仿宋"/>
          <w:kern w:val="2"/>
          <w:sz w:val="32"/>
          <w:szCs w:val="32"/>
        </w:rPr>
        <w:t>《程序规定》颁布实施至今不到五年，对一部规章来说，时间不算长。然而，这五年却是深化行政执法体制改革的关键时期。中共中央印发的《深化党和国家机构改革方案》提出“深化行政执法体制改革，统筹配置行政处罚职能和执法资源，相对集中行政处罚权，是深化机构改革的重要任务。”具体到</w:t>
      </w:r>
      <w:r>
        <w:rPr>
          <w:rFonts w:hint="eastAsia" w:ascii="仿宋" w:hAnsi="仿宋" w:eastAsia="仿宋" w:cs="仿宋"/>
          <w:kern w:val="2"/>
          <w:sz w:val="32"/>
          <w:szCs w:val="32"/>
          <w:lang w:eastAsia="zh-CN"/>
        </w:rPr>
        <w:t>市场监督管理</w:t>
      </w:r>
      <w:r>
        <w:rPr>
          <w:rFonts w:hint="eastAsia" w:ascii="仿宋" w:hAnsi="仿宋" w:eastAsia="仿宋" w:cs="仿宋"/>
          <w:kern w:val="2"/>
          <w:sz w:val="32"/>
          <w:szCs w:val="32"/>
        </w:rPr>
        <w:t>领域，“整合工商、质检、食品、药品、物价、商标、专利等执法职责和队伍，组建</w:t>
      </w:r>
      <w:r>
        <w:rPr>
          <w:rFonts w:hint="eastAsia" w:ascii="仿宋" w:hAnsi="仿宋" w:eastAsia="仿宋" w:cs="仿宋"/>
          <w:kern w:val="2"/>
          <w:sz w:val="32"/>
          <w:szCs w:val="32"/>
          <w:lang w:eastAsia="zh-CN"/>
        </w:rPr>
        <w:t>市场监督管理</w:t>
      </w:r>
      <w:r>
        <w:rPr>
          <w:rFonts w:hint="eastAsia" w:ascii="仿宋" w:hAnsi="仿宋" w:eastAsia="仿宋" w:cs="仿宋"/>
          <w:kern w:val="2"/>
          <w:sz w:val="32"/>
          <w:szCs w:val="32"/>
        </w:rPr>
        <w:t>综合执法队伍。由国家市场监督管理总局指导。鼓励地方将其他直接到市场、进企业，面向基层、面对老百姓的执法队伍，如商务执法、盐业执法等，整合划入</w:t>
      </w:r>
      <w:r>
        <w:rPr>
          <w:rFonts w:hint="eastAsia" w:ascii="仿宋" w:hAnsi="仿宋" w:eastAsia="仿宋" w:cs="仿宋"/>
          <w:kern w:val="2"/>
          <w:sz w:val="32"/>
          <w:szCs w:val="32"/>
          <w:lang w:eastAsia="zh-CN"/>
        </w:rPr>
        <w:t>市场监督管理</w:t>
      </w:r>
      <w:r>
        <w:rPr>
          <w:rFonts w:hint="eastAsia" w:ascii="仿宋" w:hAnsi="仿宋" w:eastAsia="仿宋" w:cs="仿宋"/>
          <w:kern w:val="2"/>
          <w:sz w:val="32"/>
          <w:szCs w:val="32"/>
        </w:rPr>
        <w:t>综合执法队伍。药品经营销售等行为的执法，由市县</w:t>
      </w:r>
      <w:r>
        <w:rPr>
          <w:rFonts w:hint="eastAsia" w:ascii="仿宋" w:hAnsi="仿宋" w:eastAsia="仿宋" w:cs="仿宋"/>
          <w:kern w:val="2"/>
          <w:sz w:val="32"/>
          <w:szCs w:val="32"/>
          <w:lang w:eastAsia="zh-CN"/>
        </w:rPr>
        <w:t>市场监督管理</w:t>
      </w:r>
      <w:r>
        <w:rPr>
          <w:rFonts w:hint="eastAsia" w:ascii="仿宋" w:hAnsi="仿宋" w:eastAsia="仿宋" w:cs="仿宋"/>
          <w:kern w:val="2"/>
          <w:sz w:val="32"/>
          <w:szCs w:val="32"/>
        </w:rPr>
        <w:t>综合执法队伍统一承担。”在这一背景下，《程序规定》和国家</w:t>
      </w:r>
      <w:r>
        <w:rPr>
          <w:rFonts w:hint="eastAsia" w:ascii="仿宋" w:hAnsi="仿宋" w:eastAsia="仿宋" w:cs="仿宋"/>
          <w:kern w:val="2"/>
          <w:sz w:val="32"/>
          <w:szCs w:val="32"/>
          <w:lang w:eastAsia="zh-CN"/>
        </w:rPr>
        <w:t>市场监督管理</w:t>
      </w:r>
      <w:r>
        <w:rPr>
          <w:rFonts w:hint="eastAsia" w:ascii="仿宋" w:hAnsi="仿宋" w:eastAsia="仿宋" w:cs="仿宋"/>
          <w:kern w:val="2"/>
          <w:sz w:val="32"/>
          <w:szCs w:val="32"/>
        </w:rPr>
        <w:t>局的《市场监督管理行政处罚程序规定》先后颁</w:t>
      </w:r>
      <w:r>
        <w:rPr>
          <w:rFonts w:hint="eastAsia" w:ascii="仿宋" w:hAnsi="仿宋" w:eastAsia="仿宋" w:cs="仿宋"/>
          <w:kern w:val="2"/>
          <w:sz w:val="32"/>
          <w:szCs w:val="32"/>
          <w:lang w:eastAsia="zh-CN"/>
        </w:rPr>
        <w:t>布实施</w:t>
      </w:r>
      <w:r>
        <w:rPr>
          <w:rFonts w:hint="eastAsia" w:ascii="仿宋" w:hAnsi="仿宋" w:eastAsia="仿宋" w:cs="仿宋"/>
          <w:kern w:val="2"/>
          <w:sz w:val="32"/>
          <w:szCs w:val="32"/>
        </w:rPr>
        <w:t>。</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市场监督管理行政处罚程序规定》共七章八十七条，分为总则、管辖、行政处罚的普通程序、行政处罚的简易程序、执行与结案、期间送达、附则。《程序规定》共九章七十二条，增加了先行登记保存、查封、扣押（第五章），结案与监督作为一章（第七章），执行独立成章（第六章）。根据《立法法》第九十一条</w:t>
      </w:r>
      <w:bookmarkStart w:id="28" w:name="tiao_91_kuan_1"/>
      <w:bookmarkEnd w:id="28"/>
      <w:r>
        <w:rPr>
          <w:rFonts w:hint="eastAsia" w:ascii="仿宋" w:hAnsi="仿宋" w:eastAsia="仿宋" w:cs="仿宋"/>
          <w:kern w:val="2"/>
          <w:sz w:val="32"/>
          <w:szCs w:val="32"/>
        </w:rPr>
        <w:t>，部门规章与地方政府规章之间具有同等效力，在各自的权限范围内施行。第九十五条</w:t>
      </w:r>
      <w:bookmarkStart w:id="29" w:name="tiao_95_kuan_1"/>
      <w:bookmarkEnd w:id="29"/>
      <w:bookmarkStart w:id="30" w:name="tiao_95_kuan_1_xiang_3"/>
      <w:bookmarkEnd w:id="30"/>
      <w:r>
        <w:rPr>
          <w:rFonts w:hint="eastAsia" w:ascii="仿宋" w:hAnsi="仿宋" w:eastAsia="仿宋" w:cs="仿宋"/>
          <w:kern w:val="2"/>
          <w:sz w:val="32"/>
          <w:szCs w:val="32"/>
        </w:rPr>
        <w:t>第（三）项规定，部门规章与地方政府规章之间对同一事项的规定不一致时，由国务院裁决。按照惯</w:t>
      </w:r>
      <w:r>
        <w:rPr>
          <w:sz w:val="32"/>
          <w:szCs w:val="32"/>
        </w:rPr>
        <w:fldChar w:fldCharType="begin"/>
      </w:r>
      <w:r>
        <w:rPr>
          <w:sz w:val="32"/>
          <w:szCs w:val="32"/>
        </w:rPr>
        <w:instrText xml:space="preserve"> HYPERLINK "https://www.pkulaw.com/chl/javascript:void(0);" </w:instrText>
      </w:r>
      <w:r>
        <w:rPr>
          <w:sz w:val="32"/>
          <w:szCs w:val="32"/>
        </w:rPr>
        <w:fldChar w:fldCharType="separate"/>
      </w:r>
      <w:r>
        <w:rPr>
          <w:sz w:val="32"/>
          <w:szCs w:val="32"/>
        </w:rPr>
        <w:fldChar w:fldCharType="end"/>
      </w:r>
      <w:r>
        <w:rPr>
          <w:rFonts w:hint="eastAsia" w:ascii="仿宋" w:hAnsi="仿宋" w:eastAsia="仿宋" w:cs="仿宋"/>
          <w:kern w:val="2"/>
          <w:sz w:val="32"/>
          <w:szCs w:val="32"/>
        </w:rPr>
        <w:t>例，地方政府在制定规章时，一般会参照国家部门规章，避免出现与国家部门规章矛盾的情形。对于部门规章已经作出规定的内容，除非仍要做进一步实施细化，否则地方政府规章将不再做不必要的重复规定，更不宜照抄照搬。如果地方政府规章颁布在前，且与国家部门规章存在明显冲突的情况下，一般会启动对地方政府规章的修改。因此，从改革发展同步性的角度，对于行政处罚程序规定这一立法事项，在全国统一大市场的背景下，地方再做规定已无必要。在评估过程中，评估组发现去年7月即在征求意见的《浙江省市场监督管理行政处罚程序补充规定（征求意见稿）》至今都没有出台。目前，从地方层面上看，只有同处长三角的杭州，在2021年出台了相关规定。</w:t>
      </w:r>
    </w:p>
    <w:p>
      <w:pPr>
        <w:pStyle w:val="4"/>
        <w:pageBreakBefore w:val="0"/>
        <w:numPr>
          <w:ilvl w:val="0"/>
          <w:numId w:val="1"/>
        </w:numPr>
        <w:kinsoku/>
        <w:wordWrap/>
        <w:overflowPunct/>
        <w:topLinePunct w:val="0"/>
        <w:autoSpaceDE/>
        <w:autoSpaceDN/>
        <w:bidi w:val="0"/>
        <w:spacing w:line="560" w:lineRule="exact"/>
        <w:ind w:left="0" w:firstLine="641"/>
        <w:rPr>
          <w:rFonts w:hint="eastAsia"/>
        </w:rPr>
      </w:pPr>
      <w:bookmarkStart w:id="31" w:name="_Toc20898"/>
      <w:r>
        <w:rPr>
          <w:rFonts w:hint="eastAsia"/>
        </w:rPr>
        <w:t>关于立法的科学性</w:t>
      </w:r>
      <w:r>
        <w:rPr>
          <w:rFonts w:hint="eastAsia"/>
          <w:lang w:eastAsia="zh-CN"/>
        </w:rPr>
        <w:t>【较好】</w:t>
      </w:r>
      <w:bookmarkEnd w:id="31"/>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科学性，是指立法的制度设计反映立法内在规律，以及与客观规律的相符程度。</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（1）立法的专业性。</w:t>
      </w:r>
      <w:r>
        <w:rPr>
          <w:rFonts w:hint="eastAsia" w:ascii="仿宋" w:hAnsi="仿宋" w:eastAsia="仿宋" w:cs="仿宋"/>
          <w:sz w:val="32"/>
          <w:szCs w:val="32"/>
        </w:rPr>
        <w:t>《程序规定》是关于市场监督管理行政处罚程序的专门性规定。整部规章围绕着行政处罚的程序展开，立案、管辖、调查、听证、决定、送达，对每个程序和环节的规定整体上都体现了立法的专业性，在具体规定上也充分体现了对当事人程序正义的维护。但是，因科学技术的快速发展与进步，个别程序的规定可以适当简化。比如：第二十九条（调查取证当事人不配合、不在场的处理），在目前行政执法记录仪普遍使用、行政执法APP对各种情况均有很好预先设定的情况下，该规定的内容可以适当予以简化。</w:t>
      </w:r>
    </w:p>
    <w:p>
      <w:pPr>
        <w:keepNext w:val="0"/>
        <w:keepLines w:val="0"/>
        <w:pageBreakBefore w:val="0"/>
        <w:kinsoku/>
        <w:wordWrap/>
        <w:overflowPunct/>
        <w:topLinePunct w:val="0"/>
        <w:autoSpaceDE/>
        <w:autoSpaceDN/>
        <w:bidi w:val="0"/>
        <w:spacing w:afterAutospacing="0" w:line="560" w:lineRule="exact"/>
        <w:ind w:firstLine="480"/>
        <w:jc w:val="left"/>
        <w:rPr>
          <w:rFonts w:hint="eastAsia" w:ascii="仿宋" w:hAnsi="仿宋" w:eastAsia="仿宋" w:cs="仿宋"/>
          <w:kern w:val="0"/>
          <w:sz w:val="32"/>
          <w:szCs w:val="32"/>
          <w:lang w:val="en-US" w:eastAsia="zh-CN" w:bidi="ar-SA"/>
        </w:rPr>
      </w:pPr>
      <w:r>
        <w:rPr>
          <w:rFonts w:hint="eastAsia" w:ascii="仿宋" w:hAnsi="仿宋" w:eastAsia="仿宋" w:cs="仿宋"/>
          <w:b/>
          <w:bCs/>
          <w:sz w:val="32"/>
          <w:szCs w:val="32"/>
        </w:rPr>
        <w:t>（2）立法的可操作性。</w:t>
      </w:r>
      <w:r>
        <w:rPr>
          <w:rFonts w:hint="eastAsia" w:ascii="仿宋" w:hAnsi="仿宋" w:eastAsia="仿宋" w:cs="仿宋"/>
          <w:sz w:val="32"/>
          <w:szCs w:val="32"/>
        </w:rPr>
        <w:t>《</w:t>
      </w:r>
      <w:r>
        <w:rPr>
          <w:rFonts w:hint="eastAsia" w:ascii="仿宋" w:hAnsi="仿宋" w:eastAsia="仿宋" w:cs="仿宋"/>
          <w:kern w:val="0"/>
          <w:sz w:val="32"/>
          <w:szCs w:val="32"/>
          <w:lang w:val="en-US" w:eastAsia="zh-CN" w:bidi="ar-SA"/>
        </w:rPr>
        <w:t>程序规定》对行政处罚的立案、管辖、受理、调查、听证等各程序的设定、操作、衔接的规定，都体现出较强的可操作性。但是，在将《程序规定》与上位法《行政处罚法》进行进行对比的过程中会发现，《行政处罚法》的有些规定比《程序规定》还要详细、具体、明确、全面。比如：《程序规定》第九条（行政检查的程序要求）规定：行政执法人员进行行政检查或者调查时应当出示行政执法证件。但没有规定未出示执法证的法律后果，而《行政处罚法》则明确，执法人员不出示执法证件的，当事人或者有关人员有权拒绝接受调查或者检查。对于目前类似这种上位法规定越来越详细具体的立法趋势，作为实施性立法的地方政府规章的立法空间也正在被压缩，具体到本市的《程序规定》，其存在的必要性进一步弱化。</w:t>
      </w:r>
    </w:p>
    <w:p>
      <w:pPr>
        <w:pStyle w:val="4"/>
        <w:pageBreakBefore w:val="0"/>
        <w:numPr>
          <w:ilvl w:val="0"/>
          <w:numId w:val="1"/>
        </w:numPr>
        <w:kinsoku/>
        <w:wordWrap/>
        <w:overflowPunct/>
        <w:topLinePunct w:val="0"/>
        <w:autoSpaceDE/>
        <w:autoSpaceDN/>
        <w:bidi w:val="0"/>
        <w:spacing w:line="560" w:lineRule="exact"/>
        <w:ind w:left="0" w:firstLine="641"/>
        <w:rPr>
          <w:rFonts w:hint="eastAsia"/>
        </w:rPr>
      </w:pPr>
      <w:bookmarkStart w:id="32" w:name="_Toc11729"/>
      <w:r>
        <w:rPr>
          <w:rFonts w:hint="eastAsia"/>
        </w:rPr>
        <w:t>立法的实效性【较好】</w:t>
      </w:r>
      <w:bookmarkEnd w:id="32"/>
    </w:p>
    <w:p>
      <w:pPr>
        <w:keepNext w:val="0"/>
        <w:keepLines w:val="0"/>
        <w:pageBreakBefore w:val="0"/>
        <w:kinsoku/>
        <w:wordWrap/>
        <w:overflowPunct/>
        <w:topLinePunct w:val="0"/>
        <w:autoSpaceDE/>
        <w:autoSpaceDN/>
        <w:bidi w:val="0"/>
        <w:spacing w:afterAutospacing="0" w:line="560" w:lineRule="exact"/>
        <w:ind w:firstLine="48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实效性，是指立法在具体实施过程中所带来的社会效果，即立法的制度设计在实施中的实现程度。</w:t>
      </w:r>
    </w:p>
    <w:p>
      <w:pPr>
        <w:keepNext w:val="0"/>
        <w:keepLines w:val="0"/>
        <w:pageBreakBefore w:val="0"/>
        <w:kinsoku/>
        <w:wordWrap/>
        <w:overflowPunct/>
        <w:topLinePunct w:val="0"/>
        <w:autoSpaceDE/>
        <w:autoSpaceDN/>
        <w:bidi w:val="0"/>
        <w:spacing w:afterAutospacing="0" w:line="560" w:lineRule="exact"/>
        <w:ind w:firstLine="480"/>
        <w:jc w:val="left"/>
        <w:rPr>
          <w:rFonts w:ascii="仿宋" w:hAnsi="仿宋" w:eastAsia="仿宋" w:cs="仿宋"/>
          <w:sz w:val="32"/>
          <w:szCs w:val="32"/>
        </w:rPr>
      </w:pPr>
      <w:r>
        <w:rPr>
          <w:rFonts w:hint="eastAsia" w:ascii="仿宋" w:hAnsi="仿宋" w:eastAsia="仿宋" w:cs="仿宋"/>
          <w:kern w:val="0"/>
          <w:sz w:val="32"/>
          <w:szCs w:val="32"/>
          <w:lang w:val="en-US" w:eastAsia="zh-CN" w:bidi="ar-SA"/>
        </w:rPr>
        <w:t>（1</w:t>
      </w:r>
      <w:r>
        <w:rPr>
          <w:rFonts w:hint="eastAsia" w:ascii="仿宋_GB2312" w:eastAsia="仿宋_GB2312"/>
          <w:color w:val="000000"/>
          <w:sz w:val="32"/>
          <w:szCs w:val="32"/>
        </w:rPr>
        <w:t>）</w:t>
      </w:r>
      <w:r>
        <w:rPr>
          <w:rFonts w:hint="eastAsia" w:ascii="Calibri" w:hAnsi="Calibri" w:eastAsia="仿宋" w:cs="Calibri"/>
          <w:b/>
          <w:bCs/>
          <w:sz w:val="32"/>
          <w:szCs w:val="32"/>
        </w:rPr>
        <w:t>守法的有效性。</w:t>
      </w:r>
      <w:r>
        <w:rPr>
          <w:rFonts w:hint="eastAsia" w:ascii="仿宋" w:hAnsi="仿宋" w:eastAsia="仿宋" w:cs="仿宋"/>
          <w:sz w:val="32"/>
          <w:szCs w:val="32"/>
        </w:rPr>
        <w:t>总体上，《程序规定》从整个行政处罚的流程入手，易得到行政相对人的遵守。但部分条款仍</w:t>
      </w:r>
      <w:r>
        <w:rPr>
          <w:rFonts w:hint="eastAsia" w:ascii="仿宋" w:hAnsi="仿宋" w:eastAsia="仿宋" w:cs="仿宋"/>
          <w:sz w:val="32"/>
          <w:szCs w:val="32"/>
          <w:lang w:eastAsia="zh-CN"/>
        </w:rPr>
        <w:t>存在一定</w:t>
      </w:r>
      <w:r>
        <w:rPr>
          <w:rFonts w:hint="eastAsia" w:ascii="仿宋" w:hAnsi="仿宋" w:eastAsia="仿宋" w:cs="仿宋"/>
          <w:sz w:val="32"/>
          <w:szCs w:val="32"/>
        </w:rPr>
        <w:t>问题，比如：第二十七条（责令暂停营业）当经营者在违法行为情节复杂或者情节严重，经查明后可能给予较重处罚的；不暂停相关营业，违法行为将继续的；不暂停相关营业，可能影响违法事实的认定，采取其他措施又不足以保证查明的，经区</w:t>
      </w:r>
      <w:r>
        <w:rPr>
          <w:rFonts w:hint="eastAsia" w:ascii="仿宋" w:hAnsi="仿宋" w:eastAsia="仿宋" w:cs="仿宋"/>
          <w:sz w:val="32"/>
          <w:szCs w:val="32"/>
          <w:lang w:eastAsia="zh-CN"/>
        </w:rPr>
        <w:t>市场监督管理</w:t>
      </w:r>
      <w:r>
        <w:rPr>
          <w:rFonts w:hint="eastAsia" w:ascii="仿宋" w:hAnsi="仿宋" w:eastAsia="仿宋" w:cs="仿宋"/>
          <w:sz w:val="32"/>
          <w:szCs w:val="32"/>
        </w:rPr>
        <w:t>局负责人批准，可以依法责令当事人暂停相关营业。责令暂停相关营业的期限不超过15日；情况复杂的，经区</w:t>
      </w:r>
      <w:r>
        <w:rPr>
          <w:rFonts w:hint="eastAsia" w:ascii="仿宋" w:hAnsi="仿宋" w:eastAsia="仿宋" w:cs="仿宋"/>
          <w:sz w:val="32"/>
          <w:szCs w:val="32"/>
          <w:lang w:eastAsia="zh-CN"/>
        </w:rPr>
        <w:t>市场监督管理</w:t>
      </w:r>
      <w:r>
        <w:rPr>
          <w:rFonts w:hint="eastAsia" w:ascii="仿宋" w:hAnsi="仿宋" w:eastAsia="仿宋" w:cs="仿宋"/>
          <w:sz w:val="32"/>
          <w:szCs w:val="32"/>
        </w:rPr>
        <w:t>局负责人批准，最长可以延长15日。这一规定，无论是在《行政处罚法》中，还是《行政强制法》中都未</w:t>
      </w:r>
      <w:r>
        <w:rPr>
          <w:rFonts w:hint="eastAsia" w:ascii="仿宋" w:hAnsi="仿宋" w:eastAsia="仿宋" w:cs="仿宋"/>
          <w:sz w:val="32"/>
          <w:szCs w:val="32"/>
          <w:lang w:eastAsia="zh-CN"/>
        </w:rPr>
        <w:t>有涉及</w:t>
      </w:r>
      <w:r>
        <w:rPr>
          <w:rFonts w:hint="eastAsia" w:ascii="仿宋" w:hAnsi="仿宋" w:eastAsia="仿宋" w:cs="仿宋"/>
          <w:sz w:val="32"/>
          <w:szCs w:val="32"/>
        </w:rPr>
        <w:t>。而暂停营业对于</w:t>
      </w:r>
      <w:r>
        <w:rPr>
          <w:rFonts w:hint="eastAsia" w:ascii="仿宋" w:hAnsi="仿宋" w:eastAsia="仿宋" w:cs="仿宋"/>
          <w:sz w:val="32"/>
          <w:szCs w:val="32"/>
          <w:lang w:eastAsia="zh-CN"/>
        </w:rPr>
        <w:t>经营者</w:t>
      </w:r>
      <w:r>
        <w:rPr>
          <w:rFonts w:hint="eastAsia" w:ascii="仿宋" w:hAnsi="仿宋" w:eastAsia="仿宋" w:cs="仿宋"/>
          <w:sz w:val="32"/>
          <w:szCs w:val="32"/>
        </w:rPr>
        <w:t>来说，</w:t>
      </w:r>
      <w:r>
        <w:rPr>
          <w:rFonts w:hint="eastAsia" w:ascii="仿宋" w:hAnsi="仿宋" w:eastAsia="仿宋" w:cs="仿宋"/>
          <w:sz w:val="32"/>
          <w:szCs w:val="32"/>
          <w:lang w:eastAsia="zh-CN"/>
        </w:rPr>
        <w:t>会</w:t>
      </w:r>
      <w:r>
        <w:rPr>
          <w:rFonts w:hint="eastAsia" w:ascii="仿宋" w:hAnsi="仿宋" w:eastAsia="仿宋" w:cs="仿宋"/>
          <w:sz w:val="32"/>
          <w:szCs w:val="32"/>
        </w:rPr>
        <w:t>使其失去行为能力。在守法的有效性上，很难获得相对人的配合。</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both"/>
        <w:rPr>
          <w:rFonts w:hint="eastAsia" w:ascii="仿宋" w:hAnsi="仿宋" w:eastAsia="仿宋" w:cs="仿宋"/>
          <w:b/>
          <w:bCs/>
          <w:kern w:val="2"/>
          <w:sz w:val="32"/>
          <w:szCs w:val="32"/>
        </w:rPr>
      </w:pPr>
      <w:r>
        <w:rPr>
          <w:rFonts w:hint="eastAsia" w:ascii="Calibri" w:hAnsi="Calibri" w:eastAsia="仿宋" w:cs="Calibri"/>
          <w:b/>
          <w:bCs/>
          <w:kern w:val="2"/>
          <w:sz w:val="32"/>
          <w:szCs w:val="32"/>
          <w:lang w:val="en-US" w:eastAsia="zh-CN" w:bidi="ar-SA"/>
        </w:rPr>
        <w:t>（2）执法的有效性。</w:t>
      </w:r>
      <w:r>
        <w:rPr>
          <w:rFonts w:hint="eastAsia" w:ascii="仿宋" w:hAnsi="仿宋" w:eastAsia="仿宋" w:cs="仿宋"/>
          <w:kern w:val="2"/>
          <w:sz w:val="32"/>
          <w:szCs w:val="32"/>
        </w:rPr>
        <w:t>《程序规定》明确的执法主体是市区两级市场监督管理局。从行政处罚的统计数据来看，区里承担了其中的主要部分。《行政处罚法》第二十四条规定：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这是行政执法领域的权力下放，可以进一步强化执法力量的网格化。但是，在《程序规定》中有关行政处罚权的下放没有明确体现。这在一定程度上影响了行政处罚的实施。</w:t>
      </w:r>
      <w:bookmarkStart w:id="33" w:name="27"/>
      <w:r>
        <w:rPr>
          <w:rFonts w:hint="eastAsia" w:ascii="仿宋" w:hAnsi="仿宋" w:eastAsia="仿宋" w:cs="仿宋"/>
          <w:kern w:val="2"/>
          <w:sz w:val="32"/>
          <w:szCs w:val="32"/>
        </w:rPr>
        <w:t>再比如：《行政处罚法》第二十七条</w:t>
      </w:r>
      <w:bookmarkEnd w:id="33"/>
      <w:r>
        <w:rPr>
          <w:rFonts w:hint="eastAsia" w:ascii="仿宋" w:hAnsi="仿宋" w:eastAsia="仿宋" w:cs="仿宋"/>
          <w:kern w:val="2"/>
          <w:sz w:val="32"/>
          <w:szCs w:val="32"/>
        </w:rPr>
        <w:t>还规定了行刑衔接的另外一种情况，即对依法不需要追究刑事责任或者免予刑事处罚，但应当给予行政处罚的，司法机关应当及时将案件移送有关行政机关。《程序规定》对于行政机关承接司法机关移送案件的相关程序未有涉及。</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（3）与社会发展的相适应性。</w:t>
      </w:r>
      <w:r>
        <w:rPr>
          <w:rFonts w:hint="eastAsia" w:ascii="仿宋" w:hAnsi="仿宋" w:eastAsia="仿宋" w:cs="仿宋"/>
          <w:sz w:val="32"/>
          <w:szCs w:val="32"/>
        </w:rPr>
        <w:t>《程序规定》对目前盛行的网络交易平台经营者和通过自建网站、其他网络服务销售商品或者提供服务的网络交易经营者的违法行为，对利用广播、电影、电视、报纸、期刊、互联网等大众传播媒介发布违法广告的行为等，如何实施行政处罚未作规定。在目前网络交易规模逐渐壮大、网络经营者被投诉举报数量不断增多的大环境下，《程序规定》相关规定的缺失，在一定程度上反映了其落后于社会治理的现状。</w:t>
      </w:r>
    </w:p>
    <w:p>
      <w:pPr>
        <w:pStyle w:val="4"/>
        <w:pageBreakBefore w:val="0"/>
        <w:numPr>
          <w:ilvl w:val="0"/>
          <w:numId w:val="1"/>
        </w:numPr>
        <w:kinsoku/>
        <w:wordWrap/>
        <w:overflowPunct/>
        <w:topLinePunct w:val="0"/>
        <w:autoSpaceDE/>
        <w:autoSpaceDN/>
        <w:bidi w:val="0"/>
        <w:spacing w:line="560" w:lineRule="exact"/>
        <w:ind w:left="0" w:firstLine="641"/>
        <w:rPr>
          <w:rFonts w:hint="eastAsia" w:ascii="Calibri" w:hAnsi="Calibri" w:eastAsia="仿宋" w:cs="Calibri"/>
          <w:b/>
          <w:bCs/>
          <w:kern w:val="2"/>
          <w:sz w:val="32"/>
          <w:szCs w:val="32"/>
          <w:lang w:val="en-US" w:eastAsia="zh-CN" w:bidi="ar-SA"/>
        </w:rPr>
      </w:pPr>
      <w:bookmarkStart w:id="34" w:name="_Toc13359"/>
      <w:r>
        <w:rPr>
          <w:rFonts w:hint="eastAsia"/>
          <w:lang w:val="en-US" w:eastAsia="zh-CN"/>
        </w:rPr>
        <w:t>关于</w:t>
      </w:r>
      <w:r>
        <w:rPr>
          <w:rFonts w:hint="eastAsia" w:ascii="Calibri" w:hAnsi="Calibri" w:eastAsia="仿宋" w:cs="Calibri"/>
          <w:b/>
          <w:bCs/>
          <w:kern w:val="2"/>
          <w:sz w:val="32"/>
          <w:szCs w:val="32"/>
          <w:lang w:val="en-US" w:eastAsia="zh-CN" w:bidi="ar-SA"/>
        </w:rPr>
        <w:t>立法的协调性【好】</w:t>
      </w:r>
      <w:bookmarkEnd w:id="34"/>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协调性是以合法为前提的，立法与相关同位法、配套规范性文件和公共政策之间的连贯性与一致性。</w:t>
      </w:r>
    </w:p>
    <w:p>
      <w:pPr>
        <w:keepNext w:val="0"/>
        <w:keepLines w:val="0"/>
        <w:pageBreakBefore w:val="0"/>
        <w:kinsoku/>
        <w:wordWrap/>
        <w:overflowPunct/>
        <w:topLinePunct w:val="0"/>
        <w:autoSpaceDE/>
        <w:autoSpaceDN/>
        <w:bidi w:val="0"/>
        <w:spacing w:afterAutospacing="0" w:line="560" w:lineRule="exact"/>
        <w:ind w:firstLine="560"/>
        <w:jc w:val="left"/>
        <w:rPr>
          <w:rFonts w:hint="eastAsia" w:ascii="仿宋" w:hAnsi="仿宋" w:eastAsia="仿宋" w:cs="仿宋"/>
          <w:b/>
          <w:bCs/>
          <w:sz w:val="32"/>
          <w:szCs w:val="32"/>
        </w:rPr>
      </w:pPr>
      <w:r>
        <w:rPr>
          <w:rFonts w:hint="eastAsia" w:ascii="仿宋" w:hAnsi="仿宋" w:eastAsia="仿宋" w:cs="仿宋"/>
          <w:b/>
          <w:bCs/>
          <w:sz w:val="32"/>
          <w:szCs w:val="32"/>
        </w:rPr>
        <w:t>（1）与相关同位法之间的协调性。</w:t>
      </w:r>
      <w:r>
        <w:rPr>
          <w:rFonts w:hint="eastAsia" w:ascii="仿宋" w:hAnsi="仿宋" w:eastAsia="仿宋" w:cs="仿宋"/>
          <w:sz w:val="32"/>
          <w:szCs w:val="32"/>
        </w:rPr>
        <w:t>与《程序规定》处于同位阶的法律规范主要是本市市场监督管理部门的3部地方政府规章——《上海市市场监督管理投诉举报处理程序规定》《上海市行政处罚听证程序规定》《上海市行政处罚案件信息主动公开办法》。3部地方政府规章分别规范了行政处罚前端线索发现程序，在行政处罚过程中当事人的听证权利保障以及行政处罚案件信息的公开。《程序规定》在第十四条（立案期限），将投诉、举报、移送、交办等，作为发现违法行为线索的途径，并规定区市场监督管理局应当自获得线索材料之日起10日内，组织核查并决定是否立案。《程序规定》第三十七条（听证）专门对行政处罚过程中的听证作出了规定，即“区市场监管局拟作出的行政处罚属于听证范围的，应当告知当事人有要求举行听证的权利”，明确规定区市场监督管理局组织开展行政处罚听证活动，适用《</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"javascript:SLC(17916601,0)" </w:instrText>
      </w:r>
      <w:r>
        <w:rPr>
          <w:rFonts w:hint="eastAsia" w:ascii="仿宋" w:hAnsi="仿宋" w:eastAsia="仿宋" w:cs="仿宋"/>
          <w:sz w:val="32"/>
          <w:szCs w:val="32"/>
        </w:rPr>
        <w:fldChar w:fldCharType="separate"/>
      </w:r>
      <w:r>
        <w:rPr>
          <w:rFonts w:hint="eastAsia" w:ascii="仿宋" w:hAnsi="仿宋" w:eastAsia="仿宋" w:cs="仿宋"/>
          <w:sz w:val="32"/>
          <w:szCs w:val="32"/>
        </w:rPr>
        <w:t>上海市行政处罚听证程序规定</w:t>
      </w:r>
      <w:r>
        <w:rPr>
          <w:rFonts w:hint="eastAsia" w:ascii="仿宋" w:hAnsi="仿宋" w:eastAsia="仿宋" w:cs="仿宋"/>
          <w:sz w:val="32"/>
          <w:szCs w:val="32"/>
        </w:rPr>
        <w:fldChar w:fldCharType="end"/>
      </w:r>
      <w:r>
        <w:rPr>
          <w:rFonts w:hint="eastAsia" w:ascii="仿宋" w:hAnsi="仿宋" w:eastAsia="仿宋" w:cs="仿宋"/>
          <w:sz w:val="32"/>
          <w:szCs w:val="32"/>
        </w:rPr>
        <w:t>》。《程序规定》第四十二条（行政处罚决定的主动公开）明确规定“区市场监管局作出的行政处罚决定，应当按照《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"javascript:SLC(17916600,0)" </w:instrText>
      </w:r>
      <w:r>
        <w:rPr>
          <w:rFonts w:hint="eastAsia" w:ascii="仿宋" w:hAnsi="仿宋" w:eastAsia="仿宋" w:cs="仿宋"/>
          <w:sz w:val="32"/>
          <w:szCs w:val="32"/>
        </w:rPr>
        <w:fldChar w:fldCharType="separate"/>
      </w:r>
      <w:r>
        <w:rPr>
          <w:rFonts w:hint="eastAsia" w:ascii="仿宋" w:hAnsi="仿宋" w:eastAsia="仿宋" w:cs="仿宋"/>
          <w:sz w:val="32"/>
          <w:szCs w:val="32"/>
        </w:rPr>
        <w:t>上海市行政处罚案件信息主动公开办法</w:t>
      </w:r>
      <w:r>
        <w:rPr>
          <w:rFonts w:hint="eastAsia" w:ascii="仿宋" w:hAnsi="仿宋" w:eastAsia="仿宋" w:cs="仿宋"/>
          <w:sz w:val="32"/>
          <w:szCs w:val="32"/>
        </w:rPr>
        <w:fldChar w:fldCharType="end"/>
      </w:r>
      <w:r>
        <w:rPr>
          <w:rFonts w:hint="eastAsia" w:ascii="仿宋" w:hAnsi="仿宋" w:eastAsia="仿宋" w:cs="仿宋"/>
          <w:sz w:val="32"/>
          <w:szCs w:val="32"/>
        </w:rPr>
        <w:t>》的规定，向社会主动公开。”《程序规定》与3部同位阶规章的规定不存在相互冲突的情形，而是互为配套适用的格局。</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（2）与配套规范性文件的协调性。</w:t>
      </w:r>
      <w:r>
        <w:rPr>
          <w:rFonts w:hint="eastAsia" w:ascii="仿宋" w:hAnsi="仿宋" w:eastAsia="仿宋" w:cs="仿宋"/>
          <w:kern w:val="2"/>
          <w:sz w:val="32"/>
          <w:szCs w:val="32"/>
        </w:rPr>
        <w:t>2019年，为贯彻落实国家市场监督管理总局《市场监督管理部门全面推行行政执法公示制度执法全过程记录制度重大执法决定法制审核制度实施意见》和市政府办公厅《上海市全面推行行政执法公示制度执法全过程记录制度重大执法决定法制审核制度实施方案》，市市场监督管理局随之颁布了《上海市市场监督管理局关于全面推行行政执法公示制度执法全过程记录制度重大执法决定法制审核制度的实施意见》，在本市市场监督管理系统全面推行行政执法公示制度、执法全过程记录制度、重大执法决定法制审核制度（以下统称“三项制度”）。</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仿宋" w:hAnsi="仿宋" w:eastAsia="仿宋" w:cs="仿宋"/>
          <w:b/>
          <w:bCs/>
          <w:kern w:val="2"/>
          <w:sz w:val="32"/>
          <w:szCs w:val="32"/>
        </w:rPr>
      </w:pPr>
      <w:r>
        <w:rPr>
          <w:rFonts w:hint="eastAsia" w:ascii="仿宋" w:hAnsi="仿宋" w:eastAsia="仿宋" w:cs="仿宋"/>
          <w:kern w:val="2"/>
          <w:sz w:val="32"/>
          <w:szCs w:val="32"/>
        </w:rPr>
        <w:t>按照“三项制度”的相关规定，行政许可、行政检查、行政处罚、行政强制等执法事项的事前、事中、事后不同阶段的执法信息，包括办事指南、随机抽查事项清单、行政执法人员执法证件信息等，统一在上海市行政</w:t>
      </w:r>
      <w:r>
        <w:rPr>
          <w:rFonts w:hint="eastAsia" w:ascii="仿宋" w:hAnsi="仿宋" w:eastAsia="仿宋" w:cs="仿宋"/>
          <w:kern w:val="2"/>
          <w:sz w:val="32"/>
          <w:szCs w:val="32"/>
          <w:lang w:eastAsia="zh-CN"/>
        </w:rPr>
        <w:t>执法信息</w:t>
      </w:r>
      <w:r>
        <w:rPr>
          <w:rFonts w:hint="eastAsia" w:ascii="仿宋" w:hAnsi="仿宋" w:eastAsia="仿宋" w:cs="仿宋"/>
          <w:kern w:val="2"/>
          <w:sz w:val="32"/>
          <w:szCs w:val="32"/>
        </w:rPr>
        <w:t>公示平台及相关门户网站公开，并与“一网通办”“行政许可和行政处罚信息公示”、权责清单公示、双随机抽查事项公示等工作实现信息共享。《程序规定》虽然并未涉及“三项制度”，但是，“三项制度”的出台与实施，在一定程度上强化了《程序规定》，进一步规范了行政处罚的程序。</w:t>
      </w:r>
    </w:p>
    <w:p>
      <w:pPr>
        <w:keepNext w:val="0"/>
        <w:keepLines w:val="0"/>
        <w:pageBreakBefore w:val="0"/>
        <w:kinsoku/>
        <w:wordWrap/>
        <w:overflowPunct/>
        <w:topLinePunct w:val="0"/>
        <w:autoSpaceDE/>
        <w:autoSpaceDN/>
        <w:bidi w:val="0"/>
        <w:spacing w:afterAutospacing="0" w:line="560" w:lineRule="exact"/>
        <w:ind w:firstLine="480"/>
        <w:jc w:val="left"/>
        <w:rPr>
          <w:rFonts w:hint="default" w:ascii="仿宋" w:hAnsi="仿宋" w:eastAsia="仿宋" w:cs="仿宋"/>
          <w:b/>
          <w:bCs/>
          <w:sz w:val="32"/>
          <w:szCs w:val="32"/>
          <w:lang w:val="en-US" w:eastAsia="zh-CN"/>
        </w:rPr>
      </w:pPr>
      <w:r>
        <w:rPr>
          <w:rFonts w:hint="eastAsia" w:ascii="仿宋" w:hAnsi="仿宋" w:eastAsia="仿宋" w:cs="仿宋"/>
          <w:b/>
          <w:bCs/>
          <w:sz w:val="32"/>
          <w:szCs w:val="32"/>
        </w:rPr>
        <w:t>（3）与其他公共政策之间的协调性。</w:t>
      </w:r>
      <w:r>
        <w:rPr>
          <w:rFonts w:hint="eastAsia" w:ascii="仿宋" w:hAnsi="仿宋" w:eastAsia="仿宋" w:cs="仿宋"/>
          <w:sz w:val="32"/>
          <w:szCs w:val="32"/>
        </w:rPr>
        <w:t>为保障依法行使行政处罚裁量权，市市场监督管理部门制定了《上海市市场监督管理行政处罚裁量基准适用规定》《上海市市场监督管理行政处罚裁量基准（试行）》。市市场监督管理局与市司法局联合印发了《市场监管领域轻微违法违规经营行为免罚清单（二）》，与《程序规定》相配合，分别从实体和程序两方面，保证行政处罚的实施，应罚尽罚，尽可能减少行政执法人员的自由裁量权限。同时，为创造良好的营商环境，对轻微违法违规经营采取包容审慎的监管方式，为企业减负，鼓励市场主体进行试错和创新。</w:t>
      </w:r>
    </w:p>
    <w:p>
      <w:pPr>
        <w:pStyle w:val="4"/>
        <w:pageBreakBefore w:val="0"/>
        <w:numPr>
          <w:ilvl w:val="0"/>
          <w:numId w:val="1"/>
        </w:numPr>
        <w:kinsoku/>
        <w:wordWrap/>
        <w:overflowPunct/>
        <w:topLinePunct w:val="0"/>
        <w:autoSpaceDE/>
        <w:autoSpaceDN/>
        <w:bidi w:val="0"/>
        <w:spacing w:line="560" w:lineRule="exact"/>
        <w:ind w:left="0" w:firstLine="641"/>
        <w:rPr>
          <w:rFonts w:hint="eastAsia"/>
          <w:lang w:val="en-US" w:eastAsia="zh-CN"/>
        </w:rPr>
      </w:pPr>
      <w:bookmarkStart w:id="35" w:name="_Toc8071"/>
      <w:r>
        <w:rPr>
          <w:rFonts w:hint="eastAsia"/>
          <w:lang w:val="en-US" w:eastAsia="zh-CN"/>
        </w:rPr>
        <w:t>关于立法的技术【好】</w:t>
      </w:r>
      <w:bookmarkEnd w:id="35"/>
    </w:p>
    <w:p>
      <w:pPr>
        <w:pStyle w:val="12"/>
        <w:keepNext w:val="0"/>
        <w:keepLines w:val="0"/>
        <w:pageBreakBefore w:val="0"/>
        <w:widowControl/>
        <w:kinsoku/>
        <w:wordWrap/>
        <w:overflowPunct/>
        <w:topLinePunct w:val="0"/>
        <w:autoSpaceDE/>
        <w:autoSpaceDN/>
        <w:bidi w:val="0"/>
        <w:spacing w:beforeAutospacing="0" w:afterAutospacing="0" w:line="560" w:lineRule="exact"/>
        <w:ind w:firstLine="642"/>
        <w:jc w:val="both"/>
        <w:rPr>
          <w:rFonts w:ascii="Calibri" w:hAnsi="Calibri" w:eastAsia="仿宋" w:cs="Calibri"/>
          <w:b/>
          <w:bCs/>
          <w:kern w:val="2"/>
          <w:sz w:val="32"/>
          <w:szCs w:val="32"/>
        </w:rPr>
      </w:pPr>
      <w:r>
        <w:rPr>
          <w:rFonts w:hint="eastAsia" w:ascii="仿宋_GB2312" w:eastAsia="仿宋_GB2312"/>
          <w:color w:val="000000"/>
          <w:sz w:val="32"/>
          <w:szCs w:val="32"/>
        </w:rPr>
        <w:t>立法技术对立法质量以至对于立法的实施，包括执法和守法有非常直接和重大的影响。立法技术是指“依照一定之体例，遵循一定之格式，运用妥恰之词语（法律语言），以显示立法原则，并使立法原则或国家政策转换为具体法律条文之过程”。</w:t>
      </w:r>
    </w:p>
    <w:p>
      <w:pPr>
        <w:keepNext w:val="0"/>
        <w:keepLines w:val="0"/>
        <w:pageBreakBefore w:val="0"/>
        <w:kinsoku/>
        <w:wordWrap/>
        <w:overflowPunct/>
        <w:topLinePunct w:val="0"/>
        <w:autoSpaceDE/>
        <w:autoSpaceDN/>
        <w:bidi w:val="0"/>
        <w:spacing w:afterAutospacing="0" w:line="560" w:lineRule="exact"/>
        <w:jc w:val="left"/>
        <w:rPr>
          <w:rFonts w:ascii="仿宋" w:hAnsi="仿宋" w:eastAsia="仿宋" w:cs="仿宋"/>
          <w:b/>
          <w:bCs/>
          <w:sz w:val="32"/>
          <w:szCs w:val="32"/>
        </w:rPr>
      </w:pPr>
      <w:r>
        <w:rPr>
          <w:rFonts w:hint="eastAsia" w:ascii="仿宋" w:hAnsi="仿宋" w:eastAsia="仿宋" w:cs="仿宋"/>
          <w:b/>
          <w:bCs/>
          <w:sz w:val="32"/>
          <w:szCs w:val="32"/>
        </w:rPr>
        <w:t xml:space="preserve">   （1）文本结构的完整性。</w:t>
      </w:r>
      <w:r>
        <w:rPr>
          <w:rFonts w:hint="eastAsia" w:ascii="仿宋" w:hAnsi="仿宋" w:eastAsia="仿宋" w:cs="仿宋"/>
          <w:sz w:val="32"/>
          <w:szCs w:val="32"/>
        </w:rPr>
        <w:t>《程序规定》共72条，主要涵盖了立法依据、适用范围、管辖、立案、调查取证、证据、许可、法律责任、救济、施行日期等，从整体上来看，文本结构和内容较为完整。</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（2）立法语言的准确性。</w:t>
      </w:r>
      <w:r>
        <w:rPr>
          <w:rFonts w:hint="eastAsia" w:ascii="仿宋" w:hAnsi="仿宋" w:eastAsia="仿宋" w:cs="仿宋"/>
          <w:kern w:val="2"/>
          <w:sz w:val="32"/>
          <w:szCs w:val="32"/>
        </w:rPr>
        <w:t>通过对《程序规定》文本用语的分析，《程序规定》的立法语言总体上准确规范，在语言逻辑和内部结构方面也不存在相互矛盾和冲突的问题。当然，在评估过程中，也发现个别条款在表述上不够明确的问题。比如：《程序规定》第十一条（责令改正）规定：“区市场监管局责令当事人改正违法行为的，应当明确改正的内容和期限”。但是，对于责令改正的时间规定不明确。而《行政处罚法）第二十八条则十分明确地规定，行政机关实施行政处罚时，应当要求当事人改正或者限期改正违法行为。</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（3）内在逻辑的严密性。</w:t>
      </w:r>
      <w:r>
        <w:rPr>
          <w:rFonts w:hint="eastAsia" w:ascii="仿宋" w:hAnsi="仿宋" w:eastAsia="仿宋" w:cs="仿宋"/>
          <w:kern w:val="2"/>
          <w:sz w:val="32"/>
          <w:szCs w:val="32"/>
        </w:rPr>
        <w:t>《程序规定》分总则；管辖；行政处罚的一般程序；行政处罚的简易程序；先行登记保存、查封、扣押；执行；结案与监督；期间与送达；附则共九章。对内容较多的一般程序，又分五节进行表述：一般规定、立案、调查取证、审核与告知、决定。以处罚程序全过程为主线，从一般到特殊，从总则到具体规定再到附则，虽与</w:t>
      </w:r>
      <w:r>
        <w:rPr>
          <w:rFonts w:hint="eastAsia" w:ascii="仿宋" w:hAnsi="仿宋" w:eastAsia="仿宋" w:cs="仿宋"/>
          <w:kern w:val="2"/>
          <w:sz w:val="32"/>
          <w:szCs w:val="32"/>
          <w:lang w:eastAsia="zh-CN"/>
        </w:rPr>
        <w:t>国家</w:t>
      </w:r>
      <w:r>
        <w:rPr>
          <w:rFonts w:hint="eastAsia" w:ascii="仿宋" w:hAnsi="仿宋" w:eastAsia="仿宋" w:cs="仿宋"/>
          <w:kern w:val="2"/>
          <w:sz w:val="32"/>
          <w:szCs w:val="32"/>
        </w:rPr>
        <w:t>部门规章的章节名称并不完全相同，但内在逻辑严密，结构完整。</w:t>
      </w:r>
    </w:p>
    <w:p>
      <w:pPr>
        <w:pStyle w:val="2"/>
        <w:pageBreakBefore w:val="0"/>
        <w:kinsoku/>
        <w:wordWrap/>
        <w:overflowPunct/>
        <w:topLinePunct w:val="0"/>
        <w:autoSpaceDE/>
        <w:autoSpaceDN/>
        <w:bidi w:val="0"/>
        <w:spacing w:line="560" w:lineRule="exact"/>
      </w:pPr>
      <w:bookmarkStart w:id="36" w:name="_Toc13465"/>
      <w:r>
        <w:rPr>
          <w:rFonts w:hint="eastAsia"/>
        </w:rPr>
        <w:t>三、评估建议</w:t>
      </w:r>
      <w:bookmarkEnd w:id="36"/>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综合以上评估情况，评估组对《程序规定》的评估建议是：废止。理由如下：</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从立法内容上来看，立法修订的必要性不充分。关于行政处罚程序的规定，国家层面已经作出具体而详尽的规定。经过比对，作为地方政府规章的《程序规定》与国家局的规定并无本致上的明显不同，有的只是因为制定时间较早及行政执法体制机制改革而产生的部分制度上的缺失。比如：有关“三项制度”的规定、有关《免罚清单》执行的规定等，而这些规定，在行政执法实践中，完全可以依据国家局部门规章的规定执行。因此，通过立法修订进行制度创新、填补空白或进一步细化的空间不大。</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二是从立法的历史使命来看，已完成解决机构改革阶段性问题的任务。虽然按照一级评估指标的结论，《程序规定》有</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个一级指标评估结论为“好”、</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个为“较好”，但是，从部门角度来讲，《程序规定》在立法时就有为解决机构改革阶段性问题的明确立法意图。目前，随着机构改革的完成，特别是随着行政执法三项制度的普遍实施，《程序规定》在执法实践中的存在感已经明显下降，基层一线行政执法人员已很少援引其作为具体行政处罚时的依据。因此，从执法实践的角度来讲，其存在的必要性大大降低。</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lang w:eastAsia="zh-CN"/>
        </w:rPr>
        <w:t>三是</w:t>
      </w:r>
      <w:r>
        <w:rPr>
          <w:rFonts w:hint="eastAsia" w:ascii="仿宋" w:hAnsi="仿宋" w:eastAsia="仿宋" w:cs="仿宋"/>
          <w:kern w:val="2"/>
          <w:sz w:val="32"/>
          <w:szCs w:val="32"/>
        </w:rPr>
        <w:t>从法治统一的角度来看，废止更有利于行政执法的统一规范。《程序规定》是对当事人程序正义的保障。在各地优化法治化营商环境保障力度不断加大的背景下，商事主体的流动性越来越强。全国统一的行政处罚程序规定，对商事主体选择经营城市时，更有利于保证其合理的守法预期；对行政执法单位来说，也可以避免因地方规定与国家规定不一致而可能导致的不必要的复议诉讼甚至败诉的风险。</w:t>
      </w:r>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仿宋" w:hAnsi="仿宋" w:eastAsia="仿宋" w:cs="仿宋"/>
          <w:kern w:val="2"/>
          <w:sz w:val="32"/>
          <w:szCs w:val="32"/>
        </w:rPr>
      </w:pPr>
    </w:p>
    <w:p>
      <w:pPr>
        <w:pStyle w:val="12"/>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ascii="微软雅黑" w:hAnsi="微软雅黑" w:eastAsia="微软雅黑" w:cs="微软雅黑"/>
          <w:color w:val="424242"/>
          <w:sz w:val="32"/>
          <w:szCs w:val="32"/>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rPr>
      <w:instrText xml:space="preserve">PAGE  </w:instrText>
    </w:r>
    <w:r>
      <w:fldChar w:fldCharType="separate"/>
    </w:r>
    <w:r>
      <w:rPr>
        <w:rStyle w:val="15"/>
      </w:rPr>
      <w:t>18</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华文隶书" w:eastAsia="华文隶书"/>
        <w:sz w:val="21"/>
        <w:szCs w:val="21"/>
      </w:rPr>
      <w:t>《上海市市场监督管理行政处罚程序规定》立法后评估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44756"/>
    <w:multiLevelType w:val="singleLevel"/>
    <w:tmpl w:val="2DF44756"/>
    <w:lvl w:ilvl="0" w:tentative="0">
      <w:start w:val="2"/>
      <w:numFmt w:val="decimal"/>
      <w:suff w:val="nothing"/>
      <w:lvlText w:val="（%1）"/>
      <w:lvlJc w:val="left"/>
    </w:lvl>
  </w:abstractNum>
  <w:abstractNum w:abstractNumId="1">
    <w:nsid w:val="71086A5B"/>
    <w:multiLevelType w:val="singleLevel"/>
    <w:tmpl w:val="71086A5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D0D8C"/>
    <w:rsid w:val="00005CCD"/>
    <w:rsid w:val="00017E84"/>
    <w:rsid w:val="0008228B"/>
    <w:rsid w:val="000B1D7C"/>
    <w:rsid w:val="000E4E77"/>
    <w:rsid w:val="001263FC"/>
    <w:rsid w:val="0017515B"/>
    <w:rsid w:val="001C5C3F"/>
    <w:rsid w:val="001E32B2"/>
    <w:rsid w:val="00264550"/>
    <w:rsid w:val="00285851"/>
    <w:rsid w:val="002B2605"/>
    <w:rsid w:val="003705FF"/>
    <w:rsid w:val="003A36B1"/>
    <w:rsid w:val="003F7BDB"/>
    <w:rsid w:val="00502EEF"/>
    <w:rsid w:val="00515567"/>
    <w:rsid w:val="005733BB"/>
    <w:rsid w:val="00666708"/>
    <w:rsid w:val="00673B4C"/>
    <w:rsid w:val="00680AC6"/>
    <w:rsid w:val="006A6DB4"/>
    <w:rsid w:val="006B7725"/>
    <w:rsid w:val="0075361D"/>
    <w:rsid w:val="00831117"/>
    <w:rsid w:val="0083158E"/>
    <w:rsid w:val="009318BC"/>
    <w:rsid w:val="00971C3F"/>
    <w:rsid w:val="009B2EA3"/>
    <w:rsid w:val="009C72E9"/>
    <w:rsid w:val="00A21D5A"/>
    <w:rsid w:val="00A50EC5"/>
    <w:rsid w:val="00A840D8"/>
    <w:rsid w:val="00AD7BD1"/>
    <w:rsid w:val="00AE6D0F"/>
    <w:rsid w:val="00BB1D54"/>
    <w:rsid w:val="00BE5189"/>
    <w:rsid w:val="00C4494E"/>
    <w:rsid w:val="00CC2852"/>
    <w:rsid w:val="00CD4836"/>
    <w:rsid w:val="00D35D8E"/>
    <w:rsid w:val="00D76176"/>
    <w:rsid w:val="00D93719"/>
    <w:rsid w:val="00DC2006"/>
    <w:rsid w:val="00E11342"/>
    <w:rsid w:val="00E34616"/>
    <w:rsid w:val="00F31C3C"/>
    <w:rsid w:val="00F83E6B"/>
    <w:rsid w:val="00FB7D72"/>
    <w:rsid w:val="00FE0B10"/>
    <w:rsid w:val="03FE7538"/>
    <w:rsid w:val="0C4E1FD1"/>
    <w:rsid w:val="0FD915C8"/>
    <w:rsid w:val="129E367A"/>
    <w:rsid w:val="12DD30A2"/>
    <w:rsid w:val="16C126BE"/>
    <w:rsid w:val="17772D82"/>
    <w:rsid w:val="18C7014A"/>
    <w:rsid w:val="1FE03B0C"/>
    <w:rsid w:val="25671724"/>
    <w:rsid w:val="27EB5D26"/>
    <w:rsid w:val="2A8B4408"/>
    <w:rsid w:val="2CAC007E"/>
    <w:rsid w:val="309055E4"/>
    <w:rsid w:val="314C7995"/>
    <w:rsid w:val="47770D58"/>
    <w:rsid w:val="47B276F9"/>
    <w:rsid w:val="47CB1A4C"/>
    <w:rsid w:val="48CA06ED"/>
    <w:rsid w:val="56937759"/>
    <w:rsid w:val="587D0B4D"/>
    <w:rsid w:val="59D40607"/>
    <w:rsid w:val="5A020869"/>
    <w:rsid w:val="648D5807"/>
    <w:rsid w:val="649B180E"/>
    <w:rsid w:val="68ED0D8C"/>
    <w:rsid w:val="6B335AA2"/>
    <w:rsid w:val="6F32606F"/>
    <w:rsid w:val="71C45296"/>
    <w:rsid w:val="75B011CB"/>
    <w:rsid w:val="787117EF"/>
    <w:rsid w:val="795A72C4"/>
    <w:rsid w:val="7BEB14EA"/>
    <w:rsid w:val="7CD2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spacing w:before="50" w:beforeLines="50" w:beforeAutospacing="0" w:after="50" w:afterLines="50" w:afterAutospacing="0" w:line="560" w:lineRule="exact"/>
      <w:ind w:firstLine="641" w:firstLineChars="200"/>
      <w:jc w:val="left"/>
      <w:outlineLvl w:val="0"/>
    </w:pPr>
    <w:rPr>
      <w:rFonts w:hint="eastAsia" w:ascii="宋体" w:hAnsi="宋体" w:eastAsia="黑体" w:cs="Times New Roman"/>
      <w:b/>
      <w:kern w:val="44"/>
      <w:sz w:val="32"/>
      <w:szCs w:val="48"/>
    </w:rPr>
  </w:style>
  <w:style w:type="paragraph" w:styleId="3">
    <w:name w:val="heading 2"/>
    <w:basedOn w:val="1"/>
    <w:next w:val="1"/>
    <w:unhideWhenUsed/>
    <w:qFormat/>
    <w:uiPriority w:val="0"/>
    <w:pPr>
      <w:spacing w:beforeAutospacing="0" w:afterAutospacing="0" w:line="560" w:lineRule="exact"/>
      <w:ind w:firstLine="641" w:firstLineChars="200"/>
      <w:jc w:val="left"/>
      <w:outlineLvl w:val="1"/>
    </w:pPr>
    <w:rPr>
      <w:rFonts w:hint="eastAsia" w:ascii="宋体" w:hAnsi="宋体" w:eastAsia="楷体" w:cs="Times New Roman"/>
      <w:b/>
      <w:kern w:val="0"/>
      <w:sz w:val="32"/>
      <w:szCs w:val="36"/>
    </w:rPr>
  </w:style>
  <w:style w:type="paragraph" w:styleId="4">
    <w:name w:val="heading 3"/>
    <w:basedOn w:val="1"/>
    <w:next w:val="1"/>
    <w:qFormat/>
    <w:uiPriority w:val="0"/>
    <w:pPr>
      <w:keepNext/>
      <w:keepLines/>
      <w:spacing w:line="560" w:lineRule="exact"/>
      <w:ind w:left="0" w:leftChars="0" w:firstLine="641" w:firstLineChars="200"/>
      <w:outlineLvl w:val="2"/>
    </w:pPr>
    <w:rPr>
      <w:rFonts w:ascii="Calibri" w:hAnsi="Calibri" w:eastAsia="仿宋" w:cs="Calibr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rPr>
      <w:rFonts w:eastAsia="仿宋" w:asciiTheme="minorAscii" w:hAnsiTheme="minorAscii"/>
      <w:sz w:val="32"/>
    </w:rPr>
  </w:style>
  <w:style w:type="paragraph" w:styleId="6">
    <w:name w:val="footer"/>
    <w:basedOn w:val="1"/>
    <w:qFormat/>
    <w:uiPriority w:val="0"/>
    <w:pPr>
      <w:tabs>
        <w:tab w:val="center" w:pos="4153"/>
        <w:tab w:val="right" w:pos="8306"/>
      </w:tabs>
      <w:snapToGrid w:val="0"/>
      <w:jc w:val="left"/>
    </w:pPr>
    <w:rPr>
      <w:rFonts w:ascii="Calibri" w:hAnsi="Calibri"/>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toc 1"/>
    <w:basedOn w:val="1"/>
    <w:next w:val="1"/>
    <w:uiPriority w:val="0"/>
    <w:rPr>
      <w:rFonts w:eastAsia="黑体" w:asciiTheme="minorAscii" w:hAnsiTheme="minorAscii"/>
      <w:b/>
      <w:sz w:val="32"/>
    </w:rPr>
  </w:style>
  <w:style w:type="paragraph" w:styleId="9">
    <w:name w:val="toc 4"/>
    <w:basedOn w:val="1"/>
    <w:next w:val="1"/>
    <w:qFormat/>
    <w:uiPriority w:val="0"/>
    <w:pPr>
      <w:ind w:left="200" w:leftChars="200" w:right="210" w:rightChars="100" w:firstLine="400"/>
    </w:pPr>
    <w:rPr>
      <w:rFonts w:ascii="Calibri" w:hAnsi="Calibri" w:eastAsia="仿宋" w:cs="Times New Roman"/>
      <w:sz w:val="24"/>
    </w:rPr>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rPr>
      <w:rFonts w:eastAsia="楷体" w:asciiTheme="minorAscii" w:hAnsiTheme="minorAscii"/>
      <w:sz w:val="32"/>
    </w:rPr>
  </w:style>
  <w:style w:type="paragraph" w:styleId="12">
    <w:name w:val="Normal (Web)"/>
    <w:basedOn w:val="1"/>
    <w:qFormat/>
    <w:uiPriority w:val="99"/>
    <w:pPr>
      <w:spacing w:beforeAutospacing="1" w:afterAutospacing="1"/>
      <w:jc w:val="left"/>
    </w:pPr>
    <w:rPr>
      <w:rFonts w:cs="Times New Roman"/>
      <w:kern w:val="0"/>
      <w:sz w:val="24"/>
    </w:r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footnote reference"/>
    <w:basedOn w:val="14"/>
    <w:qFormat/>
    <w:uiPriority w:val="0"/>
    <w:rPr>
      <w:vertAlign w:val="superscript"/>
    </w:rPr>
  </w:style>
  <w:style w:type="character" w:customStyle="1" w:styleId="18">
    <w:name w:val="标题 1 Char"/>
    <w:link w:val="2"/>
    <w:uiPriority w:val="0"/>
    <w:rPr>
      <w:rFonts w:hint="eastAsia" w:ascii="宋体" w:hAnsi="宋体" w:eastAsia="黑体" w:cs="Times New Roman"/>
      <w:b/>
      <w:kern w:val="44"/>
      <w:sz w:val="32"/>
      <w:szCs w:val="4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D997E-CA1C-4A22-BDD0-957385E7889F}">
  <ds:schemaRefs/>
</ds:datastoreItem>
</file>

<file path=docProps/app.xml><?xml version="1.0" encoding="utf-8"?>
<Properties xmlns="http://schemas.openxmlformats.org/officeDocument/2006/extended-properties" xmlns:vt="http://schemas.openxmlformats.org/officeDocument/2006/docPropsVTypes">
  <Template>Normal</Template>
  <Pages>20</Pages>
  <Words>1678</Words>
  <Characters>9565</Characters>
  <Lines>79</Lines>
  <Paragraphs>22</Paragraphs>
  <TotalTime>0</TotalTime>
  <ScaleCrop>false</ScaleCrop>
  <LinksUpToDate>false</LinksUpToDate>
  <CharactersWithSpaces>11221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2021-07-17T06:11:00Z</dcterms:created>
  <dc:creator>LY</dc:creator>
  <cp:lastModifiedBy>HP</cp:lastModifiedBy>
  <cp:lastPrinted>2021-09-16T08:30:00Z</cp:lastPrinted>
  <dcterms:modified xsi:type="dcterms:W3CDTF">2021-09-18T04:53:24Z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