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AC3F4">
      <w:pPr>
        <w:spacing w:line="440" w:lineRule="exact"/>
        <w:jc w:val="center"/>
        <w:rPr>
          <w:rFonts w:ascii="黑体" w:hAnsi="黑体" w:eastAsia="黑体" w:cs="黑体"/>
          <w:bCs/>
          <w:kern w:val="0"/>
          <w:sz w:val="36"/>
          <w:szCs w:val="36"/>
          <w:lang w:val="en-GB" w:bidi="ar-AE"/>
        </w:rPr>
      </w:pPr>
      <w:bookmarkStart w:id="0" w:name="_Hlk166074271"/>
      <w:r>
        <w:rPr>
          <w:rFonts w:ascii="黑体" w:hAnsi="黑体" w:eastAsia="黑体" w:cs="黑体"/>
          <w:bCs/>
          <w:kern w:val="0"/>
          <w:sz w:val="36"/>
          <w:szCs w:val="36"/>
          <w:lang w:val="en-GB" w:bidi="ar-AE"/>
        </w:rPr>
        <w:t>经营者集中简易案件公示表</w:t>
      </w:r>
    </w:p>
    <w:p w14:paraId="3F51B84F">
      <w:pPr>
        <w:spacing w:line="440" w:lineRule="exact"/>
        <w:jc w:val="center"/>
        <w:rPr>
          <w:rFonts w:ascii="黑体" w:hAnsi="黑体" w:eastAsia="黑体" w:cs="黑体"/>
          <w:bCs/>
          <w:kern w:val="0"/>
          <w:sz w:val="36"/>
          <w:szCs w:val="36"/>
          <w:lang w:val="en-GB" w:bidi="ar-AE"/>
        </w:rPr>
      </w:pP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14:paraId="3A9F8001">
        <w:tc>
          <w:tcPr>
            <w:tcW w:w="1809" w:type="dxa"/>
            <w:shd w:val="clear" w:color="auto" w:fill="D9D9D9"/>
          </w:tcPr>
          <w:p w14:paraId="79EC0882">
            <w:pPr>
              <w:rPr>
                <w:rFonts w:hint="default" w:ascii="Times New Roman" w:hAnsi="Times New Roman" w:cs="Times New Roman"/>
                <w:b/>
                <w:sz w:val="24"/>
                <w:szCs w:val="24"/>
              </w:rPr>
            </w:pPr>
            <w:r>
              <w:rPr>
                <w:rFonts w:hint="default" w:ascii="Times New Roman" w:hAnsi="Times New Roman" w:cs="Times New Roman"/>
                <w:b/>
                <w:sz w:val="24"/>
                <w:szCs w:val="24"/>
              </w:rPr>
              <w:t>案件名称</w:t>
            </w:r>
          </w:p>
        </w:tc>
        <w:tc>
          <w:tcPr>
            <w:tcW w:w="6949" w:type="dxa"/>
            <w:gridSpan w:val="2"/>
          </w:tcPr>
          <w:p w14:paraId="251B191A">
            <w:pP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中环领先半导体科技股份有限公司与天津滨海高新区海泰海河新材料科技合伙企业（有限合伙）新设合营企业案</w:t>
            </w:r>
          </w:p>
        </w:tc>
      </w:tr>
      <w:tr w14:paraId="2DC7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3" w:hRule="atLeast"/>
        </w:trPr>
        <w:tc>
          <w:tcPr>
            <w:tcW w:w="1809" w:type="dxa"/>
            <w:shd w:val="clear" w:color="auto" w:fill="D9D9D9"/>
          </w:tcPr>
          <w:p w14:paraId="6AE22DDC">
            <w:pPr>
              <w:rPr>
                <w:rFonts w:hint="default" w:ascii="Times New Roman" w:hAnsi="Times New Roman" w:cs="Times New Roman"/>
                <w:b/>
                <w:sz w:val="24"/>
                <w:szCs w:val="24"/>
              </w:rPr>
            </w:pPr>
            <w:r>
              <w:rPr>
                <w:rFonts w:hint="default" w:ascii="Times New Roman" w:hAnsi="Times New Roman" w:cs="Times New Roman"/>
                <w:b/>
                <w:sz w:val="24"/>
                <w:szCs w:val="24"/>
              </w:rPr>
              <w:t>交易概况</w:t>
            </w:r>
          </w:p>
        </w:tc>
        <w:tc>
          <w:tcPr>
            <w:tcW w:w="6949" w:type="dxa"/>
            <w:gridSpan w:val="2"/>
          </w:tcPr>
          <w:p w14:paraId="2E9E0727">
            <w:p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中环领先半导体科技股份有限公司（“中环领先”）、天津中环领先材料技术有限公司（“天津</w:t>
            </w:r>
            <w:bookmarkStart w:id="2" w:name="_GoBack"/>
            <w:bookmarkEnd w:id="2"/>
            <w:r>
              <w:rPr>
                <w:rFonts w:hint="default" w:ascii="Times New Roman" w:hAnsi="Times New Roman" w:cs="Times New Roman"/>
                <w:kern w:val="0"/>
                <w:sz w:val="24"/>
                <w:szCs w:val="24"/>
                <w:lang w:val="en-US" w:eastAsia="zh-CN"/>
              </w:rPr>
              <w:t>中环领先”，系中环领先的全资子公司）、天津滨海高新区海泰海河新材料科技合伙企业（有限合伙）（“海泰海河新材料”）及天津中环海河智能制造基金合伙企业（有限合伙）</w:t>
            </w:r>
            <w:r>
              <w:rPr>
                <w:rFonts w:hint="eastAsia" w:ascii="Times New Roman" w:hAnsi="Times New Roman" w:cs="Times New Roman"/>
                <w:kern w:val="0"/>
                <w:sz w:val="24"/>
                <w:szCs w:val="24"/>
                <w:lang w:val="en-US" w:eastAsia="zh-CN"/>
              </w:rPr>
              <w:t>签署协议，</w:t>
            </w:r>
            <w:r>
              <w:rPr>
                <w:rFonts w:hint="default" w:ascii="Times New Roman" w:hAnsi="Times New Roman" w:cs="Times New Roman"/>
                <w:kern w:val="0"/>
                <w:sz w:val="24"/>
                <w:szCs w:val="24"/>
                <w:lang w:val="en-US" w:eastAsia="zh-CN"/>
              </w:rPr>
              <w:t>拟在</w:t>
            </w:r>
            <w:r>
              <w:rPr>
                <w:rFonts w:hint="eastAsia" w:ascii="Times New Roman" w:hAnsi="Times New Roman" w:cs="Times New Roman"/>
                <w:kern w:val="0"/>
                <w:sz w:val="24"/>
                <w:szCs w:val="24"/>
                <w:lang w:val="en-US" w:eastAsia="zh-CN"/>
              </w:rPr>
              <w:t>天津市</w:t>
            </w:r>
            <w:r>
              <w:rPr>
                <w:rFonts w:hint="default" w:ascii="Times New Roman" w:hAnsi="Times New Roman" w:cs="Times New Roman"/>
                <w:kern w:val="0"/>
                <w:sz w:val="24"/>
                <w:szCs w:val="24"/>
                <w:lang w:val="en-US" w:eastAsia="zh-CN"/>
              </w:rPr>
              <w:t>新设合营企业（“本次交易”）。</w:t>
            </w:r>
            <w:r>
              <w:rPr>
                <w:rFonts w:hint="eastAsia" w:ascii="Times New Roman" w:hAnsi="Times New Roman" w:cs="Times New Roman"/>
                <w:kern w:val="0"/>
                <w:sz w:val="24"/>
                <w:szCs w:val="24"/>
                <w:lang w:val="en-US" w:eastAsia="zh-CN"/>
              </w:rPr>
              <w:t>合营企业主要从事</w:t>
            </w:r>
            <w:r>
              <w:rPr>
                <w:rFonts w:hint="default" w:ascii="Times New Roman" w:hAnsi="Times New Roman" w:cs="Times New Roman"/>
                <w:kern w:val="0"/>
                <w:sz w:val="24"/>
                <w:szCs w:val="24"/>
                <w:lang w:val="en-US" w:eastAsia="zh-CN"/>
              </w:rPr>
              <w:t>键合材料（复合衬底材料）的生产、销售业务。</w:t>
            </w:r>
            <w:r>
              <w:rPr>
                <w:rFonts w:hint="eastAsia" w:ascii="Times New Roman" w:hAnsi="Times New Roman" w:cs="Times New Roman"/>
                <w:kern w:val="0"/>
                <w:sz w:val="24"/>
                <w:szCs w:val="24"/>
                <w:lang w:val="en-US" w:eastAsia="zh-CN"/>
              </w:rPr>
              <w:t>交易后，</w:t>
            </w:r>
            <w:r>
              <w:rPr>
                <w:rFonts w:hint="default" w:ascii="Times New Roman" w:hAnsi="Times New Roman" w:cs="Times New Roman"/>
                <w:kern w:val="0"/>
                <w:sz w:val="24"/>
                <w:szCs w:val="24"/>
                <w:lang w:val="en-US" w:eastAsia="zh-CN"/>
              </w:rPr>
              <w:t>中环领先及天津中环领先合计持有合营企业42.85%股权，海泰海河新材料持有合营企业38.10%股权。</w:t>
            </w:r>
            <w:r>
              <w:rPr>
                <w:rFonts w:hint="eastAsia" w:ascii="Times New Roman" w:hAnsi="Times New Roman" w:cs="Times New Roman"/>
                <w:kern w:val="0"/>
                <w:sz w:val="24"/>
                <w:szCs w:val="24"/>
                <w:lang w:val="en-US" w:eastAsia="zh-CN"/>
              </w:rPr>
              <w:t>中环领先与</w:t>
            </w:r>
            <w:r>
              <w:rPr>
                <w:rFonts w:hint="default" w:ascii="Times New Roman" w:hAnsi="Times New Roman" w:cs="Times New Roman"/>
                <w:kern w:val="0"/>
                <w:sz w:val="24"/>
                <w:szCs w:val="24"/>
                <w:lang w:val="en-US" w:eastAsia="zh-CN"/>
              </w:rPr>
              <w:t>海泰海河新材料</w:t>
            </w:r>
            <w:r>
              <w:rPr>
                <w:rFonts w:hint="eastAsia" w:ascii="Times New Roman" w:hAnsi="Times New Roman" w:cs="Times New Roman"/>
                <w:kern w:val="0"/>
                <w:sz w:val="24"/>
                <w:szCs w:val="24"/>
                <w:lang w:val="en-US" w:eastAsia="zh-CN"/>
              </w:rPr>
              <w:t>共同控制合营企业。</w:t>
            </w:r>
          </w:p>
        </w:tc>
      </w:tr>
      <w:tr w14:paraId="6F45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809" w:type="dxa"/>
            <w:vMerge w:val="restart"/>
            <w:shd w:val="clear" w:color="auto" w:fill="D9D9D9"/>
          </w:tcPr>
          <w:p w14:paraId="37232CB1">
            <w:pPr>
              <w:rPr>
                <w:rFonts w:hint="default" w:ascii="Times New Roman" w:hAnsi="Times New Roman" w:cs="Times New Roman"/>
                <w:b/>
                <w:sz w:val="24"/>
                <w:szCs w:val="24"/>
              </w:rPr>
            </w:pPr>
            <w:r>
              <w:rPr>
                <w:rFonts w:hint="default" w:ascii="Times New Roman" w:hAnsi="Times New Roman" w:cs="Times New Roman"/>
                <w:b/>
                <w:sz w:val="24"/>
                <w:szCs w:val="24"/>
              </w:rPr>
              <w:t>参与集中的经营者简介</w:t>
            </w:r>
          </w:p>
        </w:tc>
        <w:tc>
          <w:tcPr>
            <w:tcW w:w="1796" w:type="dxa"/>
          </w:tcPr>
          <w:p w14:paraId="761C67BE">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eastAsia" w:ascii="Times New Roman" w:hAnsi="Times New Roman" w:cs="Times New Roman"/>
                <w:kern w:val="0"/>
                <w:sz w:val="24"/>
                <w:szCs w:val="24"/>
                <w:lang w:val="en-US" w:eastAsia="zh-CN"/>
              </w:rPr>
              <w:t>中环领先</w:t>
            </w:r>
          </w:p>
        </w:tc>
        <w:tc>
          <w:tcPr>
            <w:tcW w:w="5153" w:type="dxa"/>
          </w:tcPr>
          <w:p w14:paraId="5997A052">
            <w:pPr>
              <w:rPr>
                <w:rFonts w:hint="default" w:ascii="Times New Roman" w:hAnsi="Times New Roman" w:cs="Times New Roman"/>
                <w:sz w:val="24"/>
                <w:szCs w:val="24"/>
              </w:rPr>
            </w:pPr>
            <w:r>
              <w:rPr>
                <w:rFonts w:hint="eastAsia" w:ascii="Times New Roman" w:hAnsi="Times New Roman" w:cs="Times New Roman"/>
                <w:kern w:val="0"/>
                <w:sz w:val="24"/>
                <w:szCs w:val="24"/>
                <w:lang w:eastAsia="zh-CN"/>
              </w:rPr>
              <w:t>中环领先</w:t>
            </w:r>
            <w:r>
              <w:rPr>
                <w:rFonts w:hint="default" w:ascii="Times New Roman" w:hAnsi="Times New Roman" w:cs="Times New Roman"/>
                <w:sz w:val="24"/>
                <w:szCs w:val="24"/>
              </w:rPr>
              <w:t>于2017</w:t>
            </w:r>
            <w:r>
              <w:rPr>
                <w:rFonts w:hint="eastAsia" w:ascii="Times New Roman" w:hAnsi="Times New Roman" w:cs="Times New Roman"/>
                <w:sz w:val="24"/>
                <w:szCs w:val="24"/>
                <w:lang w:val="en-US" w:eastAsia="zh-CN"/>
              </w:rPr>
              <w:t>年</w:t>
            </w:r>
            <w:r>
              <w:rPr>
                <w:rFonts w:hint="default" w:ascii="Times New Roman" w:hAnsi="Times New Roman" w:cs="Times New Roman"/>
                <w:sz w:val="24"/>
                <w:szCs w:val="24"/>
              </w:rPr>
              <w:t>12</w:t>
            </w:r>
            <w:r>
              <w:rPr>
                <w:rFonts w:hint="eastAsia" w:ascii="Times New Roman" w:hAnsi="Times New Roman" w:cs="Times New Roman"/>
                <w:sz w:val="24"/>
                <w:szCs w:val="24"/>
                <w:lang w:val="en-US" w:eastAsia="zh-CN"/>
              </w:rPr>
              <w:t>月</w:t>
            </w:r>
            <w:r>
              <w:rPr>
                <w:rFonts w:hint="default" w:ascii="Times New Roman" w:hAnsi="Times New Roman" w:cs="Times New Roman"/>
                <w:sz w:val="24"/>
                <w:szCs w:val="24"/>
              </w:rPr>
              <w:t>14</w:t>
            </w:r>
            <w:r>
              <w:rPr>
                <w:rFonts w:hint="eastAsia" w:ascii="Times New Roman" w:hAnsi="Times New Roman" w:cs="Times New Roman"/>
                <w:sz w:val="24"/>
                <w:szCs w:val="24"/>
                <w:lang w:val="en-US" w:eastAsia="zh-CN"/>
              </w:rPr>
              <w:t>日</w:t>
            </w:r>
            <w:r>
              <w:rPr>
                <w:rFonts w:hint="default" w:ascii="Times New Roman" w:hAnsi="Times New Roman" w:cs="Times New Roman"/>
                <w:sz w:val="24"/>
                <w:szCs w:val="24"/>
              </w:rPr>
              <w:t>成立于</w:t>
            </w:r>
            <w:r>
              <w:rPr>
                <w:rFonts w:hint="default" w:ascii="Times New Roman" w:hAnsi="Times New Roman" w:cs="Times New Roman"/>
                <w:sz w:val="24"/>
                <w:szCs w:val="24"/>
                <w:lang w:val="en-US" w:eastAsia="zh-CN"/>
              </w:rPr>
              <w:t>江苏省</w:t>
            </w:r>
            <w:r>
              <w:rPr>
                <w:rFonts w:hint="eastAsia" w:ascii="Times New Roman" w:hAnsi="Times New Roman" w:cs="Times New Roman"/>
                <w:sz w:val="24"/>
                <w:szCs w:val="24"/>
                <w:lang w:val="en-US" w:eastAsia="zh-CN"/>
              </w:rPr>
              <w:t>无锡市</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主要从事半导体材料、电子专用材料、半导体器件、半导体器件专用设备的技术研发、制造和销售。</w:t>
            </w:r>
          </w:p>
          <w:p w14:paraId="748963C3">
            <w:pPr>
              <w:rPr>
                <w:rFonts w:hint="default" w:ascii="Times New Roman" w:hAnsi="Times New Roman" w:cs="Times New Roman"/>
                <w:sz w:val="24"/>
                <w:szCs w:val="24"/>
              </w:rPr>
            </w:pPr>
            <w:r>
              <w:rPr>
                <w:rFonts w:hint="eastAsia" w:ascii="Times New Roman" w:hAnsi="Times New Roman" w:cs="Times New Roman"/>
                <w:kern w:val="0"/>
                <w:sz w:val="24"/>
                <w:szCs w:val="24"/>
                <w:lang w:eastAsia="zh-CN"/>
              </w:rPr>
              <w:t>中环领先</w:t>
            </w:r>
            <w:r>
              <w:rPr>
                <w:rFonts w:hint="default" w:ascii="Times New Roman" w:hAnsi="Times New Roman" w:cs="Times New Roman"/>
                <w:kern w:val="0"/>
                <w:sz w:val="24"/>
                <w:szCs w:val="24"/>
              </w:rPr>
              <w:t>最终控制人为TCL科技集团股份有限公司，主要从事半导体显示、新能源光伏和半导体材料业务。</w:t>
            </w:r>
          </w:p>
        </w:tc>
      </w:tr>
      <w:tr w14:paraId="7A83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809" w:type="dxa"/>
            <w:vMerge w:val="continue"/>
            <w:shd w:val="clear" w:color="auto" w:fill="D9D9D9"/>
          </w:tcPr>
          <w:p w14:paraId="3D504803">
            <w:pPr>
              <w:rPr>
                <w:rFonts w:hint="default" w:ascii="Times New Roman" w:hAnsi="Times New Roman" w:cs="Times New Roman"/>
                <w:b/>
                <w:sz w:val="24"/>
                <w:szCs w:val="24"/>
              </w:rPr>
            </w:pPr>
          </w:p>
        </w:tc>
        <w:tc>
          <w:tcPr>
            <w:tcW w:w="1796" w:type="dxa"/>
          </w:tcPr>
          <w:p w14:paraId="155F00E7">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海泰海河新材料</w:t>
            </w:r>
          </w:p>
        </w:tc>
        <w:tc>
          <w:tcPr>
            <w:tcW w:w="5153" w:type="dxa"/>
          </w:tcPr>
          <w:p w14:paraId="5286D37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b w:val="0"/>
                <w:bCs/>
                <w:color w:val="000000"/>
                <w:kern w:val="0"/>
                <w:sz w:val="24"/>
                <w:szCs w:val="24"/>
                <w:lang w:val="en-GB" w:eastAsia="zh-CN" w:bidi="ar-AE"/>
              </w:rPr>
            </w:pPr>
            <w:r>
              <w:rPr>
                <w:rFonts w:hint="eastAsia" w:ascii="Times New Roman" w:hAnsi="Times New Roman" w:cs="Times New Roman"/>
                <w:b w:val="0"/>
                <w:bCs/>
                <w:color w:val="000000"/>
                <w:kern w:val="0"/>
                <w:sz w:val="24"/>
                <w:szCs w:val="24"/>
                <w:lang w:val="en-US" w:eastAsia="zh-CN" w:bidi="ar-AE"/>
              </w:rPr>
              <w:t>海泰海河新材料</w:t>
            </w:r>
            <w:r>
              <w:rPr>
                <w:rFonts w:hint="default" w:ascii="Times New Roman" w:hAnsi="Times New Roman" w:eastAsia="宋体" w:cs="Times New Roman"/>
                <w:b w:val="0"/>
                <w:bCs/>
                <w:color w:val="000000"/>
                <w:kern w:val="0"/>
                <w:sz w:val="24"/>
                <w:szCs w:val="24"/>
                <w:lang w:val="en-GB" w:eastAsia="zh-CN" w:bidi="ar-AE"/>
              </w:rPr>
              <w:t>于</w:t>
            </w:r>
            <w:r>
              <w:rPr>
                <w:rFonts w:hint="default" w:ascii="Times New Roman" w:hAnsi="Times New Roman" w:cs="Times New Roman"/>
                <w:b w:val="0"/>
                <w:bCs/>
                <w:color w:val="000000"/>
                <w:kern w:val="0"/>
                <w:sz w:val="24"/>
                <w:szCs w:val="24"/>
                <w:lang w:val="en-US" w:eastAsia="zh-CN" w:bidi="ar-AE"/>
              </w:rPr>
              <w:t>2026</w:t>
            </w:r>
            <w:r>
              <w:rPr>
                <w:rFonts w:hint="eastAsia" w:ascii="Times New Roman" w:hAnsi="Times New Roman" w:cs="Times New Roman"/>
                <w:b w:val="0"/>
                <w:bCs/>
                <w:color w:val="000000"/>
                <w:kern w:val="0"/>
                <w:sz w:val="24"/>
                <w:szCs w:val="24"/>
                <w:lang w:val="en-US" w:eastAsia="zh-CN" w:bidi="ar-AE"/>
              </w:rPr>
              <w:t>年</w:t>
            </w:r>
            <w:r>
              <w:rPr>
                <w:rFonts w:hint="default" w:ascii="Times New Roman" w:hAnsi="Times New Roman" w:cs="Times New Roman"/>
                <w:b w:val="0"/>
                <w:bCs/>
                <w:color w:val="000000"/>
                <w:kern w:val="0"/>
                <w:sz w:val="24"/>
                <w:szCs w:val="24"/>
                <w:lang w:val="en-US" w:eastAsia="zh-CN" w:bidi="ar-AE"/>
              </w:rPr>
              <w:t>6</w:t>
            </w:r>
            <w:r>
              <w:rPr>
                <w:rFonts w:hint="eastAsia" w:ascii="Times New Roman" w:hAnsi="Times New Roman" w:cs="Times New Roman"/>
                <w:b w:val="0"/>
                <w:bCs/>
                <w:color w:val="000000"/>
                <w:kern w:val="0"/>
                <w:sz w:val="24"/>
                <w:szCs w:val="24"/>
                <w:lang w:val="en-US" w:eastAsia="zh-CN" w:bidi="ar-AE"/>
              </w:rPr>
              <w:t>月</w:t>
            </w:r>
            <w:r>
              <w:rPr>
                <w:rFonts w:hint="default" w:ascii="Times New Roman" w:hAnsi="Times New Roman" w:cs="Times New Roman"/>
                <w:b w:val="0"/>
                <w:bCs/>
                <w:color w:val="000000"/>
                <w:kern w:val="0"/>
                <w:sz w:val="24"/>
                <w:szCs w:val="24"/>
                <w:lang w:val="en-US" w:eastAsia="zh-CN" w:bidi="ar-AE"/>
              </w:rPr>
              <w:t>23</w:t>
            </w:r>
            <w:r>
              <w:rPr>
                <w:rFonts w:hint="default" w:ascii="Times New Roman" w:hAnsi="Times New Roman" w:eastAsia="宋体" w:cs="Times New Roman"/>
                <w:b w:val="0"/>
                <w:bCs/>
                <w:color w:val="000000"/>
                <w:kern w:val="0"/>
                <w:sz w:val="24"/>
                <w:szCs w:val="24"/>
                <w:lang w:val="en-GB" w:eastAsia="zh-CN" w:bidi="ar-AE"/>
              </w:rPr>
              <w:t>日成立于</w:t>
            </w:r>
            <w:r>
              <w:rPr>
                <w:rFonts w:hint="default" w:ascii="Times New Roman" w:hAnsi="Times New Roman" w:eastAsia="宋体" w:cs="Times New Roman"/>
                <w:b w:val="0"/>
                <w:bCs/>
                <w:color w:val="000000"/>
                <w:kern w:val="0"/>
                <w:sz w:val="24"/>
                <w:szCs w:val="24"/>
                <w:lang w:val="en-US" w:eastAsia="zh-CN" w:bidi="ar-AE"/>
              </w:rPr>
              <w:t>天津市</w:t>
            </w:r>
            <w:r>
              <w:rPr>
                <w:rFonts w:hint="default" w:ascii="Times New Roman" w:hAnsi="Times New Roman" w:eastAsia="宋体" w:cs="Times New Roman"/>
                <w:b w:val="0"/>
                <w:bCs/>
                <w:color w:val="000000"/>
                <w:kern w:val="0"/>
                <w:sz w:val="24"/>
                <w:szCs w:val="24"/>
                <w:lang w:val="en-GB" w:eastAsia="zh-CN" w:bidi="ar-AE"/>
              </w:rPr>
              <w:t>，主要</w:t>
            </w:r>
            <w:r>
              <w:rPr>
                <w:rFonts w:hint="default" w:ascii="Times New Roman" w:hAnsi="Times New Roman" w:eastAsia="宋体" w:cs="Times New Roman"/>
                <w:b w:val="0"/>
                <w:bCs/>
                <w:color w:val="000000"/>
                <w:kern w:val="0"/>
                <w:sz w:val="24"/>
                <w:szCs w:val="24"/>
                <w:lang w:val="en-US" w:eastAsia="zh-CN" w:bidi="ar-AE"/>
              </w:rPr>
              <w:t>从事</w:t>
            </w:r>
            <w:r>
              <w:rPr>
                <w:rFonts w:hint="default" w:ascii="Times New Roman" w:hAnsi="Times New Roman" w:cs="Times New Roman"/>
                <w:sz w:val="24"/>
                <w:szCs w:val="24"/>
              </w:rPr>
              <w:t>科技中介服务、企业管理咨询</w:t>
            </w:r>
            <w:r>
              <w:rPr>
                <w:rFonts w:hint="default" w:ascii="Times New Roman" w:hAnsi="Times New Roman" w:eastAsia="宋体" w:cs="Times New Roman"/>
                <w:b w:val="0"/>
                <w:bCs/>
                <w:color w:val="000000"/>
                <w:kern w:val="0"/>
                <w:sz w:val="24"/>
                <w:szCs w:val="24"/>
                <w:lang w:val="en-GB" w:eastAsia="zh-CN" w:bidi="ar-AE"/>
              </w:rPr>
              <w:t>。</w:t>
            </w:r>
          </w:p>
          <w:p w14:paraId="735E91C3">
            <w:pPr>
              <w:rPr>
                <w:rFonts w:hint="eastAsia" w:ascii="Times New Roman" w:hAnsi="Times New Roman" w:cs="Times New Roman"/>
                <w:b w:val="0"/>
                <w:bCs/>
                <w:color w:val="000000"/>
                <w:kern w:val="0"/>
                <w:sz w:val="24"/>
                <w:szCs w:val="24"/>
                <w:lang w:val="en-US" w:eastAsia="zh-CN" w:bidi="ar-AE"/>
              </w:rPr>
            </w:pPr>
            <w:r>
              <w:rPr>
                <w:rFonts w:hint="eastAsia" w:ascii="Times New Roman" w:hAnsi="Times New Roman" w:cs="Times New Roman"/>
                <w:b w:val="0"/>
                <w:bCs/>
                <w:color w:val="000000"/>
                <w:kern w:val="0"/>
                <w:sz w:val="24"/>
                <w:szCs w:val="24"/>
                <w:lang w:val="en-US" w:eastAsia="zh-CN" w:bidi="ar-AE"/>
              </w:rPr>
              <w:t>海泰海河新材料</w:t>
            </w:r>
            <w:r>
              <w:rPr>
                <w:rFonts w:hint="default" w:ascii="Times New Roman" w:hAnsi="Times New Roman" w:eastAsia="宋体" w:cs="Times New Roman"/>
                <w:b w:val="0"/>
                <w:bCs/>
                <w:color w:val="000000"/>
                <w:kern w:val="0"/>
                <w:sz w:val="24"/>
                <w:szCs w:val="24"/>
                <w:lang w:val="en-US" w:eastAsia="zh-CN" w:bidi="ar-AE"/>
              </w:rPr>
              <w:t>最终控制人为</w:t>
            </w:r>
            <w:r>
              <w:rPr>
                <w:rFonts w:hint="eastAsia" w:ascii="Times New Roman" w:hAnsi="Times New Roman" w:cs="Times New Roman"/>
                <w:b w:val="0"/>
                <w:bCs/>
                <w:color w:val="000000"/>
                <w:kern w:val="0"/>
                <w:sz w:val="24"/>
                <w:szCs w:val="24"/>
                <w:lang w:val="en-US" w:eastAsia="zh-CN" w:bidi="ar-AE"/>
              </w:rPr>
              <w:t>天津海泰控股集团有限公司、</w:t>
            </w:r>
            <w:r>
              <w:rPr>
                <w:rFonts w:hint="default" w:ascii="Times New Roman" w:hAnsi="Times New Roman" w:eastAsia="宋体" w:cs="Times New Roman"/>
                <w:b w:val="0"/>
                <w:bCs/>
                <w:color w:val="000000"/>
                <w:kern w:val="0"/>
                <w:sz w:val="24"/>
                <w:szCs w:val="24"/>
                <w:lang w:val="en-US" w:eastAsia="zh-CN" w:bidi="ar-AE"/>
              </w:rPr>
              <w:t>天津市财政局财政投资业务中心</w:t>
            </w:r>
            <w:r>
              <w:rPr>
                <w:rFonts w:hint="eastAsia" w:ascii="Times New Roman" w:hAnsi="Times New Roman" w:cs="Times New Roman"/>
                <w:b w:val="0"/>
                <w:bCs/>
                <w:color w:val="000000"/>
                <w:kern w:val="0"/>
                <w:sz w:val="24"/>
                <w:szCs w:val="24"/>
                <w:lang w:val="en-US" w:eastAsia="zh-CN" w:bidi="ar-AE"/>
              </w:rPr>
              <w:t>及天津市滨海产业基金管理有限公司。其中，天津海泰控股集团有限公司主要从事科技金融服务、城市运营开发建设、战略性投资等方式培育发展实体产业、承接天津滨海高新区内基础设施建设、工业与住宅开发、园林绿化、保障房建设。</w:t>
            </w:r>
          </w:p>
          <w:p w14:paraId="185932E4">
            <w:pPr>
              <w:rPr>
                <w:rFonts w:hint="default" w:ascii="Times New Roman" w:hAnsi="Times New Roman" w:cs="Times New Roman"/>
                <w:sz w:val="24"/>
                <w:szCs w:val="24"/>
              </w:rPr>
            </w:pPr>
            <w:r>
              <w:rPr>
                <w:rFonts w:hint="eastAsia" w:ascii="Times New Roman" w:hAnsi="Times New Roman" w:cs="Times New Roman"/>
                <w:b w:val="0"/>
                <w:bCs/>
                <w:color w:val="000000"/>
                <w:kern w:val="0"/>
                <w:sz w:val="24"/>
                <w:szCs w:val="24"/>
                <w:lang w:val="en-US" w:eastAsia="zh-CN" w:bidi="ar-AE"/>
              </w:rPr>
              <w:t>天津市财政局财政投资业务中心系天津市财政局举办的事业单位，</w:t>
            </w:r>
            <w:r>
              <w:rPr>
                <w:rFonts w:hint="default" w:ascii="Times New Roman" w:hAnsi="Times New Roman" w:eastAsia="宋体" w:cs="Times New Roman"/>
                <w:b w:val="0"/>
                <w:bCs/>
                <w:color w:val="000000"/>
                <w:kern w:val="0"/>
                <w:sz w:val="24"/>
                <w:szCs w:val="24"/>
                <w:lang w:val="en-US" w:eastAsia="zh-CN" w:bidi="ar-AE"/>
              </w:rPr>
              <w:t>受市财政局委托，对相关财政性资金投资的公司、基金、股权等履行出资人职责</w:t>
            </w:r>
            <w:r>
              <w:rPr>
                <w:rFonts w:hint="eastAsia" w:ascii="Times New Roman" w:hAnsi="Times New Roman"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US" w:eastAsia="zh-CN" w:bidi="ar-AE"/>
              </w:rPr>
              <w:t>完成市财政局交办的其他任务。</w:t>
            </w:r>
            <w:r>
              <w:rPr>
                <w:rFonts w:hint="eastAsia" w:ascii="宋体" w:hAnsi="宋体" w:eastAsia="宋体" w:cs="宋体"/>
                <w:b w:val="0"/>
                <w:bCs/>
                <w:color w:val="000000"/>
                <w:kern w:val="0"/>
                <w:sz w:val="24"/>
                <w:szCs w:val="24"/>
                <w:lang w:val="en-US" w:eastAsia="zh-CN" w:bidi="ar-AE"/>
              </w:rPr>
              <w:t>天津市滨海产业基金管理有限公司</w:t>
            </w:r>
            <w:r>
              <w:rPr>
                <w:rFonts w:hint="eastAsia" w:ascii="宋体" w:hAnsi="宋体" w:cs="宋体"/>
                <w:b w:val="0"/>
                <w:bCs/>
                <w:color w:val="000000"/>
                <w:kern w:val="0"/>
                <w:sz w:val="24"/>
                <w:szCs w:val="24"/>
                <w:lang w:val="en-US" w:eastAsia="zh-CN" w:bidi="ar-AE"/>
              </w:rPr>
              <w:t>主要从事引导基金和市场化基金的受托管理，遴选基金管理机构和优质项目，参股母/子基金和投资优质项目等。</w:t>
            </w:r>
          </w:p>
        </w:tc>
      </w:tr>
      <w:tr w14:paraId="1DAF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809" w:type="dxa"/>
            <w:vMerge w:val="restart"/>
            <w:shd w:val="clear" w:color="auto" w:fill="D9D9D9"/>
          </w:tcPr>
          <w:p w14:paraId="3385E119">
            <w:pPr>
              <w:rPr>
                <w:rFonts w:hint="default" w:ascii="Times New Roman" w:hAnsi="Times New Roman" w:cs="Times New Roman"/>
                <w:b/>
                <w:sz w:val="24"/>
                <w:szCs w:val="24"/>
              </w:rPr>
            </w:pPr>
            <w:r>
              <w:rPr>
                <w:rFonts w:hint="default" w:ascii="Times New Roman" w:hAnsi="Times New Roman" w:cs="Times New Roman"/>
                <w:b/>
                <w:sz w:val="24"/>
                <w:szCs w:val="24"/>
              </w:rPr>
              <w:t>简易案件理由（可以单选，也可以多选）</w:t>
            </w:r>
          </w:p>
        </w:tc>
        <w:tc>
          <w:tcPr>
            <w:tcW w:w="6949" w:type="dxa"/>
            <w:gridSpan w:val="2"/>
          </w:tcPr>
          <w:p w14:paraId="316EDA7E">
            <w:pPr>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 1、在同一相关市场，所有参与集中的经营者所占市场份额之和小于15%。</w:t>
            </w:r>
          </w:p>
        </w:tc>
      </w:tr>
      <w:tr w14:paraId="6DBC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809" w:type="dxa"/>
            <w:vMerge w:val="continue"/>
            <w:shd w:val="clear" w:color="auto" w:fill="D9D9D9"/>
          </w:tcPr>
          <w:p w14:paraId="72EAAED9">
            <w:pPr>
              <w:rPr>
                <w:rFonts w:hint="default" w:ascii="Times New Roman" w:hAnsi="Times New Roman" w:cs="Times New Roman"/>
                <w:b/>
                <w:sz w:val="24"/>
                <w:szCs w:val="24"/>
              </w:rPr>
            </w:pPr>
          </w:p>
        </w:tc>
        <w:tc>
          <w:tcPr>
            <w:tcW w:w="6949" w:type="dxa"/>
            <w:gridSpan w:val="2"/>
          </w:tcPr>
          <w:p w14:paraId="6C87F464">
            <w:pPr>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 2、存在上下游关系的参与集中的经营者，在上下游市场所占的市场份额均小于25%。</w:t>
            </w:r>
          </w:p>
        </w:tc>
      </w:tr>
      <w:tr w14:paraId="2495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09" w:type="dxa"/>
            <w:vMerge w:val="continue"/>
            <w:shd w:val="clear" w:color="auto" w:fill="D9D9D9"/>
          </w:tcPr>
          <w:p w14:paraId="5D6BB087">
            <w:pPr>
              <w:rPr>
                <w:rFonts w:hint="default" w:ascii="Times New Roman" w:hAnsi="Times New Roman" w:cs="Times New Roman"/>
                <w:b/>
                <w:sz w:val="24"/>
                <w:szCs w:val="24"/>
              </w:rPr>
            </w:pPr>
          </w:p>
        </w:tc>
        <w:tc>
          <w:tcPr>
            <w:tcW w:w="6949" w:type="dxa"/>
            <w:gridSpan w:val="2"/>
          </w:tcPr>
          <w:p w14:paraId="15C9AB8B">
            <w:pPr>
              <w:rPr>
                <w:rFonts w:hint="default" w:ascii="Times New Roman" w:hAnsi="Times New Roman" w:cs="Times New Roman"/>
                <w:sz w:val="24"/>
                <w:szCs w:val="24"/>
              </w:rPr>
            </w:pPr>
            <w:r>
              <w:rPr>
                <w:rFonts w:hint="default" w:ascii="Times New Roman" w:hAnsi="Times New Roman" w:cs="Times New Roman"/>
                <w:sz w:val="24"/>
                <w:szCs w:val="24"/>
              </w:rPr>
              <w:sym w:font="Wingdings" w:char="00FE"/>
            </w:r>
            <w:r>
              <w:rPr>
                <w:rFonts w:hint="default" w:ascii="Times New Roman" w:hAnsi="Times New Roman" w:cs="Times New Roman"/>
                <w:sz w:val="24"/>
                <w:szCs w:val="24"/>
              </w:rPr>
              <w:t xml:space="preserve"> 3、不在同一相关市场、也不存在上下游关系的参与集中的经营者，在与交易有关的每个市场所占的份额均小于25%。</w:t>
            </w:r>
          </w:p>
        </w:tc>
      </w:tr>
      <w:tr w14:paraId="3CDF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1809" w:type="dxa"/>
            <w:vMerge w:val="continue"/>
            <w:shd w:val="clear" w:color="auto" w:fill="D9D9D9"/>
          </w:tcPr>
          <w:p w14:paraId="7464F5D3">
            <w:pPr>
              <w:rPr>
                <w:rFonts w:hint="default" w:ascii="Times New Roman" w:hAnsi="Times New Roman" w:cs="Times New Roman"/>
                <w:b/>
                <w:sz w:val="24"/>
                <w:szCs w:val="24"/>
              </w:rPr>
            </w:pPr>
          </w:p>
        </w:tc>
        <w:tc>
          <w:tcPr>
            <w:tcW w:w="6949" w:type="dxa"/>
            <w:gridSpan w:val="2"/>
          </w:tcPr>
          <w:p w14:paraId="0A4505A3">
            <w:pPr>
              <w:rPr>
                <w:rFonts w:hint="default" w:ascii="Times New Roman" w:hAnsi="Times New Roman" w:cs="Times New Roman"/>
                <w:sz w:val="24"/>
                <w:szCs w:val="24"/>
              </w:rPr>
            </w:pPr>
            <w:r>
              <w:rPr>
                <w:rFonts w:hint="default" w:ascii="Times New Roman" w:hAnsi="Times New Roman" w:cs="Times New Roman"/>
                <w:sz w:val="24"/>
                <w:szCs w:val="24"/>
              </w:rPr>
              <w:sym w:font="Wingdings" w:char="F0A8"/>
            </w:r>
            <w:r>
              <w:rPr>
                <w:rFonts w:hint="default" w:ascii="Times New Roman" w:hAnsi="Times New Roman" w:cs="Times New Roman"/>
                <w:sz w:val="24"/>
                <w:szCs w:val="24"/>
              </w:rPr>
              <w:t xml:space="preserve"> 4、参与集中的经营者在中国境外设立合营企业，合营企业不在中国境内从事经济活动。</w:t>
            </w:r>
          </w:p>
        </w:tc>
      </w:tr>
      <w:tr w14:paraId="53B6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809" w:type="dxa"/>
            <w:vMerge w:val="continue"/>
            <w:shd w:val="clear" w:color="auto" w:fill="D9D9D9"/>
          </w:tcPr>
          <w:p w14:paraId="49A19ED5">
            <w:pPr>
              <w:rPr>
                <w:rFonts w:hint="default" w:ascii="Times New Roman" w:hAnsi="Times New Roman" w:cs="Times New Roman"/>
                <w:b/>
                <w:sz w:val="24"/>
                <w:szCs w:val="24"/>
              </w:rPr>
            </w:pPr>
          </w:p>
        </w:tc>
        <w:tc>
          <w:tcPr>
            <w:tcW w:w="6949" w:type="dxa"/>
            <w:gridSpan w:val="2"/>
          </w:tcPr>
          <w:p w14:paraId="5BFA8215">
            <w:pPr>
              <w:rPr>
                <w:rFonts w:hint="default" w:ascii="Times New Roman" w:hAnsi="Times New Roman" w:cs="Times New Roman"/>
                <w:sz w:val="24"/>
                <w:szCs w:val="24"/>
              </w:rPr>
            </w:pPr>
            <w:r>
              <w:rPr>
                <w:rFonts w:hint="default" w:ascii="Times New Roman" w:hAnsi="Times New Roman" w:cs="Times New Roman"/>
                <w:sz w:val="24"/>
                <w:szCs w:val="24"/>
              </w:rPr>
              <w:sym w:font="Wingdings" w:char="F0A8"/>
            </w:r>
            <w:r>
              <w:rPr>
                <w:rFonts w:hint="default" w:ascii="Times New Roman" w:hAnsi="Times New Roman" w:cs="Times New Roman"/>
                <w:sz w:val="24"/>
                <w:szCs w:val="24"/>
              </w:rPr>
              <w:t xml:space="preserve"> 5、参与集中的经营者收购境外企业股权或资产的，该境外企业不在中国境内从事经济活动。</w:t>
            </w:r>
          </w:p>
        </w:tc>
      </w:tr>
      <w:tr w14:paraId="48BC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809" w:type="dxa"/>
            <w:vMerge w:val="continue"/>
            <w:shd w:val="clear" w:color="auto" w:fill="D9D9D9"/>
          </w:tcPr>
          <w:p w14:paraId="2AA79D9B">
            <w:pPr>
              <w:rPr>
                <w:rFonts w:hint="default" w:ascii="Times New Roman" w:hAnsi="Times New Roman" w:cs="Times New Roman"/>
                <w:b/>
                <w:sz w:val="24"/>
                <w:szCs w:val="24"/>
              </w:rPr>
            </w:pPr>
          </w:p>
        </w:tc>
        <w:tc>
          <w:tcPr>
            <w:tcW w:w="6949" w:type="dxa"/>
            <w:gridSpan w:val="2"/>
          </w:tcPr>
          <w:p w14:paraId="5D3A5AA4">
            <w:pPr>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 6、由两个以上的经营者共同控制的合营企业，通过集中被其中一个或一个以上经营者控制。</w:t>
            </w:r>
          </w:p>
        </w:tc>
      </w:tr>
      <w:tr w14:paraId="6CAB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D9D9D9"/>
          </w:tcPr>
          <w:p w14:paraId="5E28FE6B">
            <w:pPr>
              <w:rPr>
                <w:rFonts w:hint="default" w:ascii="Times New Roman" w:hAnsi="Times New Roman" w:cs="Times New Roman"/>
                <w:b/>
                <w:sz w:val="24"/>
                <w:szCs w:val="24"/>
              </w:rPr>
            </w:pPr>
            <w:r>
              <w:rPr>
                <w:rFonts w:hint="default" w:ascii="Times New Roman" w:hAnsi="Times New Roman" w:cs="Times New Roman"/>
                <w:b/>
                <w:sz w:val="24"/>
                <w:szCs w:val="24"/>
              </w:rPr>
              <w:t>备注</w:t>
            </w:r>
          </w:p>
        </w:tc>
        <w:tc>
          <w:tcPr>
            <w:tcW w:w="6949" w:type="dxa"/>
            <w:gridSpan w:val="2"/>
          </w:tcPr>
          <w:p w14:paraId="5C285DE6">
            <w:pPr>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混合集中</w:t>
            </w:r>
            <w:r>
              <w:rPr>
                <w:rFonts w:hint="default" w:ascii="Times New Roman" w:hAnsi="Times New Roman" w:cs="Times New Roman"/>
                <w:b/>
                <w:bCs/>
                <w:sz w:val="24"/>
                <w:szCs w:val="24"/>
              </w:rPr>
              <w:t>：</w:t>
            </w:r>
          </w:p>
          <w:p w14:paraId="08FD1C4F">
            <w:pPr>
              <w:rPr>
                <w:rFonts w:hint="default" w:ascii="Times New Roman" w:hAnsi="Times New Roman" w:cs="Times New Roman"/>
                <w:b/>
                <w:bCs/>
                <w:sz w:val="24"/>
                <w:szCs w:val="24"/>
              </w:rPr>
            </w:pPr>
          </w:p>
          <w:tbl>
            <w:tblPr>
              <w:tblStyle w:val="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1544"/>
              <w:gridCol w:w="2627"/>
            </w:tblGrid>
            <w:tr w14:paraId="411D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14:paraId="27BAF879">
                  <w:pPr>
                    <w:jc w:val="center"/>
                    <w:rPr>
                      <w:rFonts w:hint="default" w:ascii="Times New Roman" w:hAnsi="Times New Roman" w:cs="Times New Roman"/>
                      <w:b/>
                      <w:bCs/>
                      <w:sz w:val="21"/>
                      <w:szCs w:val="21"/>
                    </w:rPr>
                  </w:pPr>
                  <w:bookmarkStart w:id="1" w:name="_Hlk152173771"/>
                  <w:r>
                    <w:rPr>
                      <w:rFonts w:hint="default" w:ascii="Times New Roman" w:hAnsi="Times New Roman" w:cs="Times New Roman"/>
                      <w:bCs/>
                      <w:color w:val="000000"/>
                      <w:sz w:val="21"/>
                      <w:szCs w:val="21"/>
                    </w:rPr>
                    <w:t>相关商品市场</w:t>
                  </w:r>
                </w:p>
              </w:tc>
              <w:tc>
                <w:tcPr>
                  <w:tcW w:w="1544" w:type="dxa"/>
                </w:tcPr>
                <w:p w14:paraId="14B3C4A7">
                  <w:pPr>
                    <w:jc w:val="center"/>
                    <w:rPr>
                      <w:rFonts w:hint="default" w:ascii="Times New Roman" w:hAnsi="Times New Roman" w:cs="Times New Roman"/>
                      <w:b/>
                      <w:bCs/>
                      <w:sz w:val="21"/>
                      <w:szCs w:val="21"/>
                    </w:rPr>
                  </w:pPr>
                  <w:r>
                    <w:rPr>
                      <w:rFonts w:hint="default" w:ascii="Times New Roman" w:hAnsi="Times New Roman" w:cs="Times New Roman"/>
                      <w:bCs/>
                      <w:color w:val="000000"/>
                      <w:sz w:val="21"/>
                      <w:szCs w:val="21"/>
                    </w:rPr>
                    <w:t>相关地域市场</w:t>
                  </w:r>
                </w:p>
              </w:tc>
              <w:tc>
                <w:tcPr>
                  <w:tcW w:w="2627" w:type="dxa"/>
                </w:tcPr>
                <w:p w14:paraId="121419A9">
                  <w:pPr>
                    <w:jc w:val="center"/>
                    <w:rPr>
                      <w:rFonts w:hint="default" w:ascii="Times New Roman" w:hAnsi="Times New Roman" w:cs="Times New Roman"/>
                      <w:b/>
                      <w:bCs/>
                      <w:sz w:val="21"/>
                      <w:szCs w:val="21"/>
                    </w:rPr>
                  </w:pPr>
                  <w:r>
                    <w:rPr>
                      <w:rFonts w:hint="default" w:ascii="Times New Roman" w:hAnsi="Times New Roman" w:cs="Times New Roman"/>
                      <w:bCs/>
                      <w:color w:val="000000"/>
                      <w:sz w:val="21"/>
                      <w:szCs w:val="21"/>
                    </w:rPr>
                    <w:t>202</w:t>
                  </w:r>
                  <w:r>
                    <w:rPr>
                      <w:rFonts w:hint="default" w:ascii="Times New Roman" w:hAnsi="Times New Roman" w:cs="Times New Roman"/>
                      <w:bCs/>
                      <w:color w:val="000000"/>
                      <w:sz w:val="21"/>
                      <w:szCs w:val="21"/>
                      <w:lang w:val="en-US" w:eastAsia="zh-CN"/>
                    </w:rPr>
                    <w:t>5</w:t>
                  </w:r>
                  <w:r>
                    <w:rPr>
                      <w:rFonts w:hint="default" w:ascii="Times New Roman" w:hAnsi="Times New Roman" w:cs="Times New Roman"/>
                      <w:bCs/>
                      <w:color w:val="000000"/>
                      <w:sz w:val="21"/>
                      <w:szCs w:val="21"/>
                    </w:rPr>
                    <w:t>年市场份额</w:t>
                  </w:r>
                </w:p>
              </w:tc>
            </w:tr>
            <w:tr w14:paraId="7783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14:paraId="0D748CAC">
                  <w:pPr>
                    <w:rPr>
                      <w:rFonts w:hint="default" w:ascii="Times New Roman" w:hAnsi="Times New Roman" w:cs="Times New Roman"/>
                      <w:b/>
                      <w:bCs/>
                      <w:sz w:val="21"/>
                      <w:szCs w:val="21"/>
                    </w:rPr>
                  </w:pPr>
                  <w:r>
                    <w:rPr>
                      <w:rFonts w:hint="default" w:ascii="Times New Roman" w:hAnsi="Times New Roman" w:cs="Times New Roman"/>
                      <w:sz w:val="21"/>
                      <w:szCs w:val="21"/>
                    </w:rPr>
                    <w:t>8英寸晶圆</w:t>
                  </w:r>
                </w:p>
              </w:tc>
              <w:tc>
                <w:tcPr>
                  <w:tcW w:w="1544" w:type="dxa"/>
                </w:tcPr>
                <w:p w14:paraId="196A1364">
                  <w:pPr>
                    <w:rPr>
                      <w:rFonts w:hint="default" w:ascii="Times New Roman" w:hAnsi="Times New Roman" w:cs="Times New Roman"/>
                      <w:b/>
                      <w:bCs/>
                      <w:sz w:val="21"/>
                      <w:szCs w:val="21"/>
                    </w:rPr>
                  </w:pPr>
                  <w:r>
                    <w:rPr>
                      <w:rFonts w:hint="default" w:ascii="Times New Roman" w:hAnsi="Times New Roman" w:cs="Times New Roman"/>
                      <w:sz w:val="21"/>
                      <w:szCs w:val="21"/>
                    </w:rPr>
                    <w:t>全球</w:t>
                  </w:r>
                </w:p>
              </w:tc>
              <w:tc>
                <w:tcPr>
                  <w:tcW w:w="2627" w:type="dxa"/>
                </w:tcPr>
                <w:p w14:paraId="6A2FBA8E">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中环领先</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w:t>
                  </w:r>
                </w:p>
              </w:tc>
            </w:tr>
            <w:tr w14:paraId="1EA5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top"/>
                </w:tcPr>
                <w:p w14:paraId="28B4BE15">
                  <w:pPr>
                    <w:rPr>
                      <w:rFonts w:hint="default" w:ascii="Times New Roman" w:hAnsi="Times New Roman" w:cs="Times New Roman"/>
                      <w:sz w:val="21"/>
                      <w:szCs w:val="21"/>
                    </w:rPr>
                  </w:pPr>
                  <w:r>
                    <w:rPr>
                      <w:rFonts w:hint="default" w:ascii="Times New Roman" w:hAnsi="Times New Roman" w:cs="Times New Roman"/>
                      <w:sz w:val="21"/>
                      <w:szCs w:val="21"/>
                    </w:rPr>
                    <w:t>8英寸晶圆</w:t>
                  </w:r>
                </w:p>
              </w:tc>
              <w:tc>
                <w:tcPr>
                  <w:tcW w:w="1544" w:type="dxa"/>
                  <w:vAlign w:val="top"/>
                </w:tcPr>
                <w:p w14:paraId="2D9A96A9">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中国境内</w:t>
                  </w:r>
                </w:p>
              </w:tc>
              <w:tc>
                <w:tcPr>
                  <w:tcW w:w="2627" w:type="dxa"/>
                  <w:vAlign w:val="top"/>
                </w:tcPr>
                <w:p w14:paraId="19E6D8BF">
                  <w:pPr>
                    <w:rPr>
                      <w:rFonts w:hint="eastAsia" w:ascii="Times New Roman" w:hAnsi="Times New Roman" w:cs="Times New Roman"/>
                      <w:szCs w:val="21"/>
                      <w:lang w:val="en-US" w:eastAsia="zh-CN"/>
                    </w:rPr>
                  </w:pPr>
                  <w:r>
                    <w:rPr>
                      <w:rFonts w:hint="eastAsia" w:ascii="Times New Roman" w:hAnsi="Times New Roman" w:cs="Times New Roman"/>
                      <w:sz w:val="21"/>
                      <w:szCs w:val="21"/>
                      <w:lang w:eastAsia="zh-CN"/>
                    </w:rPr>
                    <w:t>中环领先</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25</w:t>
                  </w:r>
                  <w:r>
                    <w:rPr>
                      <w:rFonts w:hint="default" w:ascii="Times New Roman" w:hAnsi="Times New Roman" w:cs="Times New Roman"/>
                      <w:sz w:val="21"/>
                      <w:szCs w:val="21"/>
                    </w:rPr>
                    <w:t>%</w:t>
                  </w:r>
                </w:p>
              </w:tc>
            </w:tr>
            <w:tr w14:paraId="6D98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top"/>
                </w:tcPr>
                <w:p w14:paraId="02123526">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12</w:t>
                  </w:r>
                  <w:r>
                    <w:rPr>
                      <w:rFonts w:hint="default" w:ascii="Times New Roman" w:hAnsi="Times New Roman" w:cs="Times New Roman"/>
                      <w:sz w:val="21"/>
                      <w:szCs w:val="21"/>
                    </w:rPr>
                    <w:t>英寸晶圆</w:t>
                  </w:r>
                </w:p>
              </w:tc>
              <w:tc>
                <w:tcPr>
                  <w:tcW w:w="1544" w:type="dxa"/>
                  <w:vAlign w:val="top"/>
                </w:tcPr>
                <w:p w14:paraId="59F65124">
                  <w:pPr>
                    <w:rPr>
                      <w:rFonts w:hint="default" w:ascii="Times New Roman" w:hAnsi="Times New Roman" w:cs="Times New Roman"/>
                      <w:sz w:val="21"/>
                      <w:szCs w:val="21"/>
                    </w:rPr>
                  </w:pPr>
                  <w:r>
                    <w:rPr>
                      <w:rFonts w:hint="default" w:ascii="Times New Roman" w:hAnsi="Times New Roman" w:cs="Times New Roman"/>
                      <w:sz w:val="21"/>
                      <w:szCs w:val="21"/>
                    </w:rPr>
                    <w:t>全球</w:t>
                  </w:r>
                </w:p>
              </w:tc>
              <w:tc>
                <w:tcPr>
                  <w:tcW w:w="2627" w:type="dxa"/>
                  <w:vAlign w:val="top"/>
                </w:tcPr>
                <w:p w14:paraId="1BB097B0">
                  <w:pPr>
                    <w:rPr>
                      <w:rFonts w:hint="default" w:ascii="Times New Roman" w:hAnsi="Times New Roman" w:cs="Times New Roman"/>
                      <w:szCs w:val="21"/>
                      <w:lang w:val="en-US" w:eastAsia="zh-CN"/>
                    </w:rPr>
                  </w:pPr>
                  <w:r>
                    <w:rPr>
                      <w:rFonts w:hint="eastAsia" w:ascii="Times New Roman" w:hAnsi="Times New Roman" w:cs="Times New Roman"/>
                      <w:sz w:val="21"/>
                      <w:szCs w:val="21"/>
                      <w:lang w:eastAsia="zh-CN"/>
                    </w:rPr>
                    <w:t>中环领先</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w:t>
                  </w:r>
                </w:p>
              </w:tc>
            </w:tr>
            <w:tr w14:paraId="279C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top"/>
                </w:tcPr>
                <w:p w14:paraId="7248438D">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12</w:t>
                  </w:r>
                  <w:r>
                    <w:rPr>
                      <w:rFonts w:hint="default" w:ascii="Times New Roman" w:hAnsi="Times New Roman" w:cs="Times New Roman"/>
                      <w:sz w:val="21"/>
                      <w:szCs w:val="21"/>
                    </w:rPr>
                    <w:t>英寸晶圆</w:t>
                  </w:r>
                </w:p>
              </w:tc>
              <w:tc>
                <w:tcPr>
                  <w:tcW w:w="1544" w:type="dxa"/>
                  <w:vAlign w:val="top"/>
                </w:tcPr>
                <w:p w14:paraId="7D420089">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中国境内</w:t>
                  </w:r>
                </w:p>
              </w:tc>
              <w:tc>
                <w:tcPr>
                  <w:tcW w:w="2627" w:type="dxa"/>
                  <w:vAlign w:val="top"/>
                </w:tcPr>
                <w:p w14:paraId="78F031E0">
                  <w:pPr>
                    <w:rPr>
                      <w:rFonts w:hint="eastAsia" w:ascii="Times New Roman" w:hAnsi="Times New Roman" w:cs="Times New Roman"/>
                      <w:szCs w:val="21"/>
                      <w:lang w:val="en-US" w:eastAsia="zh-CN"/>
                    </w:rPr>
                  </w:pPr>
                  <w:r>
                    <w:rPr>
                      <w:rFonts w:hint="eastAsia" w:ascii="Times New Roman" w:hAnsi="Times New Roman" w:cs="Times New Roman"/>
                      <w:sz w:val="21"/>
                      <w:szCs w:val="21"/>
                      <w:lang w:eastAsia="zh-CN"/>
                    </w:rPr>
                    <w:t>中环领先</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15~20</w:t>
                  </w:r>
                  <w:r>
                    <w:rPr>
                      <w:rFonts w:hint="default" w:ascii="Times New Roman" w:hAnsi="Times New Roman" w:cs="Times New Roman"/>
                      <w:sz w:val="21"/>
                      <w:szCs w:val="21"/>
                    </w:rPr>
                    <w:t>%</w:t>
                  </w:r>
                </w:p>
              </w:tc>
            </w:tr>
            <w:tr w14:paraId="6083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top"/>
                </w:tcPr>
                <w:p w14:paraId="158FB129">
                  <w:pPr>
                    <w:rPr>
                      <w:rFonts w:hint="default" w:ascii="Times New Roman" w:hAnsi="Times New Roman" w:cs="Times New Roman"/>
                      <w:sz w:val="21"/>
                      <w:szCs w:val="21"/>
                    </w:rPr>
                  </w:pPr>
                  <w:r>
                    <w:rPr>
                      <w:rFonts w:hint="default" w:ascii="Times New Roman" w:hAnsi="Times New Roman" w:cs="Times New Roman"/>
                      <w:sz w:val="21"/>
                      <w:szCs w:val="21"/>
                    </w:rPr>
                    <w:t>键合材料（复合衬底材料）</w:t>
                  </w:r>
                </w:p>
              </w:tc>
              <w:tc>
                <w:tcPr>
                  <w:tcW w:w="1544" w:type="dxa"/>
                  <w:vAlign w:val="top"/>
                </w:tcPr>
                <w:p w14:paraId="1FDF6AE2">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全球</w:t>
                  </w:r>
                </w:p>
              </w:tc>
              <w:tc>
                <w:tcPr>
                  <w:tcW w:w="2627" w:type="dxa"/>
                  <w:vAlign w:val="top"/>
                </w:tcPr>
                <w:p w14:paraId="52B8F86F">
                  <w:pP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中环领先：0~5%</w:t>
                  </w:r>
                </w:p>
              </w:tc>
            </w:tr>
            <w:tr w14:paraId="6559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top"/>
                </w:tcPr>
                <w:p w14:paraId="7A006160">
                  <w:pPr>
                    <w:rPr>
                      <w:rFonts w:hint="default" w:ascii="Times New Roman" w:hAnsi="Times New Roman" w:cs="Times New Roman"/>
                      <w:sz w:val="21"/>
                      <w:szCs w:val="21"/>
                    </w:rPr>
                  </w:pPr>
                  <w:r>
                    <w:rPr>
                      <w:rFonts w:hint="default" w:ascii="Times New Roman" w:hAnsi="Times New Roman" w:cs="Times New Roman"/>
                      <w:sz w:val="21"/>
                      <w:szCs w:val="21"/>
                    </w:rPr>
                    <w:t>键合材料（复合衬底材料）</w:t>
                  </w:r>
                </w:p>
              </w:tc>
              <w:tc>
                <w:tcPr>
                  <w:tcW w:w="1544" w:type="dxa"/>
                  <w:vAlign w:val="top"/>
                </w:tcPr>
                <w:p w14:paraId="249217D2">
                  <w:pP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中国境内</w:t>
                  </w:r>
                </w:p>
              </w:tc>
              <w:tc>
                <w:tcPr>
                  <w:tcW w:w="2627" w:type="dxa"/>
                  <w:vAlign w:val="top"/>
                </w:tcPr>
                <w:p w14:paraId="59F8E3E9">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中环领先：0~5%</w:t>
                  </w:r>
                </w:p>
              </w:tc>
            </w:tr>
            <w:bookmarkEnd w:id="1"/>
          </w:tbl>
          <w:p w14:paraId="52387A38">
            <w:pPr>
              <w:rPr>
                <w:rFonts w:hint="default" w:ascii="Times New Roman" w:hAnsi="Times New Roman" w:cs="Times New Roman"/>
                <w:sz w:val="24"/>
                <w:szCs w:val="24"/>
              </w:rPr>
            </w:pPr>
          </w:p>
          <w:p w14:paraId="62ACD329">
            <w:pPr>
              <w:rPr>
                <w:rFonts w:hint="default" w:ascii="Times New Roman" w:hAnsi="Times New Roman" w:cs="Times New Roman"/>
                <w:sz w:val="24"/>
                <w:szCs w:val="24"/>
              </w:rPr>
            </w:pPr>
          </w:p>
        </w:tc>
      </w:tr>
      <w:bookmarkEnd w:id="0"/>
    </w:tbl>
    <w:p w14:paraId="5AE0BB71">
      <w:pPr>
        <w:rPr>
          <w:rFonts w:ascii="Times New Roman" w:hAnsi="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embedRegular r:id="rId1" w:fontKey="{E5BF67ED-8135-5489-AC52-506AD16031ED}"/>
  </w:font>
  <w:font w:name="宋体">
    <w:altName w:val="汉仪书宋二KW"/>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2" w:fontKey="{0F77ED55-1489-DF53-AC52-506A14F72E92}"/>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7"/>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95"/>
    <w:rsid w:val="000028B9"/>
    <w:rsid w:val="00002BB4"/>
    <w:rsid w:val="0002190B"/>
    <w:rsid w:val="00023510"/>
    <w:rsid w:val="00045966"/>
    <w:rsid w:val="000675A7"/>
    <w:rsid w:val="00081C11"/>
    <w:rsid w:val="00094095"/>
    <w:rsid w:val="000A7223"/>
    <w:rsid w:val="000B347D"/>
    <w:rsid w:val="000B4D65"/>
    <w:rsid w:val="000C0828"/>
    <w:rsid w:val="000E1188"/>
    <w:rsid w:val="000E363D"/>
    <w:rsid w:val="00103F1F"/>
    <w:rsid w:val="00113024"/>
    <w:rsid w:val="00113B7D"/>
    <w:rsid w:val="00113F95"/>
    <w:rsid w:val="00115F2B"/>
    <w:rsid w:val="001469CA"/>
    <w:rsid w:val="001530C8"/>
    <w:rsid w:val="00172D73"/>
    <w:rsid w:val="00174A37"/>
    <w:rsid w:val="00181E00"/>
    <w:rsid w:val="001A1F68"/>
    <w:rsid w:val="001B6BE7"/>
    <w:rsid w:val="001D2727"/>
    <w:rsid w:val="001D60C2"/>
    <w:rsid w:val="001D6EEA"/>
    <w:rsid w:val="001E6C23"/>
    <w:rsid w:val="001E72E6"/>
    <w:rsid w:val="00212883"/>
    <w:rsid w:val="00233B32"/>
    <w:rsid w:val="00242187"/>
    <w:rsid w:val="00245776"/>
    <w:rsid w:val="0025104F"/>
    <w:rsid w:val="00251FFF"/>
    <w:rsid w:val="002716AF"/>
    <w:rsid w:val="0027728C"/>
    <w:rsid w:val="002813E3"/>
    <w:rsid w:val="00286F12"/>
    <w:rsid w:val="0029266B"/>
    <w:rsid w:val="002A0992"/>
    <w:rsid w:val="002A2976"/>
    <w:rsid w:val="002A2A64"/>
    <w:rsid w:val="002A5221"/>
    <w:rsid w:val="002A5816"/>
    <w:rsid w:val="002B769E"/>
    <w:rsid w:val="002C0878"/>
    <w:rsid w:val="002C150A"/>
    <w:rsid w:val="002C2E9A"/>
    <w:rsid w:val="002C62AF"/>
    <w:rsid w:val="002D3E80"/>
    <w:rsid w:val="002F2D60"/>
    <w:rsid w:val="002F54BC"/>
    <w:rsid w:val="00307976"/>
    <w:rsid w:val="00315C44"/>
    <w:rsid w:val="003437D6"/>
    <w:rsid w:val="00344CBE"/>
    <w:rsid w:val="00356FF1"/>
    <w:rsid w:val="00372412"/>
    <w:rsid w:val="003774E4"/>
    <w:rsid w:val="003B4AF2"/>
    <w:rsid w:val="003C4E9F"/>
    <w:rsid w:val="003E60C3"/>
    <w:rsid w:val="003F3A3D"/>
    <w:rsid w:val="003F3F2D"/>
    <w:rsid w:val="004137D8"/>
    <w:rsid w:val="004203A2"/>
    <w:rsid w:val="00436C0C"/>
    <w:rsid w:val="00452181"/>
    <w:rsid w:val="00462174"/>
    <w:rsid w:val="00466906"/>
    <w:rsid w:val="004A6517"/>
    <w:rsid w:val="004A72D5"/>
    <w:rsid w:val="004B048E"/>
    <w:rsid w:val="004C37D8"/>
    <w:rsid w:val="004C3E23"/>
    <w:rsid w:val="004D1A60"/>
    <w:rsid w:val="00511B0C"/>
    <w:rsid w:val="00523151"/>
    <w:rsid w:val="00533635"/>
    <w:rsid w:val="00547709"/>
    <w:rsid w:val="0055631E"/>
    <w:rsid w:val="00563F1C"/>
    <w:rsid w:val="00586928"/>
    <w:rsid w:val="00587541"/>
    <w:rsid w:val="005A0F48"/>
    <w:rsid w:val="005A31C8"/>
    <w:rsid w:val="005A5B31"/>
    <w:rsid w:val="005B29A6"/>
    <w:rsid w:val="005B2A20"/>
    <w:rsid w:val="005B2A61"/>
    <w:rsid w:val="005D1F1F"/>
    <w:rsid w:val="005D3977"/>
    <w:rsid w:val="005E3C20"/>
    <w:rsid w:val="005F167B"/>
    <w:rsid w:val="006041D2"/>
    <w:rsid w:val="006100B9"/>
    <w:rsid w:val="00610AE9"/>
    <w:rsid w:val="00611DE4"/>
    <w:rsid w:val="006302F7"/>
    <w:rsid w:val="00634511"/>
    <w:rsid w:val="00644282"/>
    <w:rsid w:val="006472DE"/>
    <w:rsid w:val="0065422A"/>
    <w:rsid w:val="006557DC"/>
    <w:rsid w:val="006571B5"/>
    <w:rsid w:val="006A088E"/>
    <w:rsid w:val="006C3910"/>
    <w:rsid w:val="006C59FA"/>
    <w:rsid w:val="006D069E"/>
    <w:rsid w:val="006D1520"/>
    <w:rsid w:val="006D36E3"/>
    <w:rsid w:val="006E538B"/>
    <w:rsid w:val="00706527"/>
    <w:rsid w:val="00706B49"/>
    <w:rsid w:val="00706C14"/>
    <w:rsid w:val="007421E3"/>
    <w:rsid w:val="00760695"/>
    <w:rsid w:val="00780DAA"/>
    <w:rsid w:val="00784A67"/>
    <w:rsid w:val="007A5837"/>
    <w:rsid w:val="007B64AD"/>
    <w:rsid w:val="007C0297"/>
    <w:rsid w:val="007C60A7"/>
    <w:rsid w:val="007D4D02"/>
    <w:rsid w:val="007E07D5"/>
    <w:rsid w:val="00806E95"/>
    <w:rsid w:val="008107B4"/>
    <w:rsid w:val="00811E74"/>
    <w:rsid w:val="008356DA"/>
    <w:rsid w:val="00836E2D"/>
    <w:rsid w:val="00862608"/>
    <w:rsid w:val="008721F6"/>
    <w:rsid w:val="00886997"/>
    <w:rsid w:val="00890504"/>
    <w:rsid w:val="008A1FF1"/>
    <w:rsid w:val="008A21F2"/>
    <w:rsid w:val="008A3827"/>
    <w:rsid w:val="008A70B2"/>
    <w:rsid w:val="008B2DDF"/>
    <w:rsid w:val="008D3D13"/>
    <w:rsid w:val="008E34BF"/>
    <w:rsid w:val="008E5233"/>
    <w:rsid w:val="008F04A2"/>
    <w:rsid w:val="008F3D13"/>
    <w:rsid w:val="008F6B86"/>
    <w:rsid w:val="00921469"/>
    <w:rsid w:val="009270BA"/>
    <w:rsid w:val="00955419"/>
    <w:rsid w:val="00957D49"/>
    <w:rsid w:val="00981269"/>
    <w:rsid w:val="009910F5"/>
    <w:rsid w:val="009B5F0D"/>
    <w:rsid w:val="009B68C5"/>
    <w:rsid w:val="009D344D"/>
    <w:rsid w:val="009E42AF"/>
    <w:rsid w:val="009E66B3"/>
    <w:rsid w:val="009F50D7"/>
    <w:rsid w:val="00A022A4"/>
    <w:rsid w:val="00A03B12"/>
    <w:rsid w:val="00A1517B"/>
    <w:rsid w:val="00A15F64"/>
    <w:rsid w:val="00A41B45"/>
    <w:rsid w:val="00A44ED8"/>
    <w:rsid w:val="00A665BC"/>
    <w:rsid w:val="00A83243"/>
    <w:rsid w:val="00A87FEF"/>
    <w:rsid w:val="00A9684C"/>
    <w:rsid w:val="00AA0D58"/>
    <w:rsid w:val="00AB5008"/>
    <w:rsid w:val="00AC0172"/>
    <w:rsid w:val="00AC4929"/>
    <w:rsid w:val="00AC6ECA"/>
    <w:rsid w:val="00AD0AE2"/>
    <w:rsid w:val="00AE4242"/>
    <w:rsid w:val="00B06644"/>
    <w:rsid w:val="00B25D98"/>
    <w:rsid w:val="00B34F97"/>
    <w:rsid w:val="00B356C9"/>
    <w:rsid w:val="00B43DE3"/>
    <w:rsid w:val="00B54D27"/>
    <w:rsid w:val="00B5530C"/>
    <w:rsid w:val="00B5675D"/>
    <w:rsid w:val="00B577EB"/>
    <w:rsid w:val="00B9346D"/>
    <w:rsid w:val="00BA0750"/>
    <w:rsid w:val="00BA5C49"/>
    <w:rsid w:val="00BA625B"/>
    <w:rsid w:val="00BA6300"/>
    <w:rsid w:val="00BA6FC1"/>
    <w:rsid w:val="00BB2377"/>
    <w:rsid w:val="00BD3B0B"/>
    <w:rsid w:val="00BF7086"/>
    <w:rsid w:val="00C00A22"/>
    <w:rsid w:val="00C013BD"/>
    <w:rsid w:val="00C21FDF"/>
    <w:rsid w:val="00C4585B"/>
    <w:rsid w:val="00C569EB"/>
    <w:rsid w:val="00C64E86"/>
    <w:rsid w:val="00C65086"/>
    <w:rsid w:val="00C8636B"/>
    <w:rsid w:val="00C86C98"/>
    <w:rsid w:val="00C9068E"/>
    <w:rsid w:val="00C91A03"/>
    <w:rsid w:val="00C96603"/>
    <w:rsid w:val="00CA5F18"/>
    <w:rsid w:val="00CA6C50"/>
    <w:rsid w:val="00CB4BBA"/>
    <w:rsid w:val="00CC4B1B"/>
    <w:rsid w:val="00CE537D"/>
    <w:rsid w:val="00CF60DF"/>
    <w:rsid w:val="00D02388"/>
    <w:rsid w:val="00D11C3C"/>
    <w:rsid w:val="00D12436"/>
    <w:rsid w:val="00D21633"/>
    <w:rsid w:val="00D2163D"/>
    <w:rsid w:val="00D21777"/>
    <w:rsid w:val="00D3032F"/>
    <w:rsid w:val="00D30389"/>
    <w:rsid w:val="00D32065"/>
    <w:rsid w:val="00D368E0"/>
    <w:rsid w:val="00D4025F"/>
    <w:rsid w:val="00D45F07"/>
    <w:rsid w:val="00D671EF"/>
    <w:rsid w:val="00D74F3E"/>
    <w:rsid w:val="00D753A8"/>
    <w:rsid w:val="00DA02CB"/>
    <w:rsid w:val="00DB5392"/>
    <w:rsid w:val="00DB6A8B"/>
    <w:rsid w:val="00DD24A1"/>
    <w:rsid w:val="00DD5AC0"/>
    <w:rsid w:val="00DD7DFA"/>
    <w:rsid w:val="00DF4497"/>
    <w:rsid w:val="00E02606"/>
    <w:rsid w:val="00E3225D"/>
    <w:rsid w:val="00E35572"/>
    <w:rsid w:val="00E54F55"/>
    <w:rsid w:val="00E65ED7"/>
    <w:rsid w:val="00E761B9"/>
    <w:rsid w:val="00E845A7"/>
    <w:rsid w:val="00EA6518"/>
    <w:rsid w:val="00EC7CC2"/>
    <w:rsid w:val="00ED21B1"/>
    <w:rsid w:val="00EE0E6B"/>
    <w:rsid w:val="00EE3DDA"/>
    <w:rsid w:val="00EF03F5"/>
    <w:rsid w:val="00EF1B89"/>
    <w:rsid w:val="00EF250E"/>
    <w:rsid w:val="00EF59BE"/>
    <w:rsid w:val="00F004B1"/>
    <w:rsid w:val="00F02E06"/>
    <w:rsid w:val="00F04325"/>
    <w:rsid w:val="00F71627"/>
    <w:rsid w:val="00F730F2"/>
    <w:rsid w:val="00F74404"/>
    <w:rsid w:val="00F80D6E"/>
    <w:rsid w:val="00F85488"/>
    <w:rsid w:val="00F87C1F"/>
    <w:rsid w:val="00FA02FD"/>
    <w:rsid w:val="00FA0C1A"/>
    <w:rsid w:val="00FA395D"/>
    <w:rsid w:val="00FD2F77"/>
    <w:rsid w:val="00FD72B7"/>
    <w:rsid w:val="00FD7A17"/>
    <w:rsid w:val="00FE4003"/>
    <w:rsid w:val="049174C0"/>
    <w:rsid w:val="0F506BC4"/>
    <w:rsid w:val="17A169E5"/>
    <w:rsid w:val="1A527D06"/>
    <w:rsid w:val="1F09499E"/>
    <w:rsid w:val="244C61C9"/>
    <w:rsid w:val="25CE1E7F"/>
    <w:rsid w:val="34843C8B"/>
    <w:rsid w:val="34FB1F45"/>
    <w:rsid w:val="35BD1E53"/>
    <w:rsid w:val="36253E76"/>
    <w:rsid w:val="38F7345D"/>
    <w:rsid w:val="3EB63508"/>
    <w:rsid w:val="3EBC62C8"/>
    <w:rsid w:val="3FFE0CCC"/>
    <w:rsid w:val="3FFE970E"/>
    <w:rsid w:val="44C35EBF"/>
    <w:rsid w:val="49F800C5"/>
    <w:rsid w:val="49FF54A5"/>
    <w:rsid w:val="4C1D443B"/>
    <w:rsid w:val="4C8578C0"/>
    <w:rsid w:val="4CA94424"/>
    <w:rsid w:val="4F3B7F03"/>
    <w:rsid w:val="52AD3954"/>
    <w:rsid w:val="574F1D59"/>
    <w:rsid w:val="5BA3015F"/>
    <w:rsid w:val="5E5B1C8A"/>
    <w:rsid w:val="640953F2"/>
    <w:rsid w:val="65AC7F80"/>
    <w:rsid w:val="69807179"/>
    <w:rsid w:val="6F01677F"/>
    <w:rsid w:val="77B446A2"/>
    <w:rsid w:val="7DBB9FB1"/>
    <w:rsid w:val="7EE77F63"/>
    <w:rsid w:val="7F0D2F16"/>
    <w:rsid w:val="DFE7E169"/>
    <w:rsid w:val="E7F4AA55"/>
    <w:rsid w:val="EF7F9247"/>
    <w:rsid w:val="FFDB05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endnote text"/>
    <w:basedOn w:val="1"/>
    <w:link w:val="13"/>
    <w:semiHidden/>
    <w:unhideWhenUsed/>
    <w:qFormat/>
    <w:uiPriority w:val="99"/>
    <w:pPr>
      <w:snapToGrid w:val="0"/>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semiHidden/>
    <w:unhideWhenUsed/>
    <w:qFormat/>
    <w:uiPriority w:val="99"/>
    <w:rPr>
      <w:vertAlign w:val="superscript"/>
    </w:rPr>
  </w:style>
  <w:style w:type="character" w:styleId="12">
    <w:name w:val="annotation reference"/>
    <w:basedOn w:val="10"/>
    <w:semiHidden/>
    <w:unhideWhenUsed/>
    <w:qFormat/>
    <w:uiPriority w:val="99"/>
    <w:rPr>
      <w:sz w:val="21"/>
      <w:szCs w:val="21"/>
    </w:rPr>
  </w:style>
  <w:style w:type="character" w:customStyle="1" w:styleId="13">
    <w:name w:val="尾注文本 字符"/>
    <w:basedOn w:val="10"/>
    <w:link w:val="3"/>
    <w:semiHidden/>
    <w:qFormat/>
    <w:uiPriority w:val="99"/>
  </w:style>
  <w:style w:type="character" w:customStyle="1" w:styleId="14">
    <w:name w:val="页眉 字符"/>
    <w:link w:val="6"/>
    <w:qFormat/>
    <w:uiPriority w:val="99"/>
    <w:rPr>
      <w:sz w:val="18"/>
      <w:szCs w:val="18"/>
    </w:rPr>
  </w:style>
  <w:style w:type="character" w:customStyle="1" w:styleId="15">
    <w:name w:val="页脚 字符"/>
    <w:link w:val="5"/>
    <w:qFormat/>
    <w:uiPriority w:val="99"/>
    <w:rPr>
      <w:sz w:val="18"/>
      <w:szCs w:val="18"/>
    </w:rPr>
  </w:style>
  <w:style w:type="character" w:customStyle="1" w:styleId="16">
    <w:name w:val="批注框文本 字符"/>
    <w:link w:val="4"/>
    <w:semiHidden/>
    <w:qFormat/>
    <w:uiPriority w:val="99"/>
    <w:rPr>
      <w:kern w:val="2"/>
      <w:sz w:val="18"/>
      <w:szCs w:val="18"/>
    </w:rPr>
  </w:style>
  <w:style w:type="paragraph" w:styleId="17">
    <w:name w:val="List Paragraph"/>
    <w:basedOn w:val="1"/>
    <w:qFormat/>
    <w:uiPriority w:val="34"/>
    <w:pPr>
      <w:ind w:firstLine="420" w:firstLineChars="200"/>
    </w:pPr>
  </w:style>
  <w:style w:type="paragraph" w:customStyle="1" w:styleId="18">
    <w:name w:val="Revision"/>
    <w:hidden/>
    <w:semiHidden/>
    <w:qFormat/>
    <w:uiPriority w:val="99"/>
    <w:rPr>
      <w:rFonts w:ascii="Calibri" w:hAnsi="Calibri" w:eastAsia="宋体" w:cs="Times New Roman"/>
      <w:kern w:val="2"/>
      <w:sz w:val="21"/>
      <w:szCs w:val="22"/>
      <w:lang w:val="en-US" w:eastAsia="zh-CN" w:bidi="ar-SA"/>
    </w:rPr>
  </w:style>
  <w:style w:type="character" w:customStyle="1" w:styleId="19">
    <w:name w:val="批注文字 字符"/>
    <w:basedOn w:val="10"/>
    <w:link w:val="2"/>
    <w:qFormat/>
    <w:uiPriority w:val="99"/>
    <w:rPr>
      <w:kern w:val="2"/>
      <w:sz w:val="21"/>
      <w:szCs w:val="22"/>
    </w:rPr>
  </w:style>
  <w:style w:type="character" w:customStyle="1" w:styleId="20">
    <w:name w:val="批注主题 字符"/>
    <w:basedOn w:val="19"/>
    <w:link w:val="7"/>
    <w:semiHidden/>
    <w:qFormat/>
    <w:uiPriority w:val="99"/>
    <w:rPr>
      <w:b/>
      <w:bCs/>
      <w:kern w:val="2"/>
      <w:sz w:val="21"/>
      <w:szCs w:val="22"/>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zhonglun</Company>
  <Pages>2</Pages>
  <Words>1319</Words>
  <Characters>1382</Characters>
  <Lines>8</Lines>
  <Paragraphs>2</Paragraphs>
  <TotalTime>1</TotalTime>
  <ScaleCrop>false</ScaleCrop>
  <LinksUpToDate>false</LinksUpToDate>
  <CharactersWithSpaces>1388</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2020-10-15T00:59:00Z</dcterms:created>
  <dc:creator>YIN Yue/Zhong Lun</dc:creator>
  <cp:lastModifiedBy>JT</cp:lastModifiedBy>
  <cp:lastPrinted>2024-05-16T23:23:00Z</cp:lastPrinted>
  <dcterms:modified xsi:type="dcterms:W3CDTF">2026-07-10T10:02:19Z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KSOTemplateDocerSaveRecord">
    <vt:lpwstr>eyJoZGlkIjoiNjQwNjNhMWE2ZjQ1NGMwZDk0OTMyNzczNmNkMTZlZDQiLCJ1c2VySWQiOiI0OTQyMjIzNDkifQ==</vt:lpwstr>
  </property>
  <property fmtid="{D5CDD505-2E9C-101B-9397-08002B2CF9AE}" pid="4" name="ICV">
    <vt:lpwstr>566324381F84A9F4AB52506A9C65D5C8_43</vt:lpwstr>
  </property>
</Properties>
</file>