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right"/>
        <w:rPr>
          <w:rFonts w:ascii="Calibri" w:hAnsi="Calibri" w:eastAsia="方正小标宋简体" w:cs="Calibri"/>
          <w:sz w:val="32"/>
          <w:szCs w:val="32"/>
        </w:rPr>
      </w:pPr>
      <w:bookmarkStart w:id="0" w:name="_GoBack"/>
      <w:bookmarkEnd w:id="0"/>
      <w:r>
        <w:rPr>
          <w:rFonts w:ascii="仿宋_GB2312" w:hAnsi="Calibri" w:eastAsia="仿宋_GB2312" w:cs="Calibri"/>
          <w:sz w:val="28"/>
          <w:szCs w:val="28"/>
        </w:rPr>
        <w:t>编号：</w:t>
      </w:r>
      <w:r>
        <w:rPr>
          <w:rFonts w:hint="eastAsia" w:ascii="仿宋_GB2312" w:hAnsi="Calibri" w:eastAsia="仿宋_GB2312" w:cs="Calibri"/>
          <w:color w:val="000000"/>
          <w:sz w:val="28"/>
          <w:szCs w:val="28"/>
        </w:rPr>
        <w:t>SHSSXZ020</w:t>
      </w:r>
      <w:r>
        <w:rPr>
          <w:rFonts w:hint="eastAsia" w:ascii="仿宋_GB2312" w:hAnsi="Calibri" w:eastAsia="仿宋_GB2312" w:cs="Calibri"/>
          <w:color w:val="000000"/>
          <w:sz w:val="28"/>
          <w:szCs w:val="28"/>
          <w:lang w:val="en-US" w:eastAsia="zh-CN"/>
        </w:rPr>
        <w:t>8</w:t>
      </w:r>
      <w:r>
        <w:rPr>
          <w:rFonts w:hint="eastAsia" w:ascii="仿宋_GB2312" w:hAnsi="Calibri" w:eastAsia="仿宋_GB2312" w:cs="Calibri"/>
          <w:color w:val="000000"/>
          <w:sz w:val="28"/>
          <w:szCs w:val="28"/>
        </w:rPr>
        <w:t>-2022</w:t>
      </w:r>
    </w:p>
    <w:p>
      <w:pPr>
        <w:snapToGrid w:val="0"/>
        <w:spacing w:line="360" w:lineRule="auto"/>
        <w:jc w:val="center"/>
        <w:rPr>
          <w:rFonts w:ascii="Calibri" w:hAnsi="Calibri" w:eastAsia="方正小标宋简体" w:cs="Calibri"/>
          <w:sz w:val="32"/>
          <w:szCs w:val="32"/>
        </w:rPr>
      </w:pPr>
    </w:p>
    <w:p>
      <w:pPr>
        <w:snapToGrid w:val="0"/>
        <w:spacing w:line="360" w:lineRule="auto"/>
        <w:jc w:val="center"/>
        <w:rPr>
          <w:rFonts w:hint="default" w:ascii="Calibri" w:hAnsi="Calibri" w:eastAsia="方正小标宋简体" w:cs="Calibri"/>
          <w:sz w:val="32"/>
          <w:szCs w:val="32"/>
        </w:rPr>
      </w:pPr>
      <w:r>
        <w:rPr>
          <w:rFonts w:ascii="Calibri" w:hAnsi="Calibri" w:eastAsia="方正小标宋简体" w:cs="Calibri"/>
          <w:sz w:val="32"/>
          <w:szCs w:val="32"/>
        </w:rPr>
        <w:t>上海市产品质量监督抽查实施细则</w:t>
      </w:r>
    </w:p>
    <w:p>
      <w:pPr>
        <w:adjustRightInd w:val="0"/>
        <w:snapToGrid w:val="0"/>
        <w:spacing w:line="360" w:lineRule="auto"/>
        <w:ind w:left="420" w:hanging="420"/>
        <w:jc w:val="center"/>
        <w:rPr>
          <w:rFonts w:hint="default" w:ascii="Arial" w:hAnsi="Arial" w:eastAsia="仿宋_GB2312" w:cs="Arial"/>
          <w:sz w:val="44"/>
          <w:szCs w:val="44"/>
        </w:rPr>
      </w:pPr>
      <w:r>
        <w:rPr>
          <w:rFonts w:ascii="方正小标宋简体" w:hAnsi="仿宋" w:eastAsia="方正小标宋简体" w:cs="方正仿宋简体"/>
          <w:sz w:val="32"/>
          <w:szCs w:val="32"/>
        </w:rPr>
        <w:t>儿童高椅产品</w:t>
      </w:r>
    </w:p>
    <w:p>
      <w:pPr>
        <w:snapToGrid w:val="0"/>
        <w:spacing w:line="360" w:lineRule="auto"/>
        <w:jc w:val="right"/>
        <w:rPr>
          <w:rFonts w:hint="default" w:ascii="仿宋_GB2312" w:hAnsi="Calibri" w:eastAsia="仿宋_GB2312" w:cs="Calibri"/>
          <w:sz w:val="28"/>
          <w:szCs w:val="28"/>
        </w:rPr>
      </w:pPr>
      <w:r>
        <w:rPr>
          <w:rFonts w:ascii="仿宋_GB2312" w:hAnsi="Calibri" w:eastAsia="仿宋_GB2312" w:cs="Calibri"/>
          <w:sz w:val="28"/>
          <w:szCs w:val="28"/>
        </w:rPr>
        <w:t xml:space="preserve">            </w:t>
      </w:r>
    </w:p>
    <w:p>
      <w:pPr>
        <w:spacing w:line="460" w:lineRule="exact"/>
        <w:rPr>
          <w:rFonts w:hint="default" w:ascii="黑体" w:hAnsi="黑体" w:eastAsia="黑体" w:cs="Calibri"/>
          <w:szCs w:val="21"/>
        </w:rPr>
      </w:pPr>
      <w:r>
        <w:rPr>
          <w:rFonts w:ascii="黑体" w:hAnsi="黑体" w:eastAsia="黑体" w:cs="Calibri"/>
          <w:szCs w:val="21"/>
        </w:rPr>
        <w:t>1 抽样方法</w:t>
      </w:r>
    </w:p>
    <w:p>
      <w:pPr>
        <w:spacing w:line="460" w:lineRule="exact"/>
        <w:ind w:firstLine="440" w:firstLineChars="200"/>
        <w:rPr>
          <w:rFonts w:hint="default" w:cs="Calibri"/>
          <w:szCs w:val="21"/>
        </w:rPr>
      </w:pPr>
      <w:r>
        <w:rPr>
          <w:rFonts w:cs="Calibri"/>
          <w:szCs w:val="21"/>
        </w:rPr>
        <w:t>以随机方式在被抽样生产者、销售者的待销产品中抽取样品。</w:t>
      </w:r>
    </w:p>
    <w:p>
      <w:pPr>
        <w:spacing w:line="460" w:lineRule="exact"/>
        <w:rPr>
          <w:rFonts w:hint="default" w:ascii="黑体" w:hAnsi="黑体" w:eastAsia="黑体" w:cs="Calibri"/>
          <w:szCs w:val="21"/>
        </w:rPr>
      </w:pPr>
      <w:r>
        <w:rPr>
          <w:rFonts w:ascii="黑体" w:hAnsi="黑体" w:eastAsia="黑体" w:cs="Calibri"/>
          <w:szCs w:val="21"/>
        </w:rPr>
        <w:t>2 检验方法与判定依据</w:t>
      </w:r>
    </w:p>
    <w:p>
      <w:pPr>
        <w:snapToGrid w:val="0"/>
        <w:spacing w:line="440" w:lineRule="exact"/>
        <w:jc w:val="center"/>
        <w:rPr>
          <w:rFonts w:hint="default"/>
          <w:szCs w:val="21"/>
        </w:rPr>
      </w:pPr>
      <w:r>
        <w:rPr>
          <w:szCs w:val="21"/>
        </w:rPr>
        <w:t>表1</w:t>
      </w:r>
      <w:r>
        <w:rPr>
          <w:rFonts w:eastAsiaTheme="minorEastAsia"/>
          <w:szCs w:val="21"/>
        </w:rPr>
        <w:t>儿童高椅</w:t>
      </w:r>
      <w:r>
        <w:rPr>
          <w:szCs w:val="21"/>
        </w:rPr>
        <w:t>产品检验项目</w:t>
      </w:r>
    </w:p>
    <w:tbl>
      <w:tblPr>
        <w:tblStyle w:val="2"/>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2116"/>
        <w:gridCol w:w="2551"/>
        <w:gridCol w:w="2126"/>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686" w:type="dxa"/>
            <w:vMerge w:val="restart"/>
            <w:vAlign w:val="center"/>
          </w:tcPr>
          <w:p>
            <w:pPr>
              <w:spacing w:line="240" w:lineRule="exact"/>
              <w:rPr>
                <w:rFonts w:hint="default"/>
                <w:szCs w:val="21"/>
              </w:rPr>
            </w:pPr>
            <w:r>
              <w:rPr>
                <w:szCs w:val="21"/>
              </w:rPr>
              <w:t>序号</w:t>
            </w:r>
          </w:p>
        </w:tc>
        <w:tc>
          <w:tcPr>
            <w:tcW w:w="2116" w:type="dxa"/>
            <w:vMerge w:val="restart"/>
            <w:vAlign w:val="center"/>
          </w:tcPr>
          <w:p>
            <w:pPr>
              <w:spacing w:line="240" w:lineRule="exact"/>
              <w:jc w:val="center"/>
              <w:rPr>
                <w:rFonts w:hint="default"/>
                <w:szCs w:val="21"/>
              </w:rPr>
            </w:pPr>
            <w:r>
              <w:rPr>
                <w:szCs w:val="21"/>
              </w:rPr>
              <w:t>检验项目</w:t>
            </w:r>
          </w:p>
        </w:tc>
        <w:tc>
          <w:tcPr>
            <w:tcW w:w="2551" w:type="dxa"/>
            <w:vMerge w:val="restart"/>
            <w:vAlign w:val="center"/>
          </w:tcPr>
          <w:p>
            <w:pPr>
              <w:spacing w:line="240" w:lineRule="exact"/>
              <w:jc w:val="center"/>
              <w:rPr>
                <w:rFonts w:hint="default"/>
                <w:szCs w:val="21"/>
              </w:rPr>
            </w:pPr>
            <w:r>
              <w:rPr>
                <w:szCs w:val="21"/>
              </w:rPr>
              <w:t>检验方法</w:t>
            </w:r>
          </w:p>
        </w:tc>
        <w:tc>
          <w:tcPr>
            <w:tcW w:w="2126" w:type="dxa"/>
            <w:vMerge w:val="restart"/>
            <w:vAlign w:val="center"/>
          </w:tcPr>
          <w:p>
            <w:pPr>
              <w:spacing w:line="240" w:lineRule="exact"/>
              <w:jc w:val="center"/>
              <w:rPr>
                <w:rFonts w:hint="default"/>
                <w:szCs w:val="21"/>
              </w:rPr>
            </w:pPr>
            <w:r>
              <w:rPr>
                <w:rFonts w:cs="Calibri"/>
                <w:szCs w:val="21"/>
              </w:rPr>
              <w:t>强制性质量要求</w:t>
            </w:r>
          </w:p>
        </w:tc>
        <w:tc>
          <w:tcPr>
            <w:tcW w:w="1701" w:type="dxa"/>
            <w:vMerge w:val="restart"/>
            <w:vAlign w:val="center"/>
          </w:tcPr>
          <w:p>
            <w:pPr>
              <w:spacing w:line="240" w:lineRule="exact"/>
              <w:jc w:val="center"/>
              <w:rPr>
                <w:rFonts w:hint="default" w:eastAsiaTheme="minorEastAsia"/>
                <w:szCs w:val="21"/>
              </w:rPr>
            </w:pPr>
            <w:r>
              <w:rPr>
                <w:szCs w:val="21"/>
              </w:rPr>
              <w:t>推荐</w:t>
            </w:r>
            <w:r>
              <w:rPr>
                <w:rFonts w:eastAsiaTheme="minorEastAsia"/>
                <w:szCs w:val="21"/>
              </w:rPr>
              <w:t>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86" w:type="dxa"/>
            <w:vMerge w:val="continue"/>
            <w:vAlign w:val="center"/>
          </w:tcPr>
          <w:p>
            <w:pPr>
              <w:spacing w:line="280" w:lineRule="exact"/>
              <w:jc w:val="center"/>
              <w:rPr>
                <w:rFonts w:hint="default"/>
                <w:szCs w:val="21"/>
              </w:rPr>
            </w:pPr>
          </w:p>
        </w:tc>
        <w:tc>
          <w:tcPr>
            <w:tcW w:w="2116" w:type="dxa"/>
            <w:vMerge w:val="continue"/>
            <w:vAlign w:val="center"/>
          </w:tcPr>
          <w:p>
            <w:pPr>
              <w:spacing w:line="280" w:lineRule="exact"/>
              <w:jc w:val="center"/>
              <w:rPr>
                <w:rFonts w:hint="default"/>
                <w:szCs w:val="21"/>
              </w:rPr>
            </w:pPr>
          </w:p>
        </w:tc>
        <w:tc>
          <w:tcPr>
            <w:tcW w:w="2551" w:type="dxa"/>
            <w:vMerge w:val="continue"/>
            <w:vAlign w:val="center"/>
          </w:tcPr>
          <w:p>
            <w:pPr>
              <w:spacing w:line="280" w:lineRule="exact"/>
              <w:jc w:val="center"/>
              <w:rPr>
                <w:rFonts w:hint="default"/>
                <w:szCs w:val="21"/>
              </w:rPr>
            </w:pPr>
          </w:p>
        </w:tc>
        <w:tc>
          <w:tcPr>
            <w:tcW w:w="2126" w:type="dxa"/>
            <w:vMerge w:val="continue"/>
            <w:vAlign w:val="center"/>
          </w:tcPr>
          <w:p>
            <w:pPr>
              <w:spacing w:line="280" w:lineRule="exact"/>
              <w:jc w:val="center"/>
              <w:rPr>
                <w:rFonts w:hint="default"/>
                <w:szCs w:val="21"/>
              </w:rPr>
            </w:pPr>
          </w:p>
        </w:tc>
        <w:tc>
          <w:tcPr>
            <w:tcW w:w="1701" w:type="dxa"/>
            <w:vMerge w:val="continue"/>
            <w:vAlign w:val="center"/>
          </w:tcPr>
          <w:p>
            <w:pPr>
              <w:spacing w:line="280" w:lineRule="exact"/>
              <w:jc w:val="center"/>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686" w:type="dxa"/>
            <w:vAlign w:val="center"/>
          </w:tcPr>
          <w:p>
            <w:pPr>
              <w:spacing w:line="280" w:lineRule="exact"/>
              <w:jc w:val="center"/>
              <w:rPr>
                <w:rFonts w:hint="default"/>
                <w:szCs w:val="21"/>
              </w:rPr>
            </w:pPr>
            <w:r>
              <w:rPr>
                <w:szCs w:val="21"/>
              </w:rPr>
              <w:t>1</w:t>
            </w:r>
          </w:p>
        </w:tc>
        <w:tc>
          <w:tcPr>
            <w:tcW w:w="2116" w:type="dxa"/>
            <w:vAlign w:val="center"/>
          </w:tcPr>
          <w:p>
            <w:pPr>
              <w:spacing w:line="280" w:lineRule="exact"/>
              <w:jc w:val="center"/>
              <w:rPr>
                <w:rFonts w:hint="default"/>
                <w:szCs w:val="21"/>
              </w:rPr>
            </w:pPr>
            <w:r>
              <w:rPr>
                <w:szCs w:val="21"/>
              </w:rPr>
              <w:t>结构要求</w:t>
            </w:r>
          </w:p>
        </w:tc>
        <w:tc>
          <w:tcPr>
            <w:tcW w:w="2551" w:type="dxa"/>
            <w:vAlign w:val="center"/>
          </w:tcPr>
          <w:p>
            <w:pPr>
              <w:spacing w:line="280" w:lineRule="exact"/>
              <w:jc w:val="center"/>
              <w:rPr>
                <w:rFonts w:hint="default"/>
                <w:szCs w:val="21"/>
              </w:rPr>
            </w:pPr>
            <w:r>
              <w:rPr>
                <w:szCs w:val="21"/>
              </w:rPr>
              <w:t>GB 22793.1-2008/</w:t>
            </w:r>
          </w:p>
          <w:p>
            <w:pPr>
              <w:spacing w:line="280" w:lineRule="exact"/>
              <w:jc w:val="center"/>
              <w:rPr>
                <w:rFonts w:hint="default"/>
                <w:szCs w:val="21"/>
              </w:rPr>
            </w:pPr>
            <w:r>
              <w:rPr>
                <w:szCs w:val="21"/>
              </w:rPr>
              <w:t>5.2.2~5.2.5</w:t>
            </w:r>
          </w:p>
        </w:tc>
        <w:tc>
          <w:tcPr>
            <w:tcW w:w="2126" w:type="dxa"/>
            <w:vAlign w:val="center"/>
          </w:tcPr>
          <w:p>
            <w:pPr>
              <w:spacing w:line="280" w:lineRule="exact"/>
              <w:jc w:val="center"/>
              <w:rPr>
                <w:rFonts w:hint="default"/>
                <w:szCs w:val="21"/>
              </w:rPr>
            </w:pPr>
            <w:r>
              <w:rPr>
                <w:szCs w:val="21"/>
              </w:rPr>
              <w:t>GB 22793.1-2008/</w:t>
            </w:r>
          </w:p>
          <w:p>
            <w:pPr>
              <w:spacing w:line="280" w:lineRule="exact"/>
              <w:jc w:val="center"/>
              <w:rPr>
                <w:rFonts w:hint="default"/>
                <w:szCs w:val="21"/>
              </w:rPr>
            </w:pPr>
            <w:r>
              <w:rPr>
                <w:szCs w:val="21"/>
              </w:rPr>
              <w:t>5.2.2~5.2.5</w:t>
            </w:r>
          </w:p>
        </w:tc>
        <w:tc>
          <w:tcPr>
            <w:tcW w:w="1701" w:type="dxa"/>
            <w:vAlign w:val="center"/>
          </w:tcPr>
          <w:p>
            <w:pPr>
              <w:spacing w:line="280" w:lineRule="exact"/>
              <w:jc w:val="center"/>
              <w:rPr>
                <w:rFonts w:hint="default" w:eastAsiaTheme="minorEastAsia"/>
                <w:szCs w:val="21"/>
              </w:rPr>
            </w:pPr>
            <w:r>
              <w:rPr>
                <w:rFonts w:eastAsia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686" w:type="dxa"/>
            <w:vAlign w:val="center"/>
          </w:tcPr>
          <w:p>
            <w:pPr>
              <w:spacing w:line="280" w:lineRule="exact"/>
              <w:jc w:val="center"/>
              <w:rPr>
                <w:rFonts w:hint="default"/>
                <w:szCs w:val="21"/>
              </w:rPr>
            </w:pPr>
            <w:r>
              <w:rPr>
                <w:szCs w:val="21"/>
              </w:rPr>
              <w:t>2</w:t>
            </w:r>
          </w:p>
        </w:tc>
        <w:tc>
          <w:tcPr>
            <w:tcW w:w="2116" w:type="dxa"/>
            <w:vAlign w:val="center"/>
          </w:tcPr>
          <w:p>
            <w:pPr>
              <w:spacing w:line="280" w:lineRule="exact"/>
              <w:jc w:val="center"/>
              <w:rPr>
                <w:rFonts w:hint="default"/>
                <w:szCs w:val="21"/>
              </w:rPr>
            </w:pPr>
            <w:r>
              <w:rPr>
                <w:szCs w:val="21"/>
              </w:rPr>
              <w:t>背带附件强度</w:t>
            </w:r>
          </w:p>
        </w:tc>
        <w:tc>
          <w:tcPr>
            <w:tcW w:w="2551" w:type="dxa"/>
            <w:vAlign w:val="center"/>
          </w:tcPr>
          <w:p>
            <w:pPr>
              <w:spacing w:line="280" w:lineRule="exact"/>
              <w:jc w:val="center"/>
              <w:rPr>
                <w:rFonts w:hint="default"/>
                <w:szCs w:val="21"/>
              </w:rPr>
            </w:pPr>
            <w:r>
              <w:rPr>
                <w:szCs w:val="21"/>
              </w:rPr>
              <w:t>GB/T 22793.2-2008/</w:t>
            </w:r>
          </w:p>
          <w:p>
            <w:pPr>
              <w:spacing w:line="280" w:lineRule="exact"/>
              <w:jc w:val="center"/>
              <w:rPr>
                <w:rFonts w:hint="default"/>
                <w:szCs w:val="21"/>
              </w:rPr>
            </w:pPr>
            <w:r>
              <w:rPr>
                <w:szCs w:val="21"/>
              </w:rPr>
              <w:t>5.4</w:t>
            </w:r>
          </w:p>
        </w:tc>
        <w:tc>
          <w:tcPr>
            <w:tcW w:w="2126" w:type="dxa"/>
            <w:vAlign w:val="center"/>
          </w:tcPr>
          <w:p>
            <w:pPr>
              <w:spacing w:line="280" w:lineRule="exact"/>
              <w:jc w:val="center"/>
              <w:rPr>
                <w:rFonts w:hint="default"/>
                <w:szCs w:val="21"/>
              </w:rPr>
            </w:pPr>
            <w:r>
              <w:rPr>
                <w:szCs w:val="21"/>
              </w:rPr>
              <w:t>GB 22793.1-2008/</w:t>
            </w:r>
          </w:p>
          <w:p>
            <w:pPr>
              <w:spacing w:line="280" w:lineRule="exact"/>
              <w:jc w:val="center"/>
              <w:rPr>
                <w:rFonts w:hint="default"/>
                <w:szCs w:val="21"/>
              </w:rPr>
            </w:pPr>
            <w:r>
              <w:rPr>
                <w:szCs w:val="21"/>
              </w:rPr>
              <w:t>5.2.6</w:t>
            </w:r>
          </w:p>
        </w:tc>
        <w:tc>
          <w:tcPr>
            <w:tcW w:w="1701" w:type="dxa"/>
            <w:vAlign w:val="center"/>
          </w:tcPr>
          <w:p>
            <w:pPr>
              <w:spacing w:line="280" w:lineRule="exact"/>
              <w:jc w:val="center"/>
              <w:rPr>
                <w:rFonts w:hint="default" w:eastAsiaTheme="minorEastAsia"/>
                <w:szCs w:val="21"/>
              </w:rPr>
            </w:pPr>
            <w:r>
              <w:rPr>
                <w:rFonts w:eastAsia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686" w:type="dxa"/>
            <w:vAlign w:val="center"/>
          </w:tcPr>
          <w:p>
            <w:pPr>
              <w:spacing w:line="280" w:lineRule="exact"/>
              <w:jc w:val="center"/>
              <w:rPr>
                <w:rFonts w:hint="default"/>
                <w:szCs w:val="21"/>
              </w:rPr>
            </w:pPr>
            <w:r>
              <w:rPr>
                <w:szCs w:val="21"/>
              </w:rPr>
              <w:t>3</w:t>
            </w:r>
          </w:p>
        </w:tc>
        <w:tc>
          <w:tcPr>
            <w:tcW w:w="2116" w:type="dxa"/>
            <w:vAlign w:val="center"/>
          </w:tcPr>
          <w:p>
            <w:pPr>
              <w:spacing w:line="280" w:lineRule="exact"/>
              <w:jc w:val="center"/>
              <w:rPr>
                <w:rFonts w:hint="default"/>
                <w:szCs w:val="21"/>
              </w:rPr>
            </w:pPr>
            <w:r>
              <w:rPr>
                <w:szCs w:val="21"/>
              </w:rPr>
              <w:t>胯带强度</w:t>
            </w:r>
          </w:p>
        </w:tc>
        <w:tc>
          <w:tcPr>
            <w:tcW w:w="2551" w:type="dxa"/>
            <w:vAlign w:val="center"/>
          </w:tcPr>
          <w:p>
            <w:pPr>
              <w:spacing w:line="280" w:lineRule="exact"/>
              <w:jc w:val="center"/>
              <w:rPr>
                <w:rFonts w:hint="default"/>
                <w:szCs w:val="21"/>
              </w:rPr>
            </w:pPr>
            <w:r>
              <w:rPr>
                <w:szCs w:val="21"/>
              </w:rPr>
              <w:t>GB/T 22793.2-2008/</w:t>
            </w:r>
          </w:p>
          <w:p>
            <w:pPr>
              <w:spacing w:line="280" w:lineRule="exact"/>
              <w:jc w:val="center"/>
              <w:rPr>
                <w:rFonts w:hint="default"/>
                <w:szCs w:val="21"/>
              </w:rPr>
            </w:pPr>
            <w:r>
              <w:rPr>
                <w:szCs w:val="21"/>
              </w:rPr>
              <w:t>5.5</w:t>
            </w:r>
          </w:p>
        </w:tc>
        <w:tc>
          <w:tcPr>
            <w:tcW w:w="2126" w:type="dxa"/>
            <w:vAlign w:val="center"/>
          </w:tcPr>
          <w:p>
            <w:pPr>
              <w:spacing w:line="280" w:lineRule="exact"/>
              <w:jc w:val="center"/>
              <w:rPr>
                <w:rFonts w:hint="default"/>
                <w:szCs w:val="21"/>
              </w:rPr>
            </w:pPr>
            <w:r>
              <w:rPr>
                <w:szCs w:val="21"/>
              </w:rPr>
              <w:t>GB 22793.1-2008/</w:t>
            </w:r>
          </w:p>
          <w:p>
            <w:pPr>
              <w:spacing w:line="280" w:lineRule="exact"/>
              <w:jc w:val="center"/>
              <w:rPr>
                <w:rFonts w:hint="default"/>
                <w:szCs w:val="21"/>
              </w:rPr>
            </w:pPr>
            <w:r>
              <w:rPr>
                <w:szCs w:val="21"/>
              </w:rPr>
              <w:t>5.2.7</w:t>
            </w:r>
          </w:p>
        </w:tc>
        <w:tc>
          <w:tcPr>
            <w:tcW w:w="1701" w:type="dxa"/>
            <w:vAlign w:val="center"/>
          </w:tcPr>
          <w:p>
            <w:pPr>
              <w:spacing w:line="280" w:lineRule="exact"/>
              <w:jc w:val="center"/>
              <w:rPr>
                <w:rFonts w:hint="default" w:eastAsiaTheme="minorEastAsia"/>
                <w:szCs w:val="21"/>
              </w:rPr>
            </w:pPr>
            <w:r>
              <w:rPr>
                <w:rFonts w:eastAsia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trPr>
        <w:tc>
          <w:tcPr>
            <w:tcW w:w="686" w:type="dxa"/>
            <w:vAlign w:val="center"/>
          </w:tcPr>
          <w:p>
            <w:pPr>
              <w:spacing w:line="280" w:lineRule="exact"/>
              <w:jc w:val="center"/>
              <w:rPr>
                <w:rFonts w:hint="default"/>
                <w:szCs w:val="21"/>
              </w:rPr>
            </w:pPr>
            <w:r>
              <w:rPr>
                <w:szCs w:val="21"/>
              </w:rPr>
              <w:t>4</w:t>
            </w:r>
          </w:p>
        </w:tc>
        <w:tc>
          <w:tcPr>
            <w:tcW w:w="2116" w:type="dxa"/>
            <w:vAlign w:val="center"/>
          </w:tcPr>
          <w:p>
            <w:pPr>
              <w:spacing w:line="280" w:lineRule="exact"/>
              <w:jc w:val="center"/>
              <w:rPr>
                <w:rFonts w:hint="default"/>
                <w:szCs w:val="21"/>
              </w:rPr>
            </w:pPr>
            <w:r>
              <w:rPr>
                <w:szCs w:val="21"/>
              </w:rPr>
              <w:t>侧面静态稳定性</w:t>
            </w:r>
          </w:p>
        </w:tc>
        <w:tc>
          <w:tcPr>
            <w:tcW w:w="2551" w:type="dxa"/>
            <w:vAlign w:val="center"/>
          </w:tcPr>
          <w:p>
            <w:pPr>
              <w:spacing w:line="280" w:lineRule="exact"/>
              <w:jc w:val="center"/>
              <w:rPr>
                <w:rFonts w:hint="default"/>
                <w:szCs w:val="21"/>
              </w:rPr>
            </w:pPr>
            <w:r>
              <w:rPr>
                <w:szCs w:val="21"/>
              </w:rPr>
              <w:t>GB/T 22793.2-2008/</w:t>
            </w:r>
          </w:p>
          <w:p>
            <w:pPr>
              <w:spacing w:line="280" w:lineRule="exact"/>
              <w:jc w:val="center"/>
              <w:rPr>
                <w:rFonts w:hint="default"/>
                <w:szCs w:val="21"/>
              </w:rPr>
            </w:pPr>
            <w:r>
              <w:rPr>
                <w:szCs w:val="21"/>
              </w:rPr>
              <w:t>5.10.2</w:t>
            </w:r>
          </w:p>
        </w:tc>
        <w:tc>
          <w:tcPr>
            <w:tcW w:w="2126" w:type="dxa"/>
            <w:vAlign w:val="center"/>
          </w:tcPr>
          <w:p>
            <w:pPr>
              <w:spacing w:line="280" w:lineRule="exact"/>
              <w:jc w:val="center"/>
              <w:rPr>
                <w:rFonts w:hint="default"/>
                <w:szCs w:val="21"/>
              </w:rPr>
            </w:pPr>
            <w:r>
              <w:rPr>
                <w:szCs w:val="21"/>
              </w:rPr>
              <w:t>GB 22793.1-2008/</w:t>
            </w:r>
          </w:p>
          <w:p>
            <w:pPr>
              <w:spacing w:line="280" w:lineRule="exact"/>
              <w:jc w:val="center"/>
              <w:rPr>
                <w:rFonts w:hint="default"/>
                <w:szCs w:val="21"/>
              </w:rPr>
            </w:pPr>
            <w:r>
              <w:rPr>
                <w:szCs w:val="21"/>
              </w:rPr>
              <w:t>5.2.8</w:t>
            </w:r>
          </w:p>
        </w:tc>
        <w:tc>
          <w:tcPr>
            <w:tcW w:w="1701" w:type="dxa"/>
            <w:vAlign w:val="center"/>
          </w:tcPr>
          <w:p>
            <w:pPr>
              <w:spacing w:line="280" w:lineRule="exact"/>
              <w:jc w:val="center"/>
              <w:rPr>
                <w:rFonts w:hint="default" w:eastAsiaTheme="minorEastAsia"/>
                <w:szCs w:val="21"/>
              </w:rPr>
            </w:pPr>
            <w:r>
              <w:rPr>
                <w:rFonts w:eastAsia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686" w:type="dxa"/>
            <w:vAlign w:val="center"/>
          </w:tcPr>
          <w:p>
            <w:pPr>
              <w:spacing w:line="280" w:lineRule="exact"/>
              <w:jc w:val="center"/>
              <w:rPr>
                <w:rFonts w:hint="default"/>
                <w:szCs w:val="21"/>
              </w:rPr>
            </w:pPr>
            <w:r>
              <w:rPr>
                <w:szCs w:val="21"/>
              </w:rPr>
              <w:t>5</w:t>
            </w:r>
          </w:p>
        </w:tc>
        <w:tc>
          <w:tcPr>
            <w:tcW w:w="2116" w:type="dxa"/>
            <w:vAlign w:val="center"/>
          </w:tcPr>
          <w:p>
            <w:pPr>
              <w:spacing w:line="280" w:lineRule="exact"/>
              <w:jc w:val="center"/>
              <w:rPr>
                <w:rFonts w:hint="default"/>
                <w:szCs w:val="21"/>
              </w:rPr>
            </w:pPr>
            <w:r>
              <w:rPr>
                <w:szCs w:val="21"/>
              </w:rPr>
              <w:t>向后静态稳定性</w:t>
            </w:r>
          </w:p>
        </w:tc>
        <w:tc>
          <w:tcPr>
            <w:tcW w:w="2551" w:type="dxa"/>
            <w:vAlign w:val="center"/>
          </w:tcPr>
          <w:p>
            <w:pPr>
              <w:spacing w:line="280" w:lineRule="exact"/>
              <w:jc w:val="center"/>
              <w:rPr>
                <w:rFonts w:hint="default"/>
                <w:szCs w:val="21"/>
              </w:rPr>
            </w:pPr>
            <w:r>
              <w:rPr>
                <w:szCs w:val="21"/>
              </w:rPr>
              <w:t>GB/T 22793.2-2008/</w:t>
            </w:r>
          </w:p>
          <w:p>
            <w:pPr>
              <w:spacing w:line="280" w:lineRule="exact"/>
              <w:jc w:val="center"/>
              <w:rPr>
                <w:rFonts w:hint="default"/>
                <w:szCs w:val="21"/>
              </w:rPr>
            </w:pPr>
            <w:r>
              <w:rPr>
                <w:szCs w:val="21"/>
              </w:rPr>
              <w:t>5.10.3</w:t>
            </w:r>
          </w:p>
        </w:tc>
        <w:tc>
          <w:tcPr>
            <w:tcW w:w="2126" w:type="dxa"/>
            <w:vAlign w:val="center"/>
          </w:tcPr>
          <w:p>
            <w:pPr>
              <w:spacing w:line="280" w:lineRule="exact"/>
              <w:jc w:val="center"/>
              <w:rPr>
                <w:rFonts w:hint="default"/>
                <w:szCs w:val="21"/>
              </w:rPr>
            </w:pPr>
            <w:r>
              <w:rPr>
                <w:szCs w:val="21"/>
              </w:rPr>
              <w:t>GB 22793.1-2008/</w:t>
            </w:r>
          </w:p>
          <w:p>
            <w:pPr>
              <w:spacing w:line="280" w:lineRule="exact"/>
              <w:jc w:val="center"/>
              <w:rPr>
                <w:rFonts w:hint="default"/>
                <w:szCs w:val="21"/>
              </w:rPr>
            </w:pPr>
            <w:r>
              <w:rPr>
                <w:szCs w:val="21"/>
              </w:rPr>
              <w:t>5.2.8</w:t>
            </w:r>
          </w:p>
        </w:tc>
        <w:tc>
          <w:tcPr>
            <w:tcW w:w="1701" w:type="dxa"/>
            <w:vAlign w:val="center"/>
          </w:tcPr>
          <w:p>
            <w:pPr>
              <w:spacing w:line="280" w:lineRule="exact"/>
              <w:jc w:val="center"/>
              <w:rPr>
                <w:rFonts w:hint="default" w:eastAsiaTheme="minorEastAsia"/>
                <w:szCs w:val="21"/>
              </w:rPr>
            </w:pPr>
            <w:r>
              <w:rPr>
                <w:rFonts w:eastAsia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686" w:type="dxa"/>
            <w:vAlign w:val="center"/>
          </w:tcPr>
          <w:p>
            <w:pPr>
              <w:spacing w:line="280" w:lineRule="exact"/>
              <w:jc w:val="center"/>
              <w:rPr>
                <w:rFonts w:hint="default"/>
                <w:szCs w:val="21"/>
              </w:rPr>
            </w:pPr>
            <w:r>
              <w:rPr>
                <w:szCs w:val="21"/>
              </w:rPr>
              <w:t>6</w:t>
            </w:r>
          </w:p>
        </w:tc>
        <w:tc>
          <w:tcPr>
            <w:tcW w:w="2116" w:type="dxa"/>
            <w:vAlign w:val="center"/>
          </w:tcPr>
          <w:p>
            <w:pPr>
              <w:spacing w:line="280" w:lineRule="exact"/>
              <w:jc w:val="center"/>
              <w:rPr>
                <w:rFonts w:hint="default"/>
                <w:szCs w:val="21"/>
              </w:rPr>
            </w:pPr>
            <w:r>
              <w:rPr>
                <w:szCs w:val="21"/>
              </w:rPr>
              <w:t>搁脚板静态稳定性</w:t>
            </w:r>
          </w:p>
        </w:tc>
        <w:tc>
          <w:tcPr>
            <w:tcW w:w="2551" w:type="dxa"/>
            <w:vAlign w:val="center"/>
          </w:tcPr>
          <w:p>
            <w:pPr>
              <w:spacing w:line="280" w:lineRule="exact"/>
              <w:jc w:val="center"/>
              <w:rPr>
                <w:rFonts w:hint="default"/>
                <w:szCs w:val="21"/>
              </w:rPr>
            </w:pPr>
            <w:r>
              <w:rPr>
                <w:szCs w:val="21"/>
              </w:rPr>
              <w:t>GB/T 22793.2-2008/</w:t>
            </w:r>
          </w:p>
          <w:p>
            <w:pPr>
              <w:spacing w:line="280" w:lineRule="exact"/>
              <w:jc w:val="center"/>
              <w:rPr>
                <w:rFonts w:hint="default"/>
                <w:szCs w:val="21"/>
              </w:rPr>
            </w:pPr>
            <w:r>
              <w:rPr>
                <w:szCs w:val="21"/>
              </w:rPr>
              <w:t>5.10.4</w:t>
            </w:r>
          </w:p>
        </w:tc>
        <w:tc>
          <w:tcPr>
            <w:tcW w:w="2126" w:type="dxa"/>
            <w:vAlign w:val="center"/>
          </w:tcPr>
          <w:p>
            <w:pPr>
              <w:spacing w:line="280" w:lineRule="exact"/>
              <w:jc w:val="center"/>
              <w:rPr>
                <w:rFonts w:hint="default"/>
                <w:szCs w:val="21"/>
              </w:rPr>
            </w:pPr>
            <w:r>
              <w:rPr>
                <w:szCs w:val="21"/>
              </w:rPr>
              <w:t>GB 22793.1-2008/</w:t>
            </w:r>
          </w:p>
          <w:p>
            <w:pPr>
              <w:spacing w:line="280" w:lineRule="exact"/>
              <w:jc w:val="center"/>
              <w:rPr>
                <w:rFonts w:hint="default"/>
                <w:szCs w:val="21"/>
              </w:rPr>
            </w:pPr>
            <w:r>
              <w:rPr>
                <w:szCs w:val="21"/>
              </w:rPr>
              <w:t>5.2.8</w:t>
            </w:r>
          </w:p>
        </w:tc>
        <w:tc>
          <w:tcPr>
            <w:tcW w:w="1701" w:type="dxa"/>
            <w:vAlign w:val="center"/>
          </w:tcPr>
          <w:p>
            <w:pPr>
              <w:spacing w:line="280" w:lineRule="exact"/>
              <w:jc w:val="center"/>
              <w:rPr>
                <w:rFonts w:hint="default" w:eastAsiaTheme="minorEastAsia"/>
                <w:szCs w:val="21"/>
              </w:rPr>
            </w:pPr>
            <w:r>
              <w:rPr>
                <w:rFonts w:eastAsia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686" w:type="dxa"/>
            <w:vAlign w:val="center"/>
          </w:tcPr>
          <w:p>
            <w:pPr>
              <w:spacing w:line="280" w:lineRule="exact"/>
              <w:jc w:val="center"/>
              <w:rPr>
                <w:rFonts w:hint="default"/>
                <w:szCs w:val="21"/>
              </w:rPr>
            </w:pPr>
            <w:r>
              <w:rPr>
                <w:szCs w:val="21"/>
              </w:rPr>
              <w:t>7</w:t>
            </w:r>
          </w:p>
        </w:tc>
        <w:tc>
          <w:tcPr>
            <w:tcW w:w="2116" w:type="dxa"/>
            <w:vAlign w:val="center"/>
          </w:tcPr>
          <w:p>
            <w:pPr>
              <w:spacing w:line="280" w:lineRule="exact"/>
              <w:jc w:val="center"/>
              <w:rPr>
                <w:rFonts w:hint="default"/>
                <w:szCs w:val="21"/>
              </w:rPr>
            </w:pPr>
            <w:r>
              <w:rPr>
                <w:szCs w:val="21"/>
              </w:rPr>
              <w:t>托盘静态稳定性</w:t>
            </w:r>
          </w:p>
        </w:tc>
        <w:tc>
          <w:tcPr>
            <w:tcW w:w="2551" w:type="dxa"/>
            <w:vAlign w:val="center"/>
          </w:tcPr>
          <w:p>
            <w:pPr>
              <w:spacing w:line="280" w:lineRule="exact"/>
              <w:jc w:val="center"/>
              <w:rPr>
                <w:rFonts w:hint="default"/>
                <w:szCs w:val="21"/>
              </w:rPr>
            </w:pPr>
            <w:r>
              <w:rPr>
                <w:szCs w:val="21"/>
              </w:rPr>
              <w:t>GB/T 22793.2-2008/</w:t>
            </w:r>
          </w:p>
          <w:p>
            <w:pPr>
              <w:spacing w:line="280" w:lineRule="exact"/>
              <w:jc w:val="center"/>
              <w:rPr>
                <w:rFonts w:hint="default"/>
                <w:szCs w:val="21"/>
              </w:rPr>
            </w:pPr>
            <w:r>
              <w:rPr>
                <w:szCs w:val="21"/>
              </w:rPr>
              <w:t>5.10.5</w:t>
            </w:r>
          </w:p>
        </w:tc>
        <w:tc>
          <w:tcPr>
            <w:tcW w:w="2126" w:type="dxa"/>
            <w:vAlign w:val="center"/>
          </w:tcPr>
          <w:p>
            <w:pPr>
              <w:spacing w:line="280" w:lineRule="exact"/>
              <w:jc w:val="center"/>
              <w:rPr>
                <w:rFonts w:hint="default"/>
                <w:szCs w:val="21"/>
              </w:rPr>
            </w:pPr>
            <w:r>
              <w:rPr>
                <w:szCs w:val="21"/>
              </w:rPr>
              <w:t>GB 22793.1-2008/</w:t>
            </w:r>
          </w:p>
          <w:p>
            <w:pPr>
              <w:spacing w:line="280" w:lineRule="exact"/>
              <w:jc w:val="center"/>
              <w:rPr>
                <w:rFonts w:hint="default"/>
                <w:szCs w:val="21"/>
              </w:rPr>
            </w:pPr>
            <w:r>
              <w:rPr>
                <w:szCs w:val="21"/>
              </w:rPr>
              <w:t>5.2.8</w:t>
            </w:r>
          </w:p>
        </w:tc>
        <w:tc>
          <w:tcPr>
            <w:tcW w:w="1701" w:type="dxa"/>
            <w:vAlign w:val="center"/>
          </w:tcPr>
          <w:p>
            <w:pPr>
              <w:spacing w:line="280" w:lineRule="exact"/>
              <w:jc w:val="center"/>
              <w:rPr>
                <w:rFonts w:hint="default" w:eastAsiaTheme="minorEastAsia"/>
                <w:szCs w:val="21"/>
              </w:rPr>
            </w:pPr>
            <w:r>
              <w:rPr>
                <w:rFonts w:cs="Calibri" w:eastAsia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686" w:type="dxa"/>
            <w:vAlign w:val="center"/>
          </w:tcPr>
          <w:p>
            <w:pPr>
              <w:spacing w:line="280" w:lineRule="exact"/>
              <w:jc w:val="center"/>
              <w:rPr>
                <w:rFonts w:hint="default"/>
                <w:szCs w:val="21"/>
              </w:rPr>
            </w:pPr>
            <w:r>
              <w:rPr>
                <w:szCs w:val="21"/>
              </w:rPr>
              <w:t>8</w:t>
            </w:r>
          </w:p>
        </w:tc>
        <w:tc>
          <w:tcPr>
            <w:tcW w:w="2116" w:type="dxa"/>
            <w:vAlign w:val="center"/>
          </w:tcPr>
          <w:p>
            <w:pPr>
              <w:spacing w:line="280" w:lineRule="exact"/>
              <w:jc w:val="center"/>
              <w:rPr>
                <w:rFonts w:hint="default"/>
                <w:szCs w:val="21"/>
              </w:rPr>
            </w:pPr>
            <w:r>
              <w:rPr>
                <w:szCs w:val="21"/>
              </w:rPr>
              <w:t>标志</w:t>
            </w:r>
          </w:p>
        </w:tc>
        <w:tc>
          <w:tcPr>
            <w:tcW w:w="2551" w:type="dxa"/>
            <w:vAlign w:val="center"/>
          </w:tcPr>
          <w:p>
            <w:pPr>
              <w:spacing w:line="280" w:lineRule="exact"/>
              <w:jc w:val="center"/>
              <w:rPr>
                <w:rFonts w:hint="default"/>
                <w:szCs w:val="21"/>
              </w:rPr>
            </w:pPr>
            <w:r>
              <w:rPr>
                <w:szCs w:val="21"/>
              </w:rPr>
              <w:t>GB 22793.1-2008/</w:t>
            </w:r>
          </w:p>
          <w:p>
            <w:pPr>
              <w:spacing w:line="280" w:lineRule="exact"/>
              <w:jc w:val="center"/>
              <w:rPr>
                <w:rFonts w:hint="default"/>
                <w:szCs w:val="21"/>
              </w:rPr>
            </w:pPr>
            <w:r>
              <w:rPr>
                <w:szCs w:val="21"/>
              </w:rPr>
              <w:t>6</w:t>
            </w:r>
          </w:p>
        </w:tc>
        <w:tc>
          <w:tcPr>
            <w:tcW w:w="2126" w:type="dxa"/>
            <w:vAlign w:val="center"/>
          </w:tcPr>
          <w:p>
            <w:pPr>
              <w:spacing w:line="280" w:lineRule="exact"/>
              <w:jc w:val="center"/>
              <w:rPr>
                <w:rFonts w:hint="default"/>
                <w:szCs w:val="21"/>
              </w:rPr>
            </w:pPr>
            <w:r>
              <w:rPr>
                <w:szCs w:val="21"/>
              </w:rPr>
              <w:t>GB 22793.1-2008/</w:t>
            </w:r>
          </w:p>
          <w:p>
            <w:pPr>
              <w:spacing w:line="280" w:lineRule="exact"/>
              <w:jc w:val="center"/>
              <w:rPr>
                <w:rFonts w:hint="default"/>
                <w:szCs w:val="21"/>
              </w:rPr>
            </w:pPr>
            <w:r>
              <w:rPr>
                <w:szCs w:val="21"/>
              </w:rPr>
              <w:t>6</w:t>
            </w:r>
          </w:p>
        </w:tc>
        <w:tc>
          <w:tcPr>
            <w:tcW w:w="1701" w:type="dxa"/>
            <w:vAlign w:val="center"/>
          </w:tcPr>
          <w:p>
            <w:pPr>
              <w:spacing w:line="280" w:lineRule="exact"/>
              <w:jc w:val="center"/>
              <w:rPr>
                <w:rFonts w:hint="default" w:eastAsiaTheme="minorEastAsia"/>
                <w:szCs w:val="21"/>
              </w:rPr>
            </w:pPr>
            <w:r>
              <w:rPr>
                <w:rFonts w:eastAsia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802" w:type="dxa"/>
            <w:gridSpan w:val="2"/>
            <w:vAlign w:val="center"/>
          </w:tcPr>
          <w:p>
            <w:pPr>
              <w:rPr>
                <w:rFonts w:hint="default"/>
                <w:szCs w:val="21"/>
              </w:rPr>
            </w:pPr>
            <w:r>
              <w:rPr>
                <w:rFonts w:eastAsiaTheme="minorEastAsia"/>
                <w:szCs w:val="21"/>
              </w:rPr>
              <w:t>说明</w:t>
            </w:r>
          </w:p>
        </w:tc>
        <w:tc>
          <w:tcPr>
            <w:tcW w:w="6378" w:type="dxa"/>
            <w:gridSpan w:val="3"/>
            <w:vAlign w:val="center"/>
          </w:tcPr>
          <w:p>
            <w:pPr>
              <w:rPr>
                <w:rFonts w:hint="default" w:eastAsiaTheme="minorEastAsia"/>
                <w:szCs w:val="21"/>
              </w:rPr>
            </w:pPr>
            <w:r>
              <w:rPr>
                <w:rFonts w:cs="Calibri"/>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60" w:lineRule="exact"/>
        <w:ind w:firstLine="440" w:firstLineChars="200"/>
        <w:rPr>
          <w:rFonts w:hint="default" w:cs="Calibri"/>
          <w:szCs w:val="21"/>
        </w:rPr>
      </w:pPr>
      <w:r>
        <w:rPr>
          <w:rFonts w:cs="Calibri"/>
          <w:szCs w:val="21"/>
        </w:rPr>
        <w:t>注：凡是注日期的文件，其随后所有的修改单（不包括勘误的内容）或修订版不适用于本细则。凡是不注日期的文件，其最新版本适用于本细则。</w:t>
      </w:r>
    </w:p>
    <w:p>
      <w:pPr>
        <w:spacing w:line="460" w:lineRule="exact"/>
        <w:rPr>
          <w:rFonts w:hint="default" w:ascii="黑体" w:hAnsi="黑体" w:eastAsia="黑体" w:cs="Calibri"/>
          <w:szCs w:val="21"/>
        </w:rPr>
      </w:pPr>
      <w:r>
        <w:rPr>
          <w:rFonts w:ascii="黑体" w:hAnsi="黑体" w:eastAsia="黑体" w:cs="Calibri"/>
          <w:szCs w:val="21"/>
        </w:rPr>
        <w:t>3检验结果判定</w:t>
      </w:r>
    </w:p>
    <w:p>
      <w:pPr>
        <w:snapToGrid w:val="0"/>
        <w:spacing w:line="460" w:lineRule="exact"/>
        <w:rPr>
          <w:rFonts w:hint="default" w:cs="Calibri"/>
          <w:szCs w:val="21"/>
        </w:rPr>
      </w:pPr>
      <w:r>
        <w:rPr>
          <w:rFonts w:cs="Calibri"/>
          <w:szCs w:val="21"/>
        </w:rPr>
        <w:t>3.1判定规则</w:t>
      </w:r>
    </w:p>
    <w:p>
      <w:pPr>
        <w:snapToGrid w:val="0"/>
        <w:spacing w:line="460" w:lineRule="exact"/>
        <w:rPr>
          <w:rFonts w:hint="default" w:cs="Calibri"/>
          <w:szCs w:val="21"/>
        </w:rPr>
      </w:pPr>
      <w:r>
        <w:rPr>
          <w:rFonts w:cs="Calibri"/>
          <w:szCs w:val="21"/>
        </w:rPr>
        <w:t>3.1.1若被抽查产品明示质量要求高于本细则中检验项目对应的质量要求时，按照被抽查产品明示的质量要求判定。</w:t>
      </w:r>
    </w:p>
    <w:p>
      <w:pPr>
        <w:snapToGrid w:val="0"/>
        <w:spacing w:line="460" w:lineRule="exact"/>
        <w:rPr>
          <w:rFonts w:hint="default" w:cs="Calibri"/>
          <w:szCs w:val="21"/>
        </w:rPr>
      </w:pPr>
      <w:r>
        <w:rPr>
          <w:rFonts w:cs="Calibri"/>
          <w:szCs w:val="21"/>
        </w:rPr>
        <w:t>3.1.2若被抽查产品明示质量要求缺少、低于或包含本细则中检验项目对应的强制性质量要求时，按照强制性质量要求判定。</w:t>
      </w:r>
    </w:p>
    <w:p>
      <w:pPr>
        <w:snapToGrid w:val="0"/>
        <w:spacing w:line="460" w:lineRule="exact"/>
        <w:rPr>
          <w:rFonts w:hint="default" w:cs="Calibri"/>
          <w:szCs w:val="21"/>
        </w:rPr>
      </w:pPr>
      <w:r>
        <w:rPr>
          <w:rFonts w:cs="Calibri"/>
          <w:szCs w:val="21"/>
        </w:rPr>
        <w:t>3.1.3若被抽查产品明示质量要求低于或包含本细则中检验项目对应的推荐性质量要求时，按照被抽查产品明示的质量要求判定。</w:t>
      </w:r>
    </w:p>
    <w:p>
      <w:pPr>
        <w:snapToGrid w:val="0"/>
        <w:spacing w:line="460" w:lineRule="exact"/>
        <w:rPr>
          <w:rFonts w:hint="default" w:cs="Calibri"/>
          <w:szCs w:val="21"/>
        </w:rPr>
      </w:pPr>
      <w:r>
        <w:rPr>
          <w:rFonts w:cs="Calibri"/>
          <w:szCs w:val="21"/>
        </w:rPr>
        <w:t>3.1.4若被抽查产品明示质量要求缺少本细则中检验项目对应的推荐性标准要求时，该项目不参与判定。</w:t>
      </w:r>
    </w:p>
    <w:p>
      <w:pPr>
        <w:snapToGrid w:val="0"/>
        <w:spacing w:line="460" w:lineRule="exact"/>
        <w:rPr>
          <w:rFonts w:hint="default" w:cs="Calibri"/>
          <w:szCs w:val="21"/>
        </w:rPr>
      </w:pPr>
      <w:r>
        <w:rPr>
          <w:rFonts w:cs="Calibri"/>
          <w:szCs w:val="21"/>
        </w:rPr>
        <w:t>3.2结果判定</w:t>
      </w:r>
    </w:p>
    <w:p>
      <w:pPr>
        <w:snapToGrid w:val="0"/>
        <w:spacing w:line="460" w:lineRule="exact"/>
        <w:rPr>
          <w:rFonts w:hint="default" w:cs="Calibri"/>
          <w:szCs w:val="21"/>
        </w:rPr>
      </w:pPr>
      <w:r>
        <w:rPr>
          <w:rFonts w:cs="Calibri"/>
          <w:szCs w:val="21"/>
        </w:rPr>
        <w:t>3.2.1参与判定的检验项目中任一项或一项以上不符合质量要求，判定为被抽查产品不合格。</w:t>
      </w:r>
    </w:p>
    <w:p>
      <w:r>
        <w:rPr>
          <w:rFonts w:cs="Calibri"/>
          <w:szCs w:val="21"/>
        </w:rPr>
        <w:t>3.2.2若检验项目全部符合质量要求，表明未发现被抽查产品不合格，不判定被抽查产品合格。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Nimbus Roman No9 L"/>
    <w:panose1 w:val="020B0604020202020204"/>
    <w:charset w:val="86"/>
    <w:family w:val="swiss"/>
    <w:pitch w:val="default"/>
    <w:sig w:usb0="00000000" w:usb1="00000000" w:usb2="0000003F" w:usb3="00000000" w:csb0="003F01FF" w:csb1="00000000"/>
  </w:font>
  <w:font w:name="方正小标宋简体">
    <w:panose1 w:val="02000000000000000000"/>
    <w:charset w:val="86"/>
    <w:family w:val="auto"/>
    <w:pitch w:val="default"/>
    <w:sig w:usb0="A00002BF" w:usb1="184F6CFA" w:usb2="00000012" w:usb3="00000000" w:csb0="00040001" w:csb1="00000000"/>
  </w:font>
  <w:font w:name="Arial">
    <w:altName w:val="Nimbus Roman No9 L"/>
    <w:panose1 w:val="020B060402020202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方正仿宋_GBK"/>
    <w:panose1 w:val="00000000000000000000"/>
    <w:charset w:val="86"/>
    <w:family w:val="script"/>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7B4"/>
    <w:rsid w:val="0095085A"/>
    <w:rsid w:val="00BE23AC"/>
    <w:rsid w:val="00D677B4"/>
    <w:rsid w:val="5CFB5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pPr>
    <w:rPr>
      <w:rFonts w:hint="eastAsia" w:ascii="Arial Unicode MS" w:hAnsi="Arial Unicode MS" w:eastAsia="宋体" w:cs="Arial Unicode MS"/>
      <w:color w:val="000000"/>
      <w:kern w:val="0"/>
      <w:sz w:val="22"/>
      <w:szCs w:val="22"/>
      <w:u w:color="000000"/>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168</Words>
  <Characters>960</Characters>
  <Lines>8</Lines>
  <Paragraphs>2</Paragraphs>
  <TotalTime>1</TotalTime>
  <ScaleCrop>false</ScaleCrop>
  <LinksUpToDate>false</LinksUpToDate>
  <CharactersWithSpaces>1126</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2022-09-29T17:06:00Z</dcterms:created>
  <dc:creator>zhanghaiming</dc:creator>
  <cp:lastModifiedBy>scjuser</cp:lastModifiedBy>
  <dcterms:modified xsi:type="dcterms:W3CDTF">2022-10-09T15:58:37Z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