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D4" w:rsidRDefault="00D021D4" w:rsidP="00D021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国务院办公厅关于</w:t>
      </w:r>
      <w:proofErr w:type="gramStart"/>
      <w:r>
        <w:rPr>
          <w:rFonts w:hint="eastAsia"/>
          <w:b/>
          <w:bCs/>
          <w:color w:val="333333"/>
          <w:sz w:val="36"/>
          <w:szCs w:val="36"/>
        </w:rPr>
        <w:t>深化商</w:t>
      </w:r>
      <w:proofErr w:type="gramEnd"/>
      <w:r>
        <w:rPr>
          <w:rFonts w:hint="eastAsia"/>
          <w:b/>
          <w:bCs/>
          <w:color w:val="333333"/>
          <w:sz w:val="36"/>
          <w:szCs w:val="36"/>
        </w:rPr>
        <w:t>事制度改革</w:t>
      </w:r>
    </w:p>
    <w:p w:rsidR="00D021D4" w:rsidRDefault="00D021D4" w:rsidP="00D021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进一步为企业松绑减负激发企业活力的通知</w:t>
      </w:r>
    </w:p>
    <w:p w:rsidR="00D021D4" w:rsidRDefault="00D021D4" w:rsidP="00D021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ascii="楷体" w:eastAsia="楷体" w:hAnsi="楷体" w:hint="eastAsia"/>
          <w:color w:val="333333"/>
        </w:rPr>
        <w:t>国办发〔2020〕29号</w:t>
      </w:r>
    </w:p>
    <w:p w:rsidR="00D021D4" w:rsidRDefault="00D021D4" w:rsidP="00D021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jc w:val="both"/>
        <w:rPr>
          <w:color w:val="333333"/>
        </w:rPr>
      </w:pPr>
      <w:r>
        <w:rPr>
          <w:rFonts w:hint="eastAsia"/>
          <w:color w:val="333333"/>
        </w:rPr>
        <w:t>各省、自治区、直辖市人民政府，国务院各部委、各直属机构：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党中央、国务院高度</w:t>
      </w:r>
      <w:proofErr w:type="gramStart"/>
      <w:r>
        <w:rPr>
          <w:rFonts w:hint="eastAsia"/>
          <w:color w:val="333333"/>
        </w:rPr>
        <w:t>重视商</w:t>
      </w:r>
      <w:proofErr w:type="gramEnd"/>
      <w:r>
        <w:rPr>
          <w:rFonts w:hint="eastAsia"/>
          <w:color w:val="333333"/>
        </w:rPr>
        <w:t>事制度改革。近年来，商事制度改革取得显著成效，市场准入更加便捷，市场监管机制不断完善，市场主体繁荣发展，营商环境大幅改善。但从全国范围看，“准入不准营”现象依然存在，宽进严管、协同共治能力仍需强化。为更好统筹推进新冠肺炎疫情防控和经济社会发展，加快打造市场化、法治化、国际化营商环境，充分释放社会创业创新潜力、激发企业活力，经国务院同意，现将有关事项通知如下：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hint="eastAsia"/>
          <w:b/>
          <w:bCs/>
          <w:color w:val="333333"/>
        </w:rPr>
        <w:t>一、推进企业开办全程网上办理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（一）全面推广企业开办“一网通办”。</w:t>
      </w:r>
      <w:r>
        <w:rPr>
          <w:rFonts w:hint="eastAsia"/>
          <w:color w:val="333333"/>
        </w:rPr>
        <w:t>2020年年底前，各省、自治区、直辖市和新疆生产建设兵团全部开通企业开办“一网通办”平台，做到企业开办全程网上办理，进一步压减企业开办时间至4个工作日内或更少。在此基础上，探索推动企业开办标准化、规范化试点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（二）持续提升企业开办服务能力。</w:t>
      </w:r>
      <w:r>
        <w:rPr>
          <w:rFonts w:hint="eastAsia"/>
          <w:color w:val="333333"/>
        </w:rPr>
        <w:t>依托“一网通办”平台，推行企业登记、公章刻制、申领发票和税控设备、员工参保登记、住房公积金企业缴存</w:t>
      </w:r>
      <w:proofErr w:type="gramStart"/>
      <w:r>
        <w:rPr>
          <w:rFonts w:hint="eastAsia"/>
          <w:color w:val="333333"/>
        </w:rPr>
        <w:t>登记线</w:t>
      </w:r>
      <w:proofErr w:type="gramEnd"/>
      <w:r>
        <w:rPr>
          <w:rFonts w:hint="eastAsia"/>
          <w:color w:val="333333"/>
        </w:rPr>
        <w:t>上“一表填报”申请办理。具备条件的地方实现办齐的材料线下“一个窗口”一次领取，或者通过寄递、自助打印等实现不见面办理。在加强监管、保障安全前提下，大力推进电子营业执照、电子发票、电子印章在更广领域运用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hint="eastAsia"/>
          <w:b/>
          <w:bCs/>
          <w:color w:val="333333"/>
        </w:rPr>
        <w:t>二、推进注册登记制度改革取得新突破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（三）加大住所与经营场所登记改革力度。</w:t>
      </w:r>
      <w:r>
        <w:rPr>
          <w:rFonts w:hint="eastAsia"/>
          <w:color w:val="333333"/>
        </w:rPr>
        <w:t>支持各省级人民政府统筹开展住所与经营场所分离登记试点。市场主体可以登记一个住所和多个经营场所。对住所作为通信地址和司法文书（</w:t>
      </w:r>
      <w:proofErr w:type="gramStart"/>
      <w:r>
        <w:rPr>
          <w:rFonts w:hint="eastAsia"/>
          <w:color w:val="333333"/>
        </w:rPr>
        <w:t>含行政</w:t>
      </w:r>
      <w:proofErr w:type="gramEnd"/>
      <w:r>
        <w:rPr>
          <w:rFonts w:hint="eastAsia"/>
          <w:color w:val="333333"/>
        </w:rPr>
        <w:t>执法文书）送达地登记，实行自主申报承诺制。对经营场所，各地可结合实际制定有关管理措施。对于市场主体在住所以外开展经营活动、属于同一县级登记机关管辖的，免于设立分支机构，申请增加经营场所登记即可，方便企业扩大经营规模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（四）提升企业名称自主申报</w:t>
      </w:r>
      <w:proofErr w:type="gramStart"/>
      <w:r>
        <w:rPr>
          <w:rFonts w:ascii="楷体" w:eastAsia="楷体" w:hAnsi="楷体" w:hint="eastAsia"/>
          <w:color w:val="333333"/>
        </w:rPr>
        <w:t>系统核名智能化</w:t>
      </w:r>
      <w:proofErr w:type="gramEnd"/>
      <w:r>
        <w:rPr>
          <w:rFonts w:ascii="楷体" w:eastAsia="楷体" w:hAnsi="楷体" w:hint="eastAsia"/>
          <w:color w:val="333333"/>
        </w:rPr>
        <w:t>水平。</w:t>
      </w:r>
      <w:r>
        <w:rPr>
          <w:rFonts w:hint="eastAsia"/>
          <w:color w:val="333333"/>
        </w:rPr>
        <w:t>依法规范企业名称登记管理工作，运用大数据、人工智能等技术手段，加强禁限用字词库实时维护，提升对不适宜字词的分析和识别能力。推进与商标等商业标识数据库的互联共享，</w:t>
      </w:r>
      <w:r>
        <w:rPr>
          <w:rFonts w:hint="eastAsia"/>
          <w:color w:val="333333"/>
        </w:rPr>
        <w:lastRenderedPageBreak/>
        <w:t>丰富对企业的告知提示内容。探索“企业承诺+事中事后监管”，减少“近似名称”人工干预。加强知名企业名称字号保护，建立名称争议处理机制。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hint="eastAsia"/>
          <w:b/>
          <w:bCs/>
          <w:color w:val="333333"/>
        </w:rPr>
        <w:t>三、简化相关涉</w:t>
      </w:r>
      <w:proofErr w:type="gramStart"/>
      <w:r>
        <w:rPr>
          <w:rFonts w:hint="eastAsia"/>
          <w:b/>
          <w:bCs/>
          <w:color w:val="333333"/>
        </w:rPr>
        <w:t>企生产</w:t>
      </w:r>
      <w:proofErr w:type="gramEnd"/>
      <w:r>
        <w:rPr>
          <w:rFonts w:hint="eastAsia"/>
          <w:b/>
          <w:bCs/>
          <w:color w:val="333333"/>
        </w:rPr>
        <w:t>经营和审批条件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（五）推动工业产品生产许可证制度改革。</w:t>
      </w:r>
      <w:r>
        <w:rPr>
          <w:rFonts w:hint="eastAsia"/>
          <w:color w:val="333333"/>
        </w:rPr>
        <w:t>将建筑用钢筋、水泥、广播电视传输设备、人民币鉴别仪、预应力混凝土铁路桥简支梁5类产品审批下放至省级市场监管部门。健全严格的质量安全监管措施，加强监督指导，守住质量安全底线。进一步扩大告知承诺实施范围，推动化肥产品由目前的后置现场审查调整为告知承诺。开展工业产品生产许可证有关政策、标准和技术规范宣传解读，加强对企业申办许可证的指导，帮助企业便利取证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（六）完善强制性产品认证制度。</w:t>
      </w:r>
      <w:r>
        <w:rPr>
          <w:rFonts w:hint="eastAsia"/>
          <w:color w:val="333333"/>
        </w:rPr>
        <w:t>扩大指定认证实施机构范围，提升实施机构的认证检测一站式服务能力，便利企业申请认证检测。防爆电气、燃气器具和大容积冰箱转为强制性产品认证费用由财政负担。简化出口转内销产品认证程序。督促指导强制性产品指定认证实施机构通过开辟绿色通道、接受已有合格评定结果、拓展在线服务等措施，缩短认证证书办理时间，降低认证成本。做好认证服务及技术支持，为出口转内销企业提供政策和技术培训，精简优化认证方案，安排专门人员对认证流程进行跟踪，合理减免出口转内销产品强制性产品认证费用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（七）深化检验检测机构资质认定改革。</w:t>
      </w:r>
      <w:r>
        <w:rPr>
          <w:rFonts w:hint="eastAsia"/>
          <w:color w:val="333333"/>
        </w:rPr>
        <w:t>将疫情防控期间远程评审等应急措施长效化。2021年在全国范围内推行检验检测机构资质认定告知承诺制。全面推行检验检测机构资质认定网上审批，完善机构信息查询功能。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（八）加快培育企业标准“领跑者”。</w:t>
      </w:r>
      <w:r>
        <w:rPr>
          <w:rFonts w:hint="eastAsia"/>
          <w:color w:val="333333"/>
        </w:rPr>
        <w:t>优化企业标准“领跑者”制度机制，完善评估方案，推动第三方评价机构发布一批企业标准排行榜，形成2020年度企业标准“领跑者”名单，引导更多企业声明公开更高质量的标准。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hint="eastAsia"/>
          <w:b/>
          <w:bCs/>
          <w:color w:val="333333"/>
        </w:rPr>
        <w:t>四、加强事中事后监管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（九）加强企业信息公示。</w:t>
      </w:r>
      <w:r>
        <w:rPr>
          <w:rFonts w:hint="eastAsia"/>
          <w:color w:val="333333"/>
        </w:rPr>
        <w:t>以统一社会信用代码为标识，整合形成更加完善的企业信用记录，并通过国家企业信用信息公示系统、“信用中国”网站或中国政府网及相关部门门户网站等渠道，依法依规向社会公开公示。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（十）健全失信惩戒机制。</w:t>
      </w:r>
      <w:r>
        <w:rPr>
          <w:rFonts w:hint="eastAsia"/>
          <w:color w:val="333333"/>
        </w:rPr>
        <w:t>落实企业年报“多报合一”政策，进一步优化工作机制，大力推行信用承诺制度，健全完善信用修复、强制退出等制度机制。依法依规运用各领域严重失信名单等信用管理手段，提高协同监管水平，加强失信惩戒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（十一）推进实施智慧监管。</w:t>
      </w:r>
      <w:r>
        <w:rPr>
          <w:rFonts w:hint="eastAsia"/>
          <w:color w:val="333333"/>
        </w:rPr>
        <w:t>在市场监管领域，进一步完善以“双随机、</w:t>
      </w:r>
      <w:proofErr w:type="gramStart"/>
      <w:r>
        <w:rPr>
          <w:rFonts w:hint="eastAsia"/>
          <w:color w:val="333333"/>
        </w:rPr>
        <w:t>一</w:t>
      </w:r>
      <w:proofErr w:type="gramEnd"/>
      <w:r>
        <w:rPr>
          <w:rFonts w:hint="eastAsia"/>
          <w:color w:val="333333"/>
        </w:rPr>
        <w:t>公开”监管为基本手段、以重点监管为补充、以信用监管为基础的新型监管机制。</w:t>
      </w:r>
      <w:r>
        <w:rPr>
          <w:rFonts w:hint="eastAsia"/>
          <w:color w:val="333333"/>
        </w:rPr>
        <w:lastRenderedPageBreak/>
        <w:t>健全完善缺陷产品召回制度，督促企业履行缺陷召回法定义务，消除产品安全隐患。推进双随机抽查与信用风险分类监管相结合，充分运用大数据等技术，针对不同风险等级、信用水平的检查对象采取差异化分类监管措施，逐步做到对企业信用风险状况以及主要风险点精准识别和预测预警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  <w:r>
        <w:rPr>
          <w:rFonts w:ascii="楷体" w:eastAsia="楷体" w:hAnsi="楷体" w:hint="eastAsia"/>
          <w:color w:val="333333"/>
        </w:rPr>
        <w:t>（十二）规范平台经济监管行为。</w:t>
      </w:r>
      <w:r>
        <w:rPr>
          <w:rFonts w:hint="eastAsia"/>
          <w:color w:val="333333"/>
        </w:rPr>
        <w:t>坚持审慎包容、鼓励创新原则，充分发挥平台经济行业自律和企业自治作用，引导平台经济有序竞争，反对不正当竞争，规范发展线上经济。依法查处电子商务违法行为，维护公平有序的市场秩序，为平台经济发展营造良好营商环境。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各地区、各部门要认真贯彻落实本通知提出的各项任务和要求，聚焦企业生产经营的堵点痛点，加强政策统筹协调，切实落实工作责任，认真组织实施，形成工作合力。市场监管总局要会同有关部门加强工作指导，及时总结推广</w:t>
      </w:r>
      <w:proofErr w:type="gramStart"/>
      <w:r>
        <w:rPr>
          <w:rFonts w:hint="eastAsia"/>
          <w:color w:val="333333"/>
        </w:rPr>
        <w:t>深化商</w:t>
      </w:r>
      <w:proofErr w:type="gramEnd"/>
      <w:r>
        <w:rPr>
          <w:rFonts w:hint="eastAsia"/>
          <w:color w:val="333333"/>
        </w:rPr>
        <w:t>事制度改革典型经验做法，协调解决实施中存在的问题，确保各项改革措施落地见效。</w:t>
      </w:r>
    </w:p>
    <w:p w:rsidR="002921FF" w:rsidRDefault="002921FF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rFonts w:hint="eastAsia"/>
          <w:color w:val="333333"/>
        </w:rPr>
      </w:pPr>
    </w:p>
    <w:p w:rsidR="002921FF" w:rsidRDefault="002921FF" w:rsidP="002921FF">
      <w:pPr>
        <w:pStyle w:val="a3"/>
        <w:shd w:val="clear" w:color="auto" w:fill="FFFFFF"/>
        <w:spacing w:before="0" w:beforeAutospacing="0" w:after="0" w:afterAutospacing="0" w:line="336" w:lineRule="auto"/>
        <w:ind w:firstLine="480"/>
        <w:jc w:val="both"/>
        <w:rPr>
          <w:color w:val="333333"/>
        </w:rPr>
      </w:pP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jc w:val="right"/>
        <w:rPr>
          <w:color w:val="333333"/>
        </w:rPr>
      </w:pPr>
      <w:r>
        <w:rPr>
          <w:rFonts w:hint="eastAsia"/>
          <w:color w:val="333333"/>
        </w:rPr>
        <w:t>国务院办公厅</w:t>
      </w:r>
    </w:p>
    <w:p w:rsidR="00D021D4" w:rsidRDefault="00D021D4" w:rsidP="002921FF">
      <w:pPr>
        <w:pStyle w:val="a3"/>
        <w:shd w:val="clear" w:color="auto" w:fill="FFFFFF"/>
        <w:spacing w:before="0" w:beforeAutospacing="0" w:after="0" w:afterAutospacing="0" w:line="336" w:lineRule="auto"/>
        <w:jc w:val="right"/>
        <w:rPr>
          <w:color w:val="333333"/>
        </w:rPr>
      </w:pPr>
      <w:r>
        <w:rPr>
          <w:rFonts w:hint="eastAsia"/>
          <w:color w:val="333333"/>
        </w:rPr>
        <w:t>2020年9月1日</w:t>
      </w:r>
    </w:p>
    <w:sectPr w:rsidR="00D021D4" w:rsidSect="0031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86" w:rsidRDefault="00543686" w:rsidP="002921FF">
      <w:r>
        <w:separator/>
      </w:r>
    </w:p>
  </w:endnote>
  <w:endnote w:type="continuationSeparator" w:id="0">
    <w:p w:rsidR="00543686" w:rsidRDefault="00543686" w:rsidP="0029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86" w:rsidRDefault="00543686" w:rsidP="002921FF">
      <w:r>
        <w:separator/>
      </w:r>
    </w:p>
  </w:footnote>
  <w:footnote w:type="continuationSeparator" w:id="0">
    <w:p w:rsidR="00543686" w:rsidRDefault="00543686" w:rsidP="00292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57C"/>
    <w:rsid w:val="002921FF"/>
    <w:rsid w:val="0031124A"/>
    <w:rsid w:val="00543686"/>
    <w:rsid w:val="0076378E"/>
    <w:rsid w:val="00AC657C"/>
    <w:rsid w:val="00D0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92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21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2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21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kan</dc:creator>
  <cp:keywords/>
  <dc:description/>
  <cp:lastModifiedBy>孙衎</cp:lastModifiedBy>
  <cp:revision>3</cp:revision>
  <dcterms:created xsi:type="dcterms:W3CDTF">2020-10-10T04:05:00Z</dcterms:created>
  <dcterms:modified xsi:type="dcterms:W3CDTF">2021-07-13T08:40:00Z</dcterms:modified>
</cp:coreProperties>
</file>