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937" w14:textId="77777777" w:rsidR="00B72C12" w:rsidRDefault="00AB79F0">
      <w:pPr>
        <w:widowControl/>
        <w:spacing w:after="240" w:line="594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16"/>
        <w:gridCol w:w="6093"/>
      </w:tblGrid>
      <w:tr w:rsidR="00B72C12" w14:paraId="59D0F680" w14:textId="77777777" w:rsidTr="00694330">
        <w:trPr>
          <w:trHeight w:val="926"/>
        </w:trPr>
        <w:tc>
          <w:tcPr>
            <w:tcW w:w="1731" w:type="dxa"/>
            <w:shd w:val="clear" w:color="auto" w:fill="D9D9D9"/>
            <w:vAlign w:val="center"/>
          </w:tcPr>
          <w:p w14:paraId="30C1B282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909" w:type="dxa"/>
            <w:gridSpan w:val="2"/>
            <w:vAlign w:val="center"/>
          </w:tcPr>
          <w:p w14:paraId="11EA0510" w14:textId="77777777" w:rsidR="00B72C12" w:rsidRDefault="001D0D39">
            <w:pPr>
              <w:widowControl/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</w:pPr>
            <w:proofErr w:type="gramStart"/>
            <w:r w:rsidRPr="001D0D39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杭氧集团</w:t>
            </w:r>
            <w:proofErr w:type="gramEnd"/>
            <w:r w:rsidRPr="001D0D39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股份有限公司与</w:t>
            </w:r>
            <w:r w:rsidR="0057708B" w:rsidRPr="0057708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山东海力化工股份有限公司</w:t>
            </w:r>
            <w:r w:rsidRPr="001D0D39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新设合营企业案</w:t>
            </w:r>
          </w:p>
        </w:tc>
      </w:tr>
      <w:tr w:rsidR="00B72C12" w14:paraId="18D07C43" w14:textId="77777777" w:rsidTr="00694330">
        <w:trPr>
          <w:trHeight w:val="1391"/>
        </w:trPr>
        <w:tc>
          <w:tcPr>
            <w:tcW w:w="1731" w:type="dxa"/>
            <w:shd w:val="clear" w:color="auto" w:fill="D9D9D9"/>
            <w:vAlign w:val="center"/>
          </w:tcPr>
          <w:p w14:paraId="408D757A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</w:t>
            </w:r>
          </w:p>
        </w:tc>
        <w:tc>
          <w:tcPr>
            <w:tcW w:w="7909" w:type="dxa"/>
            <w:gridSpan w:val="2"/>
            <w:vAlign w:val="center"/>
          </w:tcPr>
          <w:p w14:paraId="0DE08F28" w14:textId="31FD14AC" w:rsidR="0050609C" w:rsidRDefault="00DD5796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</w:pPr>
            <w:proofErr w:type="gramStart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杭氧集团</w:t>
            </w:r>
            <w:proofErr w:type="gramEnd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股份有限公司（“</w:t>
            </w:r>
            <w:r w:rsidRPr="00ED6ECD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val="en-GB" w:bidi="ar-AE"/>
              </w:rPr>
              <w:t>杭氧集团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”）和</w:t>
            </w:r>
            <w:r w:rsidR="0057708B" w:rsidRPr="0057708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山东海力化工股份有限公司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（“</w:t>
            </w:r>
            <w:r w:rsidR="0057708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val="en-GB" w:bidi="ar-AE"/>
              </w:rPr>
              <w:t>海力化工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”）拟</w:t>
            </w:r>
            <w:r w:rsidR="001A1BC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在山东</w:t>
            </w:r>
            <w:r w:rsidR="00B8725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省</w:t>
            </w:r>
            <w:r w:rsidR="001A1BC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淄博</w:t>
            </w:r>
            <w:r w:rsidR="00421B40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市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共同设立一家合营企业，主要从事</w:t>
            </w:r>
            <w:r w:rsidR="0057708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大宗氢气</w:t>
            </w:r>
            <w:r w:rsidR="00ED6ECD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业务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 w14:paraId="7AE0B018" w14:textId="77777777" w:rsidR="00DD5796" w:rsidRDefault="00DD5796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</w:pP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交易后，</w:t>
            </w:r>
            <w:proofErr w:type="gramStart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杭氧集团</w:t>
            </w:r>
            <w:proofErr w:type="gramEnd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和</w:t>
            </w:r>
            <w:r w:rsidR="00213F4F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海力化工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将分别持有合营企业</w:t>
            </w:r>
            <w:r w:rsidR="00213F4F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51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%和</w:t>
            </w:r>
            <w:r w:rsidR="00213F4F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49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%的股权，</w:t>
            </w:r>
            <w:proofErr w:type="gramStart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杭氧集团</w:t>
            </w:r>
            <w:proofErr w:type="gramEnd"/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和</w:t>
            </w:r>
            <w:r w:rsidR="00213F4F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海力化工</w:t>
            </w:r>
            <w:r w:rsidRPr="00DD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共同控制合营企业。</w:t>
            </w:r>
          </w:p>
        </w:tc>
      </w:tr>
      <w:tr w:rsidR="00B72C12" w14:paraId="391F8B0A" w14:textId="77777777" w:rsidTr="00694330">
        <w:trPr>
          <w:trHeight w:val="942"/>
        </w:trPr>
        <w:tc>
          <w:tcPr>
            <w:tcW w:w="1731" w:type="dxa"/>
            <w:vMerge w:val="restart"/>
            <w:shd w:val="clear" w:color="auto" w:fill="D9D9D9"/>
            <w:vAlign w:val="center"/>
          </w:tcPr>
          <w:p w14:paraId="113BCD6A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</w:t>
            </w:r>
          </w:p>
        </w:tc>
        <w:tc>
          <w:tcPr>
            <w:tcW w:w="1816" w:type="dxa"/>
            <w:vAlign w:val="center"/>
          </w:tcPr>
          <w:p w14:paraId="3E442264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proofErr w:type="gramStart"/>
            <w:r w:rsidR="009861CF">
              <w:rPr>
                <w:rFonts w:ascii="宋体" w:hAnsi="宋体" w:cs="宋体" w:hint="eastAsia"/>
                <w:bCs/>
                <w:color w:val="000000"/>
                <w:lang w:eastAsia="zh-CN"/>
              </w:rPr>
              <w:t>杭氧集团</w:t>
            </w:r>
            <w:proofErr w:type="gramEnd"/>
            <w:r w:rsidR="009861C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56E829B9" w14:textId="44DE7283" w:rsidR="00AB61D8" w:rsidRPr="00AB61D8" w:rsidRDefault="00AB61D8" w:rsidP="00AB61D8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</w:pPr>
            <w:proofErr w:type="gramStart"/>
            <w:r w:rsidRPr="00AB61D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杭氧集团</w:t>
            </w:r>
            <w:proofErr w:type="gramEnd"/>
            <w:r w:rsidRPr="00AB61D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于2002年12月在浙江省杭州市注册成立，</w:t>
            </w:r>
            <w:r w:rsidR="001A1BC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系</w:t>
            </w:r>
            <w:r w:rsidRPr="00AB61D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深圳证券交易所上市</w:t>
            </w:r>
            <w:r w:rsidR="001A1BC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公司</w:t>
            </w:r>
            <w:r w:rsidRPr="00AB61D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，主要从事空气分离设备的制造和销售</w:t>
            </w:r>
            <w:r w:rsidR="0050609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，</w:t>
            </w:r>
            <w:r w:rsidRPr="00AB61D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以及大气气体的生产和销售业务。</w:t>
            </w:r>
          </w:p>
          <w:p w14:paraId="23957E6B" w14:textId="77777777" w:rsidR="00B72C12" w:rsidRDefault="00AB61D8" w:rsidP="00AB61D8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proofErr w:type="gramStart"/>
            <w:r w:rsidRPr="00AB61D8">
              <w:rPr>
                <w:rFonts w:ascii="宋体" w:hAnsi="宋体" w:cs="宋体" w:hint="eastAsia"/>
                <w:bCs/>
                <w:color w:val="000000"/>
                <w:lang w:eastAsia="zh-CN"/>
              </w:rPr>
              <w:t>杭氧集团</w:t>
            </w:r>
            <w:proofErr w:type="gramEnd"/>
            <w:r w:rsidRPr="00AB61D8">
              <w:rPr>
                <w:rFonts w:ascii="宋体" w:hAnsi="宋体" w:cs="宋体" w:hint="eastAsia"/>
                <w:bCs/>
                <w:color w:val="000000"/>
                <w:lang w:eastAsia="zh-CN"/>
              </w:rPr>
              <w:t>的最终控制人为</w:t>
            </w:r>
            <w:r w:rsidR="00D70974" w:rsidRPr="00D70974">
              <w:rPr>
                <w:rFonts w:ascii="宋体" w:hAnsi="宋体" w:cs="宋体" w:hint="eastAsia"/>
                <w:bCs/>
                <w:color w:val="000000"/>
                <w:lang w:eastAsia="zh-CN"/>
              </w:rPr>
              <w:t>杭州市国有资本投资运营有限公司，其主要</w:t>
            </w:r>
            <w:proofErr w:type="gramStart"/>
            <w:r w:rsidR="00D70974" w:rsidRPr="00D70974">
              <w:rPr>
                <w:rFonts w:ascii="宋体" w:hAnsi="宋体" w:cs="宋体" w:hint="eastAsia"/>
                <w:bCs/>
                <w:color w:val="000000"/>
                <w:lang w:eastAsia="zh-CN"/>
              </w:rPr>
              <w:t>从事</w:t>
            </w:r>
            <w:r w:rsidR="00F37752" w:rsidRPr="00F37752">
              <w:rPr>
                <w:rFonts w:ascii="宋体" w:hAnsi="宋体" w:cs="宋体" w:hint="eastAsia"/>
                <w:bCs/>
                <w:color w:val="000000"/>
                <w:lang w:eastAsia="zh-CN"/>
              </w:rPr>
              <w:t>科创</w:t>
            </w:r>
            <w:proofErr w:type="gramEnd"/>
            <w:r w:rsidR="00F37752" w:rsidRPr="00F37752">
              <w:rPr>
                <w:rFonts w:ascii="宋体" w:hAnsi="宋体" w:cs="宋体" w:hint="eastAsia"/>
                <w:bCs/>
                <w:color w:val="000000"/>
                <w:lang w:eastAsia="zh-CN"/>
              </w:rPr>
              <w:t>投资、战略性新兴产业投资、资产运营等</w:t>
            </w:r>
            <w:r w:rsidR="00D70974" w:rsidRPr="00D70974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B72C12" w14:paraId="63154E8B" w14:textId="77777777" w:rsidTr="00694330">
        <w:trPr>
          <w:trHeight w:val="984"/>
        </w:trPr>
        <w:tc>
          <w:tcPr>
            <w:tcW w:w="1731" w:type="dxa"/>
            <w:vMerge/>
            <w:shd w:val="clear" w:color="auto" w:fill="D9D9D9"/>
            <w:vAlign w:val="center"/>
          </w:tcPr>
          <w:p w14:paraId="0A25D301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 w14:paraId="681C9511" w14:textId="77777777" w:rsidR="00B72C12" w:rsidRDefault="00AB79F0" w:rsidP="004B55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="00213F4F">
              <w:rPr>
                <w:rFonts w:ascii="宋体" w:hAnsi="宋体" w:cs="宋体" w:hint="eastAsia"/>
                <w:bCs/>
                <w:color w:val="000000"/>
                <w:lang w:eastAsia="zh-CN"/>
              </w:rPr>
              <w:t>海力化工</w:t>
            </w:r>
          </w:p>
        </w:tc>
        <w:tc>
          <w:tcPr>
            <w:tcW w:w="6093" w:type="dxa"/>
            <w:vAlign w:val="center"/>
          </w:tcPr>
          <w:p w14:paraId="2B8FA6DC" w14:textId="77777777" w:rsidR="00FB2667" w:rsidRPr="00FC42B1" w:rsidRDefault="00213F4F" w:rsidP="00FB2667">
            <w:pPr>
              <w:widowControl/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海力化工</w:t>
            </w:r>
            <w:r w:rsidR="00FB2667" w:rsidRPr="00FB2667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2003年11月</w:t>
            </w:r>
            <w:r w:rsidR="00FB2667" w:rsidRPr="00FB2667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山东省淄博市</w:t>
            </w:r>
            <w:r w:rsidR="00FB2667" w:rsidRPr="00FB2667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注册成立，主要从事</w:t>
            </w:r>
            <w:r w:rsidR="00334C67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烧</w:t>
            </w:r>
            <w:r w:rsidR="00334C67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碱、双氧水</w:t>
            </w:r>
            <w:r w:rsidR="00A403E9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等</w:t>
            </w:r>
            <w:r w:rsidR="00334C67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化工</w:t>
            </w:r>
            <w:r w:rsidR="00FB2667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业务。</w:t>
            </w:r>
          </w:p>
          <w:p w14:paraId="41011F29" w14:textId="77777777" w:rsidR="00B72C12" w:rsidRDefault="00213F4F" w:rsidP="00FB2667">
            <w:pPr>
              <w:widowControl/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</w:pPr>
            <w:r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海力化工</w:t>
            </w:r>
            <w:r w:rsidR="00FB2667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的最终控制人为</w:t>
            </w:r>
            <w:r w:rsidR="00832A15" w:rsidRPr="00FC42B1">
              <w:rPr>
                <w:bCs/>
                <w:color w:val="000000"/>
                <w:kern w:val="0"/>
                <w:sz w:val="24"/>
                <w:lang w:val="en-GB" w:bidi="ar-AE"/>
              </w:rPr>
              <w:t>Well Crown International Group Limited</w:t>
            </w:r>
            <w:r w:rsidR="00F44CDC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，主要从事</w:t>
            </w:r>
            <w:r w:rsidR="00832A15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浆纸技术/设备/造纸原料</w:t>
            </w:r>
            <w:r w:rsidR="00B03A10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及相关</w:t>
            </w:r>
            <w:r w:rsidR="00832A15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产品</w:t>
            </w:r>
            <w:r w:rsidR="00B03A10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的</w:t>
            </w:r>
            <w:r w:rsidR="00832A15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开发、研究、生产</w:t>
            </w:r>
            <w:r w:rsidR="007D4399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以及相关投资</w:t>
            </w:r>
            <w:r w:rsidR="00667116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等</w:t>
            </w:r>
            <w:r w:rsidR="006646CF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业务</w:t>
            </w:r>
            <w:r w:rsidR="00FB2667" w:rsidRPr="00FC42B1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</w:tc>
      </w:tr>
      <w:tr w:rsidR="00B72C12" w14:paraId="12DFF6F3" w14:textId="77777777" w:rsidTr="00694330">
        <w:trPr>
          <w:trHeight w:val="279"/>
        </w:trPr>
        <w:tc>
          <w:tcPr>
            <w:tcW w:w="1731" w:type="dxa"/>
            <w:vMerge w:val="restart"/>
            <w:shd w:val="clear" w:color="auto" w:fill="D9D9D9"/>
            <w:vAlign w:val="center"/>
          </w:tcPr>
          <w:p w14:paraId="437324DB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909" w:type="dxa"/>
            <w:gridSpan w:val="2"/>
            <w:vAlign w:val="center"/>
          </w:tcPr>
          <w:p w14:paraId="3359B0CA" w14:textId="7C77592C" w:rsidR="00B72C12" w:rsidRDefault="00F2435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</w:t>
            </w:r>
            <w:r w:rsidR="00514049" w:rsidRPr="0065368F">
              <w:rPr>
                <w:rFonts w:ascii="宋体" w:hAnsi="宋体" w:cs="宋体" w:hint="eastAsia"/>
                <w:bCs/>
                <w:color w:val="000000"/>
                <w:lang w:eastAsia="zh-CN"/>
              </w:rPr>
              <w:t>.</w:t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>在同一相关市场，参与集中的经营者所占的市场份额之和小于15%。</w:t>
            </w:r>
          </w:p>
        </w:tc>
      </w:tr>
      <w:tr w:rsidR="00B72C12" w14:paraId="4BD78E04" w14:textId="77777777" w:rsidTr="00694330">
        <w:trPr>
          <w:trHeight w:val="330"/>
        </w:trPr>
        <w:tc>
          <w:tcPr>
            <w:tcW w:w="1731" w:type="dxa"/>
            <w:vMerge/>
            <w:shd w:val="clear" w:color="auto" w:fill="D9D9D9"/>
            <w:vAlign w:val="center"/>
          </w:tcPr>
          <w:p w14:paraId="35117948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7A66910D" w14:textId="7FA0DFED" w:rsidR="00B72C12" w:rsidRDefault="0065368F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</w:t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>2</w:t>
            </w:r>
            <w:r w:rsidR="00514049" w:rsidRPr="0065368F">
              <w:rPr>
                <w:rFonts w:ascii="宋体" w:hAnsi="宋体" w:cs="宋体" w:hint="eastAsia"/>
                <w:bCs/>
                <w:color w:val="000000"/>
                <w:lang w:eastAsia="zh-CN"/>
              </w:rPr>
              <w:t>.</w:t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>在上下游市场，参与集中的经营者所占的市场份额均小于25%。</w:t>
            </w:r>
          </w:p>
        </w:tc>
      </w:tr>
      <w:tr w:rsidR="00B72C12" w14:paraId="1E6CA2C5" w14:textId="77777777" w:rsidTr="00694330">
        <w:trPr>
          <w:trHeight w:val="285"/>
        </w:trPr>
        <w:tc>
          <w:tcPr>
            <w:tcW w:w="1731" w:type="dxa"/>
            <w:vMerge/>
            <w:shd w:val="clear" w:color="auto" w:fill="D9D9D9"/>
            <w:vAlign w:val="center"/>
          </w:tcPr>
          <w:p w14:paraId="277017AE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12493B17" w14:textId="570B521E" w:rsidR="00B72C12" w:rsidRDefault="0065368F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</w:t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>3</w:t>
            </w:r>
            <w:r w:rsidR="00514049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514049">
              <w:rPr>
                <w:rFonts w:ascii="宋体" w:hAnsi="宋体"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B72C12" w14:paraId="4F93D179" w14:textId="77777777" w:rsidTr="00694330">
        <w:trPr>
          <w:trHeight w:val="870"/>
        </w:trPr>
        <w:tc>
          <w:tcPr>
            <w:tcW w:w="1731" w:type="dxa"/>
            <w:vMerge/>
            <w:shd w:val="clear" w:color="auto" w:fill="D9D9D9"/>
            <w:vAlign w:val="center"/>
          </w:tcPr>
          <w:p w14:paraId="48AD28FF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360A98C7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B72C12" w14:paraId="59173DC6" w14:textId="77777777" w:rsidTr="00694330">
        <w:trPr>
          <w:trHeight w:val="264"/>
        </w:trPr>
        <w:tc>
          <w:tcPr>
            <w:tcW w:w="1731" w:type="dxa"/>
            <w:vMerge/>
            <w:shd w:val="clear" w:color="auto" w:fill="D9D9D9"/>
            <w:vAlign w:val="center"/>
          </w:tcPr>
          <w:p w14:paraId="74D7FE39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1D40C6CC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B72C12" w14:paraId="011B092F" w14:textId="77777777" w:rsidTr="00694330">
        <w:trPr>
          <w:trHeight w:val="345"/>
        </w:trPr>
        <w:tc>
          <w:tcPr>
            <w:tcW w:w="1731" w:type="dxa"/>
            <w:vMerge/>
            <w:shd w:val="clear" w:color="auto" w:fill="D9D9D9"/>
            <w:vAlign w:val="center"/>
          </w:tcPr>
          <w:p w14:paraId="6BA9C193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6A740CC6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B72C12" w14:paraId="7B24818D" w14:textId="77777777" w:rsidTr="00694330">
        <w:trPr>
          <w:trHeight w:val="1250"/>
        </w:trPr>
        <w:tc>
          <w:tcPr>
            <w:tcW w:w="1731" w:type="dxa"/>
            <w:shd w:val="clear" w:color="auto" w:fill="D9D9D9"/>
            <w:vAlign w:val="center"/>
          </w:tcPr>
          <w:p w14:paraId="053C1037" w14:textId="77777777" w:rsidR="00B72C12" w:rsidRDefault="00AB79F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909" w:type="dxa"/>
            <w:gridSpan w:val="2"/>
            <w:vAlign w:val="center"/>
          </w:tcPr>
          <w:p w14:paraId="6C46D40A" w14:textId="348F3148" w:rsidR="00241161" w:rsidRDefault="001A1BCC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val="en-US" w:eastAsia="zh-CN"/>
              </w:rPr>
              <w:t>混合集中</w:t>
            </w:r>
            <w:r w:rsidR="00241161">
              <w:rPr>
                <w:rFonts w:ascii="宋体" w:hAnsi="宋体" w:cs="宋体" w:hint="eastAsia"/>
                <w:b/>
                <w:color w:val="000000"/>
                <w:lang w:val="en-US" w:eastAsia="zh-CN"/>
              </w:rPr>
              <w:t>：</w:t>
            </w:r>
          </w:p>
          <w:tbl>
            <w:tblPr>
              <w:tblStyle w:val="a4"/>
              <w:tblW w:w="8619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2126"/>
              <w:gridCol w:w="4055"/>
            </w:tblGrid>
            <w:tr w:rsidR="00241161" w:rsidRPr="002D6ED8" w14:paraId="3F6528CD" w14:textId="77777777" w:rsidTr="00912B2C">
              <w:tc>
                <w:tcPr>
                  <w:tcW w:w="2438" w:type="dxa"/>
                </w:tcPr>
                <w:p w14:paraId="74416299" w14:textId="77777777" w:rsidR="00241161" w:rsidRPr="002D6ED8" w:rsidRDefault="00241161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r w:rsidRPr="002D6ED8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126" w:type="dxa"/>
                </w:tcPr>
                <w:p w14:paraId="0B7075CE" w14:textId="77777777" w:rsidR="00241161" w:rsidRPr="002D6ED8" w:rsidRDefault="00241161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r w:rsidRPr="002D6ED8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4055" w:type="dxa"/>
                </w:tcPr>
                <w:p w14:paraId="74641ACD" w14:textId="24DBE222" w:rsidR="00241161" w:rsidRPr="002D6ED8" w:rsidRDefault="00B8725C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2025年</w:t>
                  </w:r>
                  <w:r w:rsidR="00241161" w:rsidRPr="002D6ED8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市场份额</w:t>
                  </w:r>
                </w:p>
              </w:tc>
            </w:tr>
            <w:tr w:rsidR="00D75577" w:rsidRPr="000241AF" w14:paraId="5B1B591E" w14:textId="77777777" w:rsidTr="004756FA">
              <w:trPr>
                <w:trHeight w:val="633"/>
              </w:trPr>
              <w:tc>
                <w:tcPr>
                  <w:tcW w:w="2438" w:type="dxa"/>
                </w:tcPr>
                <w:p w14:paraId="26DB23E8" w14:textId="77777777" w:rsidR="00D75577" w:rsidRPr="000241AF" w:rsidRDefault="00D75577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r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大宗氢气</w:t>
                  </w:r>
                </w:p>
              </w:tc>
              <w:tc>
                <w:tcPr>
                  <w:tcW w:w="2126" w:type="dxa"/>
                </w:tcPr>
                <w:p w14:paraId="3FFD302E" w14:textId="013A4AE7" w:rsidR="00D75577" w:rsidRPr="000241AF" w:rsidRDefault="00B8725C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淄博市</w:t>
                  </w:r>
                  <w:r w:rsidR="00D75577"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桓台</w:t>
                  </w:r>
                  <w:r w:rsidR="00B671F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县及</w:t>
                  </w:r>
                  <w:r w:rsidR="00D75577"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周边200公里</w:t>
                  </w:r>
                  <w:r w:rsidR="00B671F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城市群</w:t>
                  </w:r>
                </w:p>
              </w:tc>
              <w:tc>
                <w:tcPr>
                  <w:tcW w:w="4055" w:type="dxa"/>
                </w:tcPr>
                <w:p w14:paraId="6F2E37B0" w14:textId="200C0D25" w:rsidR="00D75577" w:rsidRPr="000241AF" w:rsidRDefault="00D75577" w:rsidP="00912B2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</w:pPr>
                  <w:proofErr w:type="gramStart"/>
                  <w:r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杭氧集团</w:t>
                  </w:r>
                  <w:proofErr w:type="gramEnd"/>
                  <w:r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：0%-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 w:rsidRPr="000241AF">
                    <w:rPr>
                      <w:rFonts w:ascii="宋体" w:hAnsi="宋体"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</w:tbl>
          <w:p w14:paraId="0FB70416" w14:textId="77777777" w:rsidR="00B72C12" w:rsidRDefault="00B72C12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</w:tr>
    </w:tbl>
    <w:p w14:paraId="428AFBF4" w14:textId="77777777" w:rsidR="00B72C12" w:rsidRDefault="00B72C12" w:rsidP="00B05415"/>
    <w:sectPr w:rsidR="00B72C12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B0A2" w14:textId="77777777" w:rsidR="00295417" w:rsidRDefault="00295417" w:rsidP="00DD2157">
      <w:r>
        <w:separator/>
      </w:r>
    </w:p>
  </w:endnote>
  <w:endnote w:type="continuationSeparator" w:id="0">
    <w:p w14:paraId="2D17A352" w14:textId="77777777" w:rsidR="00295417" w:rsidRDefault="00295417" w:rsidP="00D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4C4A" w14:textId="77777777" w:rsidR="00295417" w:rsidRDefault="00295417" w:rsidP="00DD2157">
      <w:r>
        <w:separator/>
      </w:r>
    </w:p>
  </w:footnote>
  <w:footnote w:type="continuationSeparator" w:id="0">
    <w:p w14:paraId="0B0049EA" w14:textId="77777777" w:rsidR="00295417" w:rsidRDefault="00295417" w:rsidP="00DD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6FBDD792"/>
    <w:rsid w:val="000241AF"/>
    <w:rsid w:val="00027B0D"/>
    <w:rsid w:val="00044342"/>
    <w:rsid w:val="00050433"/>
    <w:rsid w:val="000973F5"/>
    <w:rsid w:val="000C4627"/>
    <w:rsid w:val="000F5E28"/>
    <w:rsid w:val="001279F0"/>
    <w:rsid w:val="00135E05"/>
    <w:rsid w:val="001A1BCC"/>
    <w:rsid w:val="001A4769"/>
    <w:rsid w:val="001D0D39"/>
    <w:rsid w:val="001F4AF4"/>
    <w:rsid w:val="00213F4F"/>
    <w:rsid w:val="0023292C"/>
    <w:rsid w:val="00241161"/>
    <w:rsid w:val="00251A80"/>
    <w:rsid w:val="00253063"/>
    <w:rsid w:val="00295417"/>
    <w:rsid w:val="002A3957"/>
    <w:rsid w:val="002B0F32"/>
    <w:rsid w:val="002B6D48"/>
    <w:rsid w:val="002B72FC"/>
    <w:rsid w:val="002D6ED8"/>
    <w:rsid w:val="003007C8"/>
    <w:rsid w:val="003176CF"/>
    <w:rsid w:val="003203FA"/>
    <w:rsid w:val="00334C67"/>
    <w:rsid w:val="003413CC"/>
    <w:rsid w:val="00377A28"/>
    <w:rsid w:val="00381196"/>
    <w:rsid w:val="00387906"/>
    <w:rsid w:val="003A006F"/>
    <w:rsid w:val="003A74C9"/>
    <w:rsid w:val="00404A8E"/>
    <w:rsid w:val="00421B40"/>
    <w:rsid w:val="004277F6"/>
    <w:rsid w:val="00486A4C"/>
    <w:rsid w:val="004A5F78"/>
    <w:rsid w:val="004B5512"/>
    <w:rsid w:val="0050609C"/>
    <w:rsid w:val="00514049"/>
    <w:rsid w:val="0053562A"/>
    <w:rsid w:val="005634A1"/>
    <w:rsid w:val="005638C0"/>
    <w:rsid w:val="0057708B"/>
    <w:rsid w:val="005C1F59"/>
    <w:rsid w:val="0060761B"/>
    <w:rsid w:val="006122C5"/>
    <w:rsid w:val="00621D07"/>
    <w:rsid w:val="00626E8D"/>
    <w:rsid w:val="0065368F"/>
    <w:rsid w:val="006646CF"/>
    <w:rsid w:val="00667116"/>
    <w:rsid w:val="00691211"/>
    <w:rsid w:val="006938F2"/>
    <w:rsid w:val="00694330"/>
    <w:rsid w:val="006B0BB1"/>
    <w:rsid w:val="006B3F0D"/>
    <w:rsid w:val="006D4CE8"/>
    <w:rsid w:val="00760956"/>
    <w:rsid w:val="007B39E2"/>
    <w:rsid w:val="007D31EA"/>
    <w:rsid w:val="007D4399"/>
    <w:rsid w:val="007D77E4"/>
    <w:rsid w:val="007E0C4D"/>
    <w:rsid w:val="007F7110"/>
    <w:rsid w:val="00815E5B"/>
    <w:rsid w:val="00832A15"/>
    <w:rsid w:val="00881B0B"/>
    <w:rsid w:val="008866F7"/>
    <w:rsid w:val="008B45D3"/>
    <w:rsid w:val="00910DF9"/>
    <w:rsid w:val="00917D5A"/>
    <w:rsid w:val="00946A70"/>
    <w:rsid w:val="009861CF"/>
    <w:rsid w:val="009D0F36"/>
    <w:rsid w:val="009D4962"/>
    <w:rsid w:val="009F1FA3"/>
    <w:rsid w:val="00A403E9"/>
    <w:rsid w:val="00A4218A"/>
    <w:rsid w:val="00A801C2"/>
    <w:rsid w:val="00A86F15"/>
    <w:rsid w:val="00A93091"/>
    <w:rsid w:val="00A93D5E"/>
    <w:rsid w:val="00AB61D8"/>
    <w:rsid w:val="00AB79F0"/>
    <w:rsid w:val="00AF2D7F"/>
    <w:rsid w:val="00B02085"/>
    <w:rsid w:val="00B0309B"/>
    <w:rsid w:val="00B03A10"/>
    <w:rsid w:val="00B05415"/>
    <w:rsid w:val="00B671FF"/>
    <w:rsid w:val="00B72C12"/>
    <w:rsid w:val="00B8725C"/>
    <w:rsid w:val="00BA08E5"/>
    <w:rsid w:val="00BB1F60"/>
    <w:rsid w:val="00BF131E"/>
    <w:rsid w:val="00C51CB2"/>
    <w:rsid w:val="00C83168"/>
    <w:rsid w:val="00CB440C"/>
    <w:rsid w:val="00CC3EFE"/>
    <w:rsid w:val="00CC7E95"/>
    <w:rsid w:val="00D2713B"/>
    <w:rsid w:val="00D400F2"/>
    <w:rsid w:val="00D53453"/>
    <w:rsid w:val="00D70974"/>
    <w:rsid w:val="00D71945"/>
    <w:rsid w:val="00D748D9"/>
    <w:rsid w:val="00D75577"/>
    <w:rsid w:val="00DD2157"/>
    <w:rsid w:val="00DD5796"/>
    <w:rsid w:val="00E4545A"/>
    <w:rsid w:val="00E53907"/>
    <w:rsid w:val="00E64DF7"/>
    <w:rsid w:val="00E67620"/>
    <w:rsid w:val="00EB6147"/>
    <w:rsid w:val="00ED6ECD"/>
    <w:rsid w:val="00F02E2A"/>
    <w:rsid w:val="00F07EF2"/>
    <w:rsid w:val="00F24350"/>
    <w:rsid w:val="00F37752"/>
    <w:rsid w:val="00F44CDC"/>
    <w:rsid w:val="00F45973"/>
    <w:rsid w:val="00F81E61"/>
    <w:rsid w:val="00F85279"/>
    <w:rsid w:val="00FB2667"/>
    <w:rsid w:val="00FC42B1"/>
    <w:rsid w:val="04C66C1A"/>
    <w:rsid w:val="1D6F6EFE"/>
    <w:rsid w:val="1F7C72D8"/>
    <w:rsid w:val="2D246E2C"/>
    <w:rsid w:val="33A9646D"/>
    <w:rsid w:val="3EFED501"/>
    <w:rsid w:val="3F7F152F"/>
    <w:rsid w:val="3FFB76BA"/>
    <w:rsid w:val="46DFCD99"/>
    <w:rsid w:val="49659447"/>
    <w:rsid w:val="511432B7"/>
    <w:rsid w:val="5596691C"/>
    <w:rsid w:val="59FAB6B4"/>
    <w:rsid w:val="5C6AC506"/>
    <w:rsid w:val="5DBB2A74"/>
    <w:rsid w:val="5F09CE98"/>
    <w:rsid w:val="6AFC31C5"/>
    <w:rsid w:val="6B8148C3"/>
    <w:rsid w:val="6E9FB973"/>
    <w:rsid w:val="6FBDD792"/>
    <w:rsid w:val="74D42207"/>
    <w:rsid w:val="76D76867"/>
    <w:rsid w:val="76FE3A0F"/>
    <w:rsid w:val="76FF00E1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21537"/>
  <w15:docId w15:val="{AB0E6217-8977-4919-8E06-BA2E4D0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2D6E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customStyle="1" w:styleId="a5">
    <w:name w:val="标题五"/>
    <w:basedOn w:val="5"/>
    <w:next w:val="a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a6">
    <w:name w:val="header"/>
    <w:basedOn w:val="a"/>
    <w:link w:val="a7"/>
    <w:rsid w:val="00DD21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D2157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rsid w:val="00DD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D2157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basedOn w:val="a0"/>
    <w:rsid w:val="007E0C4D"/>
    <w:rPr>
      <w:sz w:val="21"/>
      <w:szCs w:val="21"/>
    </w:rPr>
  </w:style>
  <w:style w:type="paragraph" w:styleId="ab">
    <w:name w:val="annotation text"/>
    <w:basedOn w:val="a"/>
    <w:link w:val="ac"/>
    <w:rsid w:val="007E0C4D"/>
    <w:pPr>
      <w:jc w:val="left"/>
    </w:pPr>
  </w:style>
  <w:style w:type="character" w:customStyle="1" w:styleId="ac">
    <w:name w:val="批注文字 字符"/>
    <w:basedOn w:val="a0"/>
    <w:link w:val="ab"/>
    <w:rsid w:val="007E0C4D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E0C4D"/>
    <w:rPr>
      <w:b/>
      <w:bCs/>
    </w:rPr>
  </w:style>
  <w:style w:type="character" w:customStyle="1" w:styleId="ae">
    <w:name w:val="批注主题 字符"/>
    <w:basedOn w:val="ac"/>
    <w:link w:val="ad"/>
    <w:rsid w:val="007E0C4D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unhideWhenUsed/>
    <w:rsid w:val="00B8725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oa</dc:creator>
  <cp:lastModifiedBy>T&amp;C</cp:lastModifiedBy>
  <cp:revision>13</cp:revision>
  <dcterms:created xsi:type="dcterms:W3CDTF">2026-06-18T10:32:00Z</dcterms:created>
  <dcterms:modified xsi:type="dcterms:W3CDTF">2026-07-02T07:15:00Z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1450A871722F4E65A0C43338ABDFAACD_13</vt:lpwstr>
  </property>
</Properties>
</file>