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F0E2" w14:textId="77777777" w:rsidR="000B0A5B" w:rsidRDefault="004D5575">
      <w:pPr>
        <w:jc w:val="center"/>
        <w:rPr>
          <w:rFonts w:ascii="黑体" w:eastAsia="黑体" w:hAnsi="黑体" w:cs="黑体" w:hint="eastAsia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6093"/>
      </w:tblGrid>
      <w:tr w:rsidR="000B0A5B" w14:paraId="33007E56" w14:textId="77777777">
        <w:trPr>
          <w:trHeight w:val="926"/>
        </w:trPr>
        <w:tc>
          <w:tcPr>
            <w:tcW w:w="1940" w:type="dxa"/>
            <w:shd w:val="clear" w:color="auto" w:fill="D9D9D9"/>
            <w:vAlign w:val="center"/>
          </w:tcPr>
          <w:p w14:paraId="6F19B55D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/>
              </w:rPr>
            </w:pPr>
            <w:proofErr w:type="spellStart"/>
            <w:r>
              <w:rPr>
                <w:rFonts w:cs="Times New Roman"/>
                <w:bCs/>
                <w:color w:val="000000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484FA883" w14:textId="77777777" w:rsidR="000B0A5B" w:rsidRDefault="004D5575">
            <w:pPr>
              <w:adjustRightInd w:val="0"/>
              <w:snapToGri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rFonts w:hint="eastAsia"/>
                <w:bCs/>
                <w:color w:val="000000"/>
                <w:lang w:val="en-US"/>
              </w:rPr>
              <w:t>凯雷集团公司收购欧姆龙株式会社部分业务案</w:t>
            </w:r>
          </w:p>
        </w:tc>
      </w:tr>
      <w:tr w:rsidR="000B0A5B" w14:paraId="7CF4A433" w14:textId="77777777">
        <w:trPr>
          <w:trHeight w:val="1391"/>
        </w:trPr>
        <w:tc>
          <w:tcPr>
            <w:tcW w:w="1940" w:type="dxa"/>
            <w:shd w:val="clear" w:color="auto" w:fill="D9D9D9"/>
            <w:vAlign w:val="center"/>
          </w:tcPr>
          <w:p w14:paraId="34FB6D6E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交易概况（限</w:t>
            </w:r>
            <w:r>
              <w:rPr>
                <w:rFonts w:cs="Times New Roman"/>
                <w:bCs/>
                <w:color w:val="000000"/>
                <w:lang w:eastAsia="zh-CN"/>
              </w:rPr>
              <w:t>200</w:t>
            </w:r>
            <w:r>
              <w:rPr>
                <w:rFonts w:cs="Times New Roman"/>
                <w:bCs/>
                <w:color w:val="000000"/>
                <w:lang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2CA1D3AD" w14:textId="6AE37365" w:rsidR="000B0A5B" w:rsidRDefault="004D5575">
            <w:pPr>
              <w:widowControl w:val="0"/>
              <w:adjustRightInd w:val="0"/>
              <w:snapToGrid w:val="0"/>
              <w:spacing w:after="0"/>
              <w:rPr>
                <w:rFonts w:ascii="Times New Roman Regular" w:hAnsi="Times New Roman Regular" w:cs="Times New Roman Regular"/>
                <w:bCs/>
                <w:color w:val="000000"/>
                <w:lang w:val="en-US"/>
              </w:rPr>
            </w:pPr>
            <w:r>
              <w:rPr>
                <w:rFonts w:hint="eastAsia"/>
                <w:lang w:val="en-US"/>
              </w:rPr>
              <w:t>根据</w:t>
            </w:r>
            <w:r>
              <w:rPr>
                <w:rFonts w:hint="eastAsia"/>
                <w:lang w:val="en-US"/>
              </w:rPr>
              <w:t>2026</w:t>
            </w:r>
            <w:r>
              <w:rPr>
                <w:rFonts w:hint="eastAsia"/>
                <w:lang w:val="en-US"/>
              </w:rPr>
              <w:t>年</w:t>
            </w:r>
            <w:r>
              <w:rPr>
                <w:rFonts w:hint="eastAsia"/>
                <w:lang w:val="en-US"/>
              </w:rPr>
              <w:t>3</w:t>
            </w:r>
            <w:r>
              <w:rPr>
                <w:rFonts w:hint="eastAsia"/>
                <w:lang w:val="en-US"/>
              </w:rPr>
              <w:t>月</w:t>
            </w:r>
            <w:r>
              <w:rPr>
                <w:rFonts w:hint="eastAsia"/>
                <w:lang w:val="en-US"/>
              </w:rPr>
              <w:t>30</w:t>
            </w:r>
            <w:r>
              <w:rPr>
                <w:rFonts w:hint="eastAsia"/>
                <w:lang w:val="en-US"/>
              </w:rPr>
              <w:t>日签署的股权收购协议，凯雷集团公司（“</w:t>
            </w:r>
            <w:r>
              <w:rPr>
                <w:rFonts w:hint="eastAsia"/>
                <w:b/>
                <w:bCs/>
                <w:lang w:val="en-US"/>
              </w:rPr>
              <w:t>凯雷</w:t>
            </w:r>
            <w:r>
              <w:rPr>
                <w:rFonts w:hint="eastAsia"/>
                <w:lang w:val="en-US"/>
              </w:rPr>
              <w:t>”）将通过</w:t>
            </w:r>
            <w:r w:rsidR="00111757">
              <w:rPr>
                <w:rFonts w:hint="eastAsia"/>
                <w:lang w:val="en-US"/>
              </w:rPr>
              <w:t>TCG2602</w:t>
            </w:r>
            <w:r w:rsidR="00111757">
              <w:rPr>
                <w:rFonts w:hint="eastAsia"/>
                <w:lang w:val="en-US"/>
              </w:rPr>
              <w:t>株式会社，</w:t>
            </w:r>
            <w:r>
              <w:rPr>
                <w:rFonts w:hint="eastAsia"/>
                <w:lang w:val="en-US"/>
              </w:rPr>
              <w:t>一家由凯雷关联实体管理或提供咨询的基金</w:t>
            </w:r>
            <w:r w:rsidR="00111757">
              <w:rPr>
                <w:rFonts w:hint="eastAsia"/>
                <w:lang w:val="en-US"/>
              </w:rPr>
              <w:t>最终</w:t>
            </w:r>
            <w:r>
              <w:rPr>
                <w:rFonts w:hint="eastAsia"/>
                <w:lang w:val="en-US"/>
              </w:rPr>
              <w:t>控制的收购实体，收购欧姆龙株式会社（“</w:t>
            </w:r>
            <w:r>
              <w:rPr>
                <w:rFonts w:hint="eastAsia"/>
                <w:b/>
                <w:bCs/>
                <w:lang w:val="en-US"/>
              </w:rPr>
              <w:t>欧姆龙</w:t>
            </w:r>
            <w:r>
              <w:rPr>
                <w:rFonts w:hint="eastAsia"/>
                <w:lang w:val="en-US"/>
              </w:rPr>
              <w:t>”）器件及模块解决方案业务（</w:t>
            </w:r>
            <w:r>
              <w:rPr>
                <w:rFonts w:hint="eastAsia"/>
                <w:b/>
                <w:bCs/>
                <w:lang w:val="en-US"/>
              </w:rPr>
              <w:t>“目标业务”</w:t>
            </w:r>
            <w:r>
              <w:rPr>
                <w:rFonts w:hint="eastAsia"/>
                <w:lang w:val="en-US"/>
              </w:rPr>
              <w:t>）（</w:t>
            </w:r>
            <w:r>
              <w:rPr>
                <w:rFonts w:hint="eastAsia"/>
                <w:b/>
                <w:bCs/>
                <w:lang w:val="en-US"/>
              </w:rPr>
              <w:t>“本次交易”</w:t>
            </w:r>
            <w:r>
              <w:rPr>
                <w:rFonts w:hint="eastAsia"/>
                <w:lang w:val="en-US"/>
              </w:rPr>
              <w:t>）。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目标业务主要</w:t>
            </w:r>
            <w:r w:rsidR="006958DA" w:rsidRPr="00123415">
              <w:rPr>
                <w:rFonts w:hint="eastAsia"/>
              </w:rPr>
              <w:t>从事开关、继电器</w:t>
            </w:r>
            <w:r w:rsidR="008177EF">
              <w:rPr>
                <w:rFonts w:hint="eastAsia"/>
              </w:rPr>
              <w:t>和</w:t>
            </w:r>
            <w:r w:rsidR="006958DA" w:rsidRPr="00123415">
              <w:rPr>
                <w:rFonts w:hint="eastAsia"/>
              </w:rPr>
              <w:t>连接器</w:t>
            </w:r>
            <w:r w:rsidR="0065274C">
              <w:rPr>
                <w:rFonts w:hint="eastAsia"/>
              </w:rPr>
              <w:t>等电子元器件</w:t>
            </w:r>
            <w:r w:rsidR="006958DA" w:rsidRPr="00123415">
              <w:rPr>
                <w:rFonts w:hint="eastAsia"/>
              </w:rPr>
              <w:t>的研发、制造和销售</w:t>
            </w:r>
            <w:r>
              <w:rPr>
                <w:rFonts w:ascii="Times New Roman Regular" w:hAnsi="Times New Roman Regular" w:cs="Times New Roman Regular"/>
                <w:bCs/>
                <w:color w:val="000000"/>
                <w:lang w:val="en-US"/>
              </w:rPr>
              <w:t>。</w:t>
            </w:r>
          </w:p>
          <w:p w14:paraId="57426EF6" w14:textId="77777777" w:rsidR="000B0A5B" w:rsidRDefault="000B0A5B">
            <w:pPr>
              <w:widowControl w:val="0"/>
              <w:adjustRightInd w:val="0"/>
              <w:snapToGrid w:val="0"/>
              <w:spacing w:after="0"/>
              <w:rPr>
                <w:lang w:val="en-US"/>
              </w:rPr>
            </w:pPr>
          </w:p>
          <w:p w14:paraId="2AA7A86A" w14:textId="77777777" w:rsidR="000B0A5B" w:rsidRDefault="004D5575">
            <w:pPr>
              <w:widowControl w:val="0"/>
              <w:adjustRightInd w:val="0"/>
              <w:snapToGrid w:val="0"/>
              <w:spacing w:after="0"/>
              <w:rPr>
                <w:lang w:val="en-US"/>
              </w:rPr>
            </w:pPr>
            <w:r>
              <w:rPr>
                <w:rFonts w:hint="eastAsia"/>
                <w:lang w:val="en-US"/>
              </w:rPr>
              <w:t>本次交易前，</w:t>
            </w:r>
            <w:r w:rsidR="007E4BD0">
              <w:rPr>
                <w:rFonts w:hint="eastAsia"/>
                <w:lang w:val="en-US"/>
              </w:rPr>
              <w:t>欧姆龙持有目标业务</w:t>
            </w:r>
            <w:r w:rsidR="007E4BD0">
              <w:rPr>
                <w:rFonts w:hint="eastAsia"/>
                <w:lang w:val="en-US"/>
              </w:rPr>
              <w:t>100%</w:t>
            </w:r>
            <w:r w:rsidR="007E4BD0">
              <w:rPr>
                <w:rFonts w:hint="eastAsia"/>
                <w:lang w:val="en-US"/>
              </w:rPr>
              <w:t>的股权，单独控制目标业务</w:t>
            </w:r>
            <w:r>
              <w:rPr>
                <w:rFonts w:hint="eastAsia"/>
                <w:lang w:val="en-US"/>
              </w:rPr>
              <w:t>。</w:t>
            </w:r>
            <w:r w:rsidR="006A6AAA" w:rsidRPr="00123415">
              <w:rPr>
                <w:rFonts w:hint="eastAsia"/>
              </w:rPr>
              <w:t>本次交易后，凯雷</w:t>
            </w:r>
            <w:r w:rsidR="006A6AAA">
              <w:rPr>
                <w:rFonts w:hint="eastAsia"/>
              </w:rPr>
              <w:t>将</w:t>
            </w:r>
            <w:r w:rsidR="006A6AAA" w:rsidRPr="00123415">
              <w:rPr>
                <w:rFonts w:hint="eastAsia"/>
              </w:rPr>
              <w:t>间接</w:t>
            </w:r>
            <w:r w:rsidR="006A6AAA">
              <w:rPr>
                <w:rFonts w:hint="eastAsia"/>
              </w:rPr>
              <w:t>持有</w:t>
            </w:r>
            <w:r w:rsidR="006A6AAA" w:rsidRPr="00452E2D">
              <w:rPr>
                <w:rFonts w:hint="eastAsia"/>
              </w:rPr>
              <w:t>目标业务</w:t>
            </w:r>
            <w:r w:rsidR="006A6AAA">
              <w:rPr>
                <w:rFonts w:hint="eastAsia"/>
              </w:rPr>
              <w:t>95%</w:t>
            </w:r>
            <w:r w:rsidR="006A6AAA">
              <w:rPr>
                <w:rFonts w:hint="eastAsia"/>
              </w:rPr>
              <w:t>的股权并</w:t>
            </w:r>
            <w:r w:rsidR="006A6AAA" w:rsidRPr="00123415">
              <w:rPr>
                <w:rFonts w:hint="eastAsia"/>
              </w:rPr>
              <w:t>单独控制</w:t>
            </w:r>
            <w:r w:rsidR="006A6AAA">
              <w:rPr>
                <w:rFonts w:hint="eastAsia"/>
              </w:rPr>
              <w:t>目标业务</w:t>
            </w:r>
            <w:r w:rsidR="006A6AAA" w:rsidRPr="00123415">
              <w:rPr>
                <w:rFonts w:hint="eastAsia"/>
              </w:rPr>
              <w:t>。</w:t>
            </w:r>
          </w:p>
        </w:tc>
      </w:tr>
      <w:tr w:rsidR="000B0A5B" w14:paraId="725D39EA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504C337C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参与集中的经营者简介（每个限</w:t>
            </w:r>
            <w:r>
              <w:rPr>
                <w:rFonts w:cs="Times New Roman"/>
                <w:bCs/>
                <w:color w:val="000000"/>
                <w:lang w:val="en-US" w:eastAsia="zh-CN"/>
              </w:rPr>
              <w:t>100</w:t>
            </w:r>
            <w:r>
              <w:rPr>
                <w:rFonts w:cs="Times New Roman"/>
                <w:bCs/>
                <w:color w:val="000000"/>
                <w:lang w:val="en-US" w:eastAsia="zh-CN"/>
              </w:rPr>
              <w:t>字以内</w:t>
            </w:r>
            <w:r>
              <w:rPr>
                <w:rFonts w:cs="Times New Roman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165FF8BC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bCs/>
                <w:color w:val="000000"/>
                <w:lang w:eastAsia="zh-CN"/>
              </w:rPr>
            </w:pPr>
            <w:r>
              <w:rPr>
                <w:rFonts w:cs="Times New Roman" w:hint="eastAsia"/>
                <w:b/>
                <w:bCs/>
                <w:color w:val="000000"/>
                <w:lang w:eastAsia="zh-CN"/>
              </w:rPr>
              <w:t>凯雷</w:t>
            </w:r>
          </w:p>
        </w:tc>
        <w:tc>
          <w:tcPr>
            <w:tcW w:w="6093" w:type="dxa"/>
            <w:vAlign w:val="center"/>
          </w:tcPr>
          <w:p w14:paraId="7AD61238" w14:textId="6079E807" w:rsidR="000B0A5B" w:rsidRDefault="004D5575">
            <w:pPr>
              <w:snapToGrid w:val="0"/>
              <w:spacing w:after="0"/>
              <w:rPr>
                <w:highlight w:val="lightGray"/>
              </w:rPr>
            </w:pPr>
            <w:r w:rsidRPr="00516FD3">
              <w:rPr>
                <w:rFonts w:hint="eastAsia"/>
              </w:rPr>
              <w:t>凯雷于</w:t>
            </w:r>
            <w:r w:rsidRPr="00516FD3">
              <w:t>2011</w:t>
            </w:r>
            <w:r w:rsidRPr="00516FD3">
              <w:rPr>
                <w:rFonts w:hint="eastAsia"/>
              </w:rPr>
              <w:t>年</w:t>
            </w:r>
            <w:r w:rsidRPr="00516FD3">
              <w:t>7</w:t>
            </w:r>
            <w:r w:rsidRPr="00516FD3">
              <w:rPr>
                <w:rFonts w:hint="eastAsia"/>
              </w:rPr>
              <w:t>月</w:t>
            </w:r>
            <w:r w:rsidRPr="00516FD3">
              <w:t>18</w:t>
            </w:r>
            <w:r w:rsidRPr="00516FD3">
              <w:rPr>
                <w:rFonts w:hint="eastAsia"/>
              </w:rPr>
              <w:t>日在美国成立，并在纳斯达克全球精选市场上市。凯雷</w:t>
            </w:r>
            <w:r w:rsidR="007E4BD0">
              <w:rPr>
                <w:rFonts w:hint="eastAsia"/>
              </w:rPr>
              <w:t>主要</w:t>
            </w:r>
            <w:r w:rsidR="00B323A3" w:rsidRPr="00B323A3">
              <w:rPr>
                <w:rFonts w:hint="eastAsia"/>
              </w:rPr>
              <w:t>通过全球私募股权、全球信贷以及全球投资解决方案</w:t>
            </w:r>
            <w:r w:rsidR="00B43A8F">
              <w:rPr>
                <w:rFonts w:hint="eastAsia"/>
              </w:rPr>
              <w:t>从事私募资本运营业务</w:t>
            </w:r>
            <w:r w:rsidR="00B323A3" w:rsidRPr="00B323A3">
              <w:rPr>
                <w:rFonts w:hint="eastAsia"/>
              </w:rPr>
              <w:t>。</w:t>
            </w:r>
          </w:p>
          <w:p w14:paraId="0185EAF4" w14:textId="77777777" w:rsidR="000B0A5B" w:rsidRPr="00516FD3" w:rsidRDefault="000B0A5B">
            <w:pPr>
              <w:snapToGrid w:val="0"/>
              <w:spacing w:after="0"/>
              <w:jc w:val="left"/>
            </w:pPr>
          </w:p>
          <w:p w14:paraId="099348D1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ascii="Times New Roman Regular" w:hAnsi="Times New Roman Regular" w:cs="Times New Roman Regular"/>
                <w:color w:val="000000"/>
                <w:highlight w:val="lightGray"/>
                <w:lang w:val="en-US" w:eastAsia="zh-CN"/>
              </w:rPr>
            </w:pPr>
            <w:r w:rsidRPr="00516FD3">
              <w:rPr>
                <w:rFonts w:hint="eastAsia"/>
                <w:lang w:eastAsia="zh-CN"/>
              </w:rPr>
              <w:t>凯雷无最终控制人。</w:t>
            </w:r>
          </w:p>
        </w:tc>
      </w:tr>
      <w:tr w:rsidR="000B0A5B" w14:paraId="776B327E" w14:textId="77777777">
        <w:trPr>
          <w:trHeight w:val="984"/>
        </w:trPr>
        <w:tc>
          <w:tcPr>
            <w:tcW w:w="1940" w:type="dxa"/>
            <w:vMerge/>
            <w:shd w:val="clear" w:color="auto" w:fill="D9D9D9"/>
            <w:vAlign w:val="center"/>
          </w:tcPr>
          <w:p w14:paraId="7D83AFFE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40038DBF" w14:textId="77777777" w:rsidR="000B0A5B" w:rsidRDefault="00577E63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>
              <w:rPr>
                <w:rFonts w:cs="Times New Roman" w:hint="eastAsia"/>
                <w:b/>
                <w:color w:val="000000"/>
                <w:lang w:eastAsia="zh-CN"/>
              </w:rPr>
              <w:t>目标业务</w:t>
            </w:r>
          </w:p>
        </w:tc>
        <w:tc>
          <w:tcPr>
            <w:tcW w:w="6093" w:type="dxa"/>
            <w:vAlign w:val="center"/>
          </w:tcPr>
          <w:p w14:paraId="6361B692" w14:textId="6065005F" w:rsidR="000B0A5B" w:rsidRDefault="004D5575">
            <w:pPr>
              <w:adjustRightInd w:val="0"/>
              <w:snapToGrid w:val="0"/>
              <w:spacing w:after="0"/>
              <w:rPr>
                <w:rFonts w:ascii="Times New Roman Regular" w:hAnsi="Times New Roman Regular" w:cs="Times New Roman Regular"/>
                <w:bCs/>
                <w:color w:val="000000"/>
                <w:lang w:val="en-US"/>
              </w:rPr>
            </w:pP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目标业务主要</w:t>
            </w:r>
            <w:r w:rsidR="00491F8B" w:rsidRPr="00123415">
              <w:rPr>
                <w:rFonts w:hint="eastAsia"/>
              </w:rPr>
              <w:t>从事开关、继电器</w:t>
            </w:r>
            <w:r w:rsidR="008177EF">
              <w:rPr>
                <w:rFonts w:hint="eastAsia"/>
              </w:rPr>
              <w:t>和</w:t>
            </w:r>
            <w:r w:rsidR="00491F8B" w:rsidRPr="00123415">
              <w:rPr>
                <w:rFonts w:hint="eastAsia"/>
              </w:rPr>
              <w:t>连接器</w:t>
            </w:r>
            <w:r w:rsidR="0065274C">
              <w:rPr>
                <w:rFonts w:hint="eastAsia"/>
              </w:rPr>
              <w:t>等电子元器件</w:t>
            </w:r>
            <w:r w:rsidR="00491F8B" w:rsidRPr="00123415">
              <w:rPr>
                <w:rFonts w:hint="eastAsia"/>
              </w:rPr>
              <w:t>的研发、制造和销售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。</w:t>
            </w:r>
          </w:p>
          <w:p w14:paraId="36A5E53E" w14:textId="77777777" w:rsidR="000B0A5B" w:rsidRDefault="000B0A5B">
            <w:pPr>
              <w:adjustRightInd w:val="0"/>
              <w:snapToGrid w:val="0"/>
              <w:spacing w:after="0"/>
              <w:rPr>
                <w:rFonts w:ascii="Times New Roman Regular" w:hAnsi="Times New Roman Regular" w:cs="Times New Roman Regular"/>
                <w:bCs/>
                <w:color w:val="000000"/>
                <w:lang w:val="en-US"/>
              </w:rPr>
            </w:pPr>
          </w:p>
          <w:p w14:paraId="15584C13" w14:textId="77777777" w:rsidR="000B0A5B" w:rsidRDefault="004D5575">
            <w:pPr>
              <w:adjustRightInd w:val="0"/>
              <w:snapToGrid w:val="0"/>
              <w:spacing w:after="0"/>
              <w:rPr>
                <w:rFonts w:ascii="Times New Roman Regular" w:hAnsi="Times New Roman Regular" w:cs="Times New Roman Regular"/>
                <w:bCs/>
                <w:color w:val="000000"/>
              </w:rPr>
            </w:pP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目标业务</w:t>
            </w:r>
            <w:r w:rsidR="007E4BD0"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的最终控制人为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欧姆龙</w:t>
            </w:r>
            <w:r w:rsidR="00D427E2"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。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欧姆龙</w:t>
            </w:r>
            <w:r w:rsidR="007E4BD0"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主要从事</w:t>
            </w:r>
            <w:r w:rsidRPr="00577E63"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工业自动化、器件与模块解决方案、数据解决方案、社会系统和医疗健康业务</w:t>
            </w:r>
            <w:r>
              <w:rPr>
                <w:rFonts w:ascii="Times New Roman Regular" w:hAnsi="Times New Roman Regular" w:cs="Times New Roman Regular" w:hint="eastAsia"/>
                <w:bCs/>
                <w:color w:val="000000"/>
                <w:lang w:val="en-US"/>
              </w:rPr>
              <w:t>。</w:t>
            </w:r>
          </w:p>
        </w:tc>
      </w:tr>
      <w:tr w:rsidR="000B0A5B" w14:paraId="7404F8BC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667CF173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6247B559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00FE"/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zh-CN"/>
              </w:rPr>
              <w:t>1</w:t>
            </w:r>
            <w:r>
              <w:rPr>
                <w:rFonts w:cs="Times New Roman"/>
                <w:bCs/>
                <w:color w:val="000000"/>
                <w:lang w:eastAsia="zh-CN"/>
              </w:rPr>
              <w:t>、在同一相关市场，所有参与集中的经营者所占市场份额之和小于</w:t>
            </w:r>
            <w:r>
              <w:rPr>
                <w:rFonts w:cs="Times New Roman"/>
                <w:bCs/>
                <w:color w:val="000000"/>
                <w:lang w:eastAsia="zh-CN"/>
              </w:rPr>
              <w:t>15%</w:t>
            </w:r>
            <w:r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0B0A5B" w14:paraId="1B12D5E3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7DC74997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15F2B73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2</w:t>
            </w:r>
            <w:r>
              <w:rPr>
                <w:rFonts w:cs="Times New Roman"/>
                <w:bCs/>
                <w:color w:val="000000"/>
                <w:lang w:eastAsia="zh-CN"/>
              </w:rPr>
              <w:t>、存在上下游关系的参与集中的经营者，在上下游市场所占的市场份额均小于</w:t>
            </w:r>
            <w:r>
              <w:rPr>
                <w:rFonts w:cs="Times New Roman"/>
                <w:bCs/>
                <w:color w:val="000000"/>
                <w:lang w:eastAsia="zh-CN"/>
              </w:rPr>
              <w:t>25%</w:t>
            </w:r>
            <w:r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0B0A5B" w14:paraId="793B4CB6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3CA429A6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0DEAA63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00FE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3</w:t>
            </w:r>
            <w:r>
              <w:rPr>
                <w:rFonts w:cs="Times New Roman"/>
                <w:bCs/>
                <w:color w:val="000000"/>
                <w:lang w:eastAsia="zh-CN"/>
              </w:rPr>
              <w:t>、不在同一相关市场、也不存在上下游关系的参与集中的经营者，在与交易有关的每个市场所占的份额均小于</w:t>
            </w:r>
            <w:r>
              <w:rPr>
                <w:rFonts w:cs="Times New Roman"/>
                <w:bCs/>
                <w:color w:val="000000"/>
                <w:lang w:eastAsia="zh-CN"/>
              </w:rPr>
              <w:t>25%</w:t>
            </w:r>
            <w:r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0B0A5B" w14:paraId="3B37DC49" w14:textId="77777777">
        <w:trPr>
          <w:trHeight w:val="732"/>
        </w:trPr>
        <w:tc>
          <w:tcPr>
            <w:tcW w:w="1940" w:type="dxa"/>
            <w:vMerge/>
            <w:shd w:val="clear" w:color="auto" w:fill="D9D9D9"/>
            <w:vAlign w:val="center"/>
          </w:tcPr>
          <w:p w14:paraId="72FADD86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D11495B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4</w:t>
            </w:r>
            <w:r>
              <w:rPr>
                <w:rFonts w:cs="Times New Roman"/>
                <w:bCs/>
                <w:color w:val="000000"/>
                <w:lang w:eastAsia="zh-CN"/>
              </w:rPr>
              <w:t>、参与集中的经营者在中国境外设立合营企业，合营企业不在中国境内从事经济活动。</w:t>
            </w:r>
          </w:p>
        </w:tc>
      </w:tr>
      <w:tr w:rsidR="000B0A5B" w14:paraId="20ADAF4E" w14:textId="77777777">
        <w:trPr>
          <w:trHeight w:val="702"/>
        </w:trPr>
        <w:tc>
          <w:tcPr>
            <w:tcW w:w="1940" w:type="dxa"/>
            <w:vMerge/>
            <w:shd w:val="clear" w:color="auto" w:fill="D9D9D9"/>
            <w:vAlign w:val="center"/>
          </w:tcPr>
          <w:p w14:paraId="690AA725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8BB3358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5</w:t>
            </w:r>
            <w:r>
              <w:rPr>
                <w:rFonts w:cs="Times New Roman"/>
                <w:bCs/>
                <w:color w:val="000000"/>
                <w:lang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0B0A5B" w14:paraId="5FA34A2B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422B123C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9676BE8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/>
                <w:lang w:eastAsia="zh-CN"/>
              </w:rPr>
              <w:t xml:space="preserve"> 6</w:t>
            </w:r>
            <w:r>
              <w:rPr>
                <w:rFonts w:cs="Times New Roman"/>
                <w:bCs/>
                <w:color w:val="000000"/>
                <w:lang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0B0A5B" w14:paraId="436311C9" w14:textId="77777777">
        <w:trPr>
          <w:trHeight w:val="1290"/>
        </w:trPr>
        <w:tc>
          <w:tcPr>
            <w:tcW w:w="1940" w:type="dxa"/>
            <w:shd w:val="clear" w:color="auto" w:fill="D9D9D9"/>
            <w:vAlign w:val="center"/>
          </w:tcPr>
          <w:p w14:paraId="166137E1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/>
                <w:bCs/>
                <w:color w:val="000000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2AA96790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>
              <w:rPr>
                <w:rFonts w:cs="Times New Roman" w:hint="eastAsia"/>
                <w:b/>
                <w:color w:val="000000"/>
                <w:lang w:val="en-US" w:eastAsia="zh-CN"/>
              </w:rPr>
              <w:t>横向重叠：</w:t>
            </w:r>
          </w:p>
          <w:p w14:paraId="3FF6DB53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2025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年中国境内</w:t>
            </w:r>
            <w:r w:rsidR="00891034">
              <w:rPr>
                <w:rFonts w:cs="Times New Roman" w:hint="eastAsia"/>
                <w:bCs/>
                <w:color w:val="000000"/>
                <w:lang w:val="en-US" w:eastAsia="zh-CN"/>
              </w:rPr>
              <w:t>功率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继电器市场：</w:t>
            </w:r>
          </w:p>
          <w:p w14:paraId="7C48DB16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凯雷：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0-5%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；目标业务：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0-5%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；合计：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0-5%</w:t>
            </w:r>
          </w:p>
          <w:p w14:paraId="1209D654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2025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年中国境内通用机电开关市场：</w:t>
            </w:r>
          </w:p>
          <w:p w14:paraId="1E700765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凯雷：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%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；目标业务：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%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；合计：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%</w:t>
            </w:r>
          </w:p>
          <w:p w14:paraId="4AD86DFB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2025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年中国境内连接器市场：</w:t>
            </w:r>
          </w:p>
          <w:p w14:paraId="6C000A2D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凯雷：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%</w:t>
            </w:r>
            <w:r>
              <w:rPr>
                <w:rFonts w:cs="Times New Roman" w:hint="eastAsia"/>
                <w:bCs/>
                <w:lang w:val="en-US" w:eastAsia="zh-CN"/>
              </w:rPr>
              <w:t>；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目标业务：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%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；合计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%</w:t>
            </w:r>
          </w:p>
          <w:p w14:paraId="589351F0" w14:textId="77777777" w:rsidR="000B0A5B" w:rsidRDefault="000B0A5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</w:p>
          <w:p w14:paraId="26BB4C1D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>
              <w:rPr>
                <w:rFonts w:cs="Times New Roman" w:hint="eastAsia"/>
                <w:b/>
                <w:color w:val="000000"/>
                <w:lang w:val="en-US" w:eastAsia="zh-CN"/>
              </w:rPr>
              <w:t>混合集中：</w:t>
            </w:r>
          </w:p>
          <w:p w14:paraId="7A63CBE6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2025</w:t>
            </w:r>
            <w:r>
              <w:rPr>
                <w:rFonts w:hint="eastAsia"/>
                <w:color w:val="000000"/>
                <w:lang w:val="en-US" w:eastAsia="zh-CN"/>
              </w:rPr>
              <w:t>年中国境内信号继电器市场：</w:t>
            </w:r>
          </w:p>
          <w:p w14:paraId="61922ED0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目标业务：</w:t>
            </w: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10-15</w:t>
            </w:r>
            <w:r w:rsidRPr="00577E63">
              <w:rPr>
                <w:rFonts w:cs="Times New Roman"/>
                <w:bCs/>
                <w:color w:val="000000"/>
                <w:lang w:val="en-US" w:eastAsia="zh-CN"/>
              </w:rPr>
              <w:t>%</w:t>
            </w:r>
          </w:p>
          <w:p w14:paraId="401ACFEF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2025</w:t>
            </w:r>
            <w:r>
              <w:rPr>
                <w:rFonts w:hint="eastAsia"/>
                <w:color w:val="000000"/>
                <w:lang w:val="en-US" w:eastAsia="zh-CN"/>
              </w:rPr>
              <w:t>年中国境内汽车用开关市场：</w:t>
            </w:r>
          </w:p>
          <w:p w14:paraId="5FA7CCA7" w14:textId="77777777" w:rsidR="000B0A5B" w:rsidRDefault="004D5575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/>
                <w:lang w:val="en-US" w:eastAsia="zh-CN"/>
              </w:rPr>
              <w:t>目标业务：</w:t>
            </w:r>
            <w:r w:rsidRPr="00577E63">
              <w:rPr>
                <w:rFonts w:cs="Times New Roman" w:hint="eastAsia"/>
                <w:bCs/>
                <w:color w:val="000000"/>
                <w:lang w:val="en-US" w:eastAsia="zh-CN"/>
              </w:rPr>
              <w:t>0-5</w:t>
            </w:r>
            <w:r w:rsidRPr="00577E63">
              <w:rPr>
                <w:rFonts w:cs="Times New Roman"/>
                <w:bCs/>
                <w:color w:val="000000"/>
                <w:lang w:val="en-US" w:eastAsia="zh-CN"/>
              </w:rPr>
              <w:t>%</w:t>
            </w:r>
          </w:p>
        </w:tc>
      </w:tr>
    </w:tbl>
    <w:p w14:paraId="4AAE342B" w14:textId="77777777" w:rsidR="000B0A5B" w:rsidRDefault="000B0A5B">
      <w:pPr>
        <w:pStyle w:val="a0"/>
        <w:adjustRightInd w:val="0"/>
        <w:snapToGrid w:val="0"/>
        <w:spacing w:after="0"/>
        <w:rPr>
          <w:rFonts w:ascii="宋体" w:hAnsi="宋体" w:cs="宋体" w:hint="eastAsia"/>
          <w:bCs/>
          <w:color w:val="000000"/>
          <w:sz w:val="28"/>
          <w:szCs w:val="28"/>
          <w:lang w:eastAsia="zh-CN"/>
        </w:rPr>
      </w:pPr>
    </w:p>
    <w:p w14:paraId="181441E5" w14:textId="77777777" w:rsidR="000B0A5B" w:rsidRDefault="000B0A5B"/>
    <w:p w14:paraId="5C30B3B9" w14:textId="77777777" w:rsidR="000B0A5B" w:rsidRDefault="004D5575">
      <w:pPr>
        <w:tabs>
          <w:tab w:val="left" w:pos="5542"/>
        </w:tabs>
        <w:jc w:val="left"/>
        <w:rPr>
          <w:lang w:val="en-US"/>
        </w:rPr>
      </w:pPr>
      <w:r>
        <w:rPr>
          <w:lang w:val="en-US"/>
        </w:rPr>
        <w:tab/>
      </w:r>
    </w:p>
    <w:sectPr w:rsidR="000B0A5B">
      <w:footerReference w:type="default" r:id="rId8"/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4B09" w14:textId="77777777" w:rsidR="00F81320" w:rsidRDefault="00F81320">
      <w:pPr>
        <w:spacing w:after="0"/>
      </w:pPr>
      <w:r>
        <w:separator/>
      </w:r>
    </w:p>
  </w:endnote>
  <w:endnote w:type="continuationSeparator" w:id="0">
    <w:p w14:paraId="22D9D368" w14:textId="77777777" w:rsidR="00F81320" w:rsidRDefault="00F813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PINGFANG SC SEMIBOLD">
    <w:charset w:val="86"/>
    <w:family w:val="swiss"/>
    <w:pitch w:val="variable"/>
    <w:sig w:usb0="A00002FF" w:usb1="7ACFFDFB" w:usb2="00000017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07"/>
      <w:gridCol w:w="3011"/>
      <w:gridCol w:w="3008"/>
    </w:tblGrid>
    <w:tr w:rsidR="000B0A5B" w14:paraId="425A7558" w14:textId="77777777">
      <w:tc>
        <w:tcPr>
          <w:tcW w:w="3080" w:type="dxa"/>
        </w:tcPr>
        <w:p w14:paraId="1B3A280C" w14:textId="77777777" w:rsidR="000B0A5B" w:rsidRDefault="000B0A5B">
          <w:pPr>
            <w:pStyle w:val="aff4"/>
          </w:pPr>
        </w:p>
      </w:tc>
      <w:tc>
        <w:tcPr>
          <w:tcW w:w="3081" w:type="dxa"/>
        </w:tcPr>
        <w:p w14:paraId="211F15ED" w14:textId="77777777" w:rsidR="000B0A5B" w:rsidRDefault="004D5575">
          <w:pPr>
            <w:pStyle w:val="aff4"/>
            <w:jc w:val="center"/>
            <w:rPr>
              <w:rStyle w:val="affff2"/>
              <w:rFonts w:cs="Times New Roman"/>
            </w:rPr>
          </w:pPr>
          <w:r>
            <w:rPr>
              <w:rStyle w:val="affff2"/>
              <w:rFonts w:cs="Times New Roman"/>
            </w:rPr>
            <w:t xml:space="preserve">- </w:t>
          </w:r>
          <w:r>
            <w:rPr>
              <w:rStyle w:val="affff2"/>
              <w:rFonts w:cs="Times New Roman"/>
            </w:rPr>
            <w:fldChar w:fldCharType="begin"/>
          </w:r>
          <w:r>
            <w:rPr>
              <w:rStyle w:val="affff2"/>
              <w:rFonts w:cs="Times New Roman"/>
            </w:rPr>
            <w:instrText xml:space="preserve"> PAGE   \* MERGEFORMAT </w:instrText>
          </w:r>
          <w:r>
            <w:rPr>
              <w:rStyle w:val="affff2"/>
              <w:rFonts w:cs="Times New Roman"/>
            </w:rPr>
            <w:fldChar w:fldCharType="separate"/>
          </w:r>
          <w:r>
            <w:rPr>
              <w:rStyle w:val="affff2"/>
              <w:rFonts w:cs="Times New Roman"/>
              <w:lang w:val="en-US"/>
            </w:rPr>
            <w:t>2</w:t>
          </w:r>
          <w:r>
            <w:rPr>
              <w:rStyle w:val="affff2"/>
              <w:rFonts w:cs="Times New Roman"/>
            </w:rPr>
            <w:fldChar w:fldCharType="end"/>
          </w:r>
          <w:r>
            <w:rPr>
              <w:rStyle w:val="affff2"/>
              <w:rFonts w:cs="Times New Roman"/>
            </w:rPr>
            <w:t xml:space="preserve"> -</w:t>
          </w:r>
        </w:p>
      </w:tc>
      <w:tc>
        <w:tcPr>
          <w:tcW w:w="3081" w:type="dxa"/>
        </w:tcPr>
        <w:p w14:paraId="4098D61A" w14:textId="77777777" w:rsidR="000B0A5B" w:rsidRDefault="000B0A5B">
          <w:pPr>
            <w:pStyle w:val="FooterRight"/>
          </w:pPr>
        </w:p>
      </w:tc>
    </w:tr>
  </w:tbl>
  <w:p w14:paraId="235478E7" w14:textId="77777777" w:rsidR="000B0A5B" w:rsidRDefault="000B0A5B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88C1C" w14:textId="77777777" w:rsidR="00F81320" w:rsidRDefault="00F81320">
      <w:pPr>
        <w:spacing w:after="0"/>
      </w:pPr>
      <w:r>
        <w:separator/>
      </w:r>
    </w:p>
  </w:footnote>
  <w:footnote w:type="continuationSeparator" w:id="0">
    <w:p w14:paraId="35A2911C" w14:textId="77777777" w:rsidR="00F81320" w:rsidRDefault="00F813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left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left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left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left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left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left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left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833683520">
    <w:abstractNumId w:val="2"/>
  </w:num>
  <w:num w:numId="2" w16cid:durableId="1173640804">
    <w:abstractNumId w:val="0"/>
  </w:num>
  <w:num w:numId="3" w16cid:durableId="518084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UzYzcxMTc1MjU4MTQzNWM4OTE0MmQ1NGJmNTFiOWYifQ=="/>
  </w:docVars>
  <w:rsids>
    <w:rsidRoot w:val="00C51ECC"/>
    <w:rsid w:val="000024FF"/>
    <w:rsid w:val="000027BD"/>
    <w:rsid w:val="000150B7"/>
    <w:rsid w:val="000153D4"/>
    <w:rsid w:val="00021AB2"/>
    <w:rsid w:val="00023BB5"/>
    <w:rsid w:val="0002587B"/>
    <w:rsid w:val="000326C8"/>
    <w:rsid w:val="00041C40"/>
    <w:rsid w:val="0004292A"/>
    <w:rsid w:val="000467AA"/>
    <w:rsid w:val="00050C41"/>
    <w:rsid w:val="00062616"/>
    <w:rsid w:val="000735C2"/>
    <w:rsid w:val="00073E6B"/>
    <w:rsid w:val="0007723F"/>
    <w:rsid w:val="00077D60"/>
    <w:rsid w:val="00083590"/>
    <w:rsid w:val="00091C54"/>
    <w:rsid w:val="00092F4E"/>
    <w:rsid w:val="00093CFF"/>
    <w:rsid w:val="000B0A5B"/>
    <w:rsid w:val="000B58E5"/>
    <w:rsid w:val="000B653C"/>
    <w:rsid w:val="000C3A50"/>
    <w:rsid w:val="000C6953"/>
    <w:rsid w:val="000C7316"/>
    <w:rsid w:val="000D34CE"/>
    <w:rsid w:val="000E29A9"/>
    <w:rsid w:val="000E3A81"/>
    <w:rsid w:val="000F3294"/>
    <w:rsid w:val="000F5955"/>
    <w:rsid w:val="00107D81"/>
    <w:rsid w:val="00107E19"/>
    <w:rsid w:val="00111757"/>
    <w:rsid w:val="00115F62"/>
    <w:rsid w:val="00123E26"/>
    <w:rsid w:val="00127941"/>
    <w:rsid w:val="00133AB5"/>
    <w:rsid w:val="00136180"/>
    <w:rsid w:val="00145B05"/>
    <w:rsid w:val="00146E1A"/>
    <w:rsid w:val="00161F1A"/>
    <w:rsid w:val="001639D8"/>
    <w:rsid w:val="001840A2"/>
    <w:rsid w:val="00186A05"/>
    <w:rsid w:val="001965E2"/>
    <w:rsid w:val="001A2DA2"/>
    <w:rsid w:val="001A6404"/>
    <w:rsid w:val="001B4588"/>
    <w:rsid w:val="001B4EA1"/>
    <w:rsid w:val="001C3A0F"/>
    <w:rsid w:val="001C5840"/>
    <w:rsid w:val="001D1555"/>
    <w:rsid w:val="001D1B31"/>
    <w:rsid w:val="001D6168"/>
    <w:rsid w:val="001E0C75"/>
    <w:rsid w:val="001E0F1F"/>
    <w:rsid w:val="001F0A62"/>
    <w:rsid w:val="001F0C8C"/>
    <w:rsid w:val="001F346E"/>
    <w:rsid w:val="001F35AA"/>
    <w:rsid w:val="001F367B"/>
    <w:rsid w:val="001F60B8"/>
    <w:rsid w:val="00203E55"/>
    <w:rsid w:val="00224A7C"/>
    <w:rsid w:val="00225D8D"/>
    <w:rsid w:val="002278D1"/>
    <w:rsid w:val="002307D4"/>
    <w:rsid w:val="00231665"/>
    <w:rsid w:val="00233737"/>
    <w:rsid w:val="002403B5"/>
    <w:rsid w:val="00244473"/>
    <w:rsid w:val="00245281"/>
    <w:rsid w:val="00245768"/>
    <w:rsid w:val="00250E61"/>
    <w:rsid w:val="00253837"/>
    <w:rsid w:val="002575A4"/>
    <w:rsid w:val="00261F94"/>
    <w:rsid w:val="00267941"/>
    <w:rsid w:val="00272AAF"/>
    <w:rsid w:val="00284577"/>
    <w:rsid w:val="002854E5"/>
    <w:rsid w:val="00287E91"/>
    <w:rsid w:val="00291652"/>
    <w:rsid w:val="002936C1"/>
    <w:rsid w:val="002964A1"/>
    <w:rsid w:val="002A25F2"/>
    <w:rsid w:val="002A3D2D"/>
    <w:rsid w:val="002A7A65"/>
    <w:rsid w:val="002A7C26"/>
    <w:rsid w:val="002E4883"/>
    <w:rsid w:val="002E5748"/>
    <w:rsid w:val="002E608E"/>
    <w:rsid w:val="002E7058"/>
    <w:rsid w:val="002F09A7"/>
    <w:rsid w:val="002F5271"/>
    <w:rsid w:val="002F7F2D"/>
    <w:rsid w:val="00306B88"/>
    <w:rsid w:val="00310488"/>
    <w:rsid w:val="00311263"/>
    <w:rsid w:val="00321881"/>
    <w:rsid w:val="0032334B"/>
    <w:rsid w:val="003263BC"/>
    <w:rsid w:val="003309C6"/>
    <w:rsid w:val="003324B2"/>
    <w:rsid w:val="0034107F"/>
    <w:rsid w:val="00344087"/>
    <w:rsid w:val="00344D27"/>
    <w:rsid w:val="00345D66"/>
    <w:rsid w:val="003527A6"/>
    <w:rsid w:val="00352F0D"/>
    <w:rsid w:val="00353FE6"/>
    <w:rsid w:val="003558BA"/>
    <w:rsid w:val="0035604C"/>
    <w:rsid w:val="00371332"/>
    <w:rsid w:val="00374551"/>
    <w:rsid w:val="003748F3"/>
    <w:rsid w:val="00376A82"/>
    <w:rsid w:val="003850D4"/>
    <w:rsid w:val="00385F00"/>
    <w:rsid w:val="003866EF"/>
    <w:rsid w:val="00386FBA"/>
    <w:rsid w:val="00394F33"/>
    <w:rsid w:val="003A4565"/>
    <w:rsid w:val="003B27EC"/>
    <w:rsid w:val="003B2F86"/>
    <w:rsid w:val="003B3FB5"/>
    <w:rsid w:val="003B4439"/>
    <w:rsid w:val="003B4C9E"/>
    <w:rsid w:val="003B7CBC"/>
    <w:rsid w:val="003C3456"/>
    <w:rsid w:val="003C6DCD"/>
    <w:rsid w:val="003E3B57"/>
    <w:rsid w:val="003E73DB"/>
    <w:rsid w:val="003F0765"/>
    <w:rsid w:val="00400DCA"/>
    <w:rsid w:val="00410914"/>
    <w:rsid w:val="004119F5"/>
    <w:rsid w:val="004166B2"/>
    <w:rsid w:val="004203EF"/>
    <w:rsid w:val="00422142"/>
    <w:rsid w:val="0042509F"/>
    <w:rsid w:val="00427E52"/>
    <w:rsid w:val="0043005E"/>
    <w:rsid w:val="00443275"/>
    <w:rsid w:val="00445168"/>
    <w:rsid w:val="00446353"/>
    <w:rsid w:val="0044739B"/>
    <w:rsid w:val="00465F9D"/>
    <w:rsid w:val="00466172"/>
    <w:rsid w:val="00467A6B"/>
    <w:rsid w:val="00474B4C"/>
    <w:rsid w:val="00491F8B"/>
    <w:rsid w:val="00494649"/>
    <w:rsid w:val="00496DDB"/>
    <w:rsid w:val="0049707A"/>
    <w:rsid w:val="004973DB"/>
    <w:rsid w:val="0049771A"/>
    <w:rsid w:val="004A0E08"/>
    <w:rsid w:val="004A4BF1"/>
    <w:rsid w:val="004C3420"/>
    <w:rsid w:val="004C366F"/>
    <w:rsid w:val="004D018B"/>
    <w:rsid w:val="004D124C"/>
    <w:rsid w:val="004D24C1"/>
    <w:rsid w:val="004D4435"/>
    <w:rsid w:val="004D5575"/>
    <w:rsid w:val="004D7A4C"/>
    <w:rsid w:val="004D7C95"/>
    <w:rsid w:val="004E0EC6"/>
    <w:rsid w:val="004E7713"/>
    <w:rsid w:val="004F6417"/>
    <w:rsid w:val="004F73FF"/>
    <w:rsid w:val="005123F0"/>
    <w:rsid w:val="00512A53"/>
    <w:rsid w:val="00514A62"/>
    <w:rsid w:val="00516318"/>
    <w:rsid w:val="00516C46"/>
    <w:rsid w:val="00516FD3"/>
    <w:rsid w:val="00523905"/>
    <w:rsid w:val="005251B9"/>
    <w:rsid w:val="00526A80"/>
    <w:rsid w:val="005301B4"/>
    <w:rsid w:val="00530BB4"/>
    <w:rsid w:val="005326A4"/>
    <w:rsid w:val="00543A3D"/>
    <w:rsid w:val="005459AF"/>
    <w:rsid w:val="00545A47"/>
    <w:rsid w:val="005671E1"/>
    <w:rsid w:val="0057200D"/>
    <w:rsid w:val="00574161"/>
    <w:rsid w:val="00577E63"/>
    <w:rsid w:val="005854F3"/>
    <w:rsid w:val="005872C5"/>
    <w:rsid w:val="0059088D"/>
    <w:rsid w:val="00591CEC"/>
    <w:rsid w:val="005943E9"/>
    <w:rsid w:val="005951EA"/>
    <w:rsid w:val="005A30FE"/>
    <w:rsid w:val="005A3BB0"/>
    <w:rsid w:val="005B0CEB"/>
    <w:rsid w:val="005B18A3"/>
    <w:rsid w:val="005B3659"/>
    <w:rsid w:val="005C2284"/>
    <w:rsid w:val="005D277C"/>
    <w:rsid w:val="005D2FD2"/>
    <w:rsid w:val="005D4A8C"/>
    <w:rsid w:val="005D6D17"/>
    <w:rsid w:val="005E7B2F"/>
    <w:rsid w:val="005F1DD9"/>
    <w:rsid w:val="005F3712"/>
    <w:rsid w:val="005F5280"/>
    <w:rsid w:val="005F7223"/>
    <w:rsid w:val="00603BEA"/>
    <w:rsid w:val="0060413B"/>
    <w:rsid w:val="00605EE6"/>
    <w:rsid w:val="00606652"/>
    <w:rsid w:val="0060669E"/>
    <w:rsid w:val="00614EBB"/>
    <w:rsid w:val="0061583E"/>
    <w:rsid w:val="00617BCA"/>
    <w:rsid w:val="006244F8"/>
    <w:rsid w:val="00625C4E"/>
    <w:rsid w:val="00632159"/>
    <w:rsid w:val="006353E9"/>
    <w:rsid w:val="0064402A"/>
    <w:rsid w:val="00645B6A"/>
    <w:rsid w:val="0065274C"/>
    <w:rsid w:val="00655225"/>
    <w:rsid w:val="00664174"/>
    <w:rsid w:val="006643EA"/>
    <w:rsid w:val="00666DDE"/>
    <w:rsid w:val="0067348D"/>
    <w:rsid w:val="006745A9"/>
    <w:rsid w:val="006807CD"/>
    <w:rsid w:val="00682729"/>
    <w:rsid w:val="00685E6B"/>
    <w:rsid w:val="006958DA"/>
    <w:rsid w:val="006A0D75"/>
    <w:rsid w:val="006A6AAA"/>
    <w:rsid w:val="006B1364"/>
    <w:rsid w:val="006B4541"/>
    <w:rsid w:val="006B56A6"/>
    <w:rsid w:val="006D1E2B"/>
    <w:rsid w:val="006D2E7A"/>
    <w:rsid w:val="006E0D98"/>
    <w:rsid w:val="006E3180"/>
    <w:rsid w:val="006E6E26"/>
    <w:rsid w:val="006E70AA"/>
    <w:rsid w:val="006F7A98"/>
    <w:rsid w:val="007003E7"/>
    <w:rsid w:val="007029CB"/>
    <w:rsid w:val="00705778"/>
    <w:rsid w:val="0071373B"/>
    <w:rsid w:val="00720F7B"/>
    <w:rsid w:val="00726B19"/>
    <w:rsid w:val="00727BD0"/>
    <w:rsid w:val="00732B9D"/>
    <w:rsid w:val="007373F0"/>
    <w:rsid w:val="00742AFE"/>
    <w:rsid w:val="00742EDF"/>
    <w:rsid w:val="00744B10"/>
    <w:rsid w:val="00751420"/>
    <w:rsid w:val="00760287"/>
    <w:rsid w:val="007674D7"/>
    <w:rsid w:val="00772298"/>
    <w:rsid w:val="007818A8"/>
    <w:rsid w:val="0078257D"/>
    <w:rsid w:val="007848DC"/>
    <w:rsid w:val="00785527"/>
    <w:rsid w:val="00792952"/>
    <w:rsid w:val="00794062"/>
    <w:rsid w:val="00797584"/>
    <w:rsid w:val="007A0C30"/>
    <w:rsid w:val="007A2D94"/>
    <w:rsid w:val="007B0547"/>
    <w:rsid w:val="007B651A"/>
    <w:rsid w:val="007B6ED8"/>
    <w:rsid w:val="007B75E4"/>
    <w:rsid w:val="007B799B"/>
    <w:rsid w:val="007C12F0"/>
    <w:rsid w:val="007C6812"/>
    <w:rsid w:val="007C7B73"/>
    <w:rsid w:val="007E2608"/>
    <w:rsid w:val="007E4BD0"/>
    <w:rsid w:val="007F1726"/>
    <w:rsid w:val="0080200E"/>
    <w:rsid w:val="00803A33"/>
    <w:rsid w:val="008051ED"/>
    <w:rsid w:val="00811775"/>
    <w:rsid w:val="008177EF"/>
    <w:rsid w:val="00820149"/>
    <w:rsid w:val="008248B2"/>
    <w:rsid w:val="00832DB0"/>
    <w:rsid w:val="00834D88"/>
    <w:rsid w:val="00844C01"/>
    <w:rsid w:val="00864085"/>
    <w:rsid w:val="008803D0"/>
    <w:rsid w:val="00880F24"/>
    <w:rsid w:val="008836AF"/>
    <w:rsid w:val="0088487F"/>
    <w:rsid w:val="00885C9B"/>
    <w:rsid w:val="00891034"/>
    <w:rsid w:val="00893776"/>
    <w:rsid w:val="00893879"/>
    <w:rsid w:val="00895541"/>
    <w:rsid w:val="008B2172"/>
    <w:rsid w:val="008B55D5"/>
    <w:rsid w:val="008C6314"/>
    <w:rsid w:val="008D4ED8"/>
    <w:rsid w:val="008D644E"/>
    <w:rsid w:val="008E4C93"/>
    <w:rsid w:val="008E591A"/>
    <w:rsid w:val="008E5BCA"/>
    <w:rsid w:val="009022B0"/>
    <w:rsid w:val="00903BAA"/>
    <w:rsid w:val="00905F4A"/>
    <w:rsid w:val="00905FD3"/>
    <w:rsid w:val="009145E4"/>
    <w:rsid w:val="00914D72"/>
    <w:rsid w:val="009164F1"/>
    <w:rsid w:val="00921151"/>
    <w:rsid w:val="00922297"/>
    <w:rsid w:val="009230A3"/>
    <w:rsid w:val="009301D9"/>
    <w:rsid w:val="0094073C"/>
    <w:rsid w:val="00941A4C"/>
    <w:rsid w:val="0094346F"/>
    <w:rsid w:val="00953187"/>
    <w:rsid w:val="009551E9"/>
    <w:rsid w:val="0096333E"/>
    <w:rsid w:val="009668EC"/>
    <w:rsid w:val="00977C3B"/>
    <w:rsid w:val="00977CF2"/>
    <w:rsid w:val="00983CF7"/>
    <w:rsid w:val="00984969"/>
    <w:rsid w:val="00985E85"/>
    <w:rsid w:val="009901B5"/>
    <w:rsid w:val="0099053B"/>
    <w:rsid w:val="0099104E"/>
    <w:rsid w:val="009A0BCC"/>
    <w:rsid w:val="009A2EFA"/>
    <w:rsid w:val="009A57C5"/>
    <w:rsid w:val="009A6CD4"/>
    <w:rsid w:val="009A6E66"/>
    <w:rsid w:val="009B0211"/>
    <w:rsid w:val="009B2B8B"/>
    <w:rsid w:val="009C16F8"/>
    <w:rsid w:val="009C1DE7"/>
    <w:rsid w:val="009C5625"/>
    <w:rsid w:val="009C5962"/>
    <w:rsid w:val="009D0999"/>
    <w:rsid w:val="009E11AF"/>
    <w:rsid w:val="009E5CC1"/>
    <w:rsid w:val="009F0698"/>
    <w:rsid w:val="009F08F1"/>
    <w:rsid w:val="009F25BD"/>
    <w:rsid w:val="00A05705"/>
    <w:rsid w:val="00A06AEA"/>
    <w:rsid w:val="00A16F03"/>
    <w:rsid w:val="00A21136"/>
    <w:rsid w:val="00A214A8"/>
    <w:rsid w:val="00A22BFA"/>
    <w:rsid w:val="00A3323A"/>
    <w:rsid w:val="00A3343A"/>
    <w:rsid w:val="00A34A98"/>
    <w:rsid w:val="00A3667A"/>
    <w:rsid w:val="00A46C66"/>
    <w:rsid w:val="00A46FAF"/>
    <w:rsid w:val="00A5674A"/>
    <w:rsid w:val="00A623EF"/>
    <w:rsid w:val="00A64F91"/>
    <w:rsid w:val="00A727D4"/>
    <w:rsid w:val="00A7438D"/>
    <w:rsid w:val="00A74797"/>
    <w:rsid w:val="00A7601D"/>
    <w:rsid w:val="00A7713A"/>
    <w:rsid w:val="00A81984"/>
    <w:rsid w:val="00A864C0"/>
    <w:rsid w:val="00A97462"/>
    <w:rsid w:val="00A97BDA"/>
    <w:rsid w:val="00AA0F23"/>
    <w:rsid w:val="00AA3E2F"/>
    <w:rsid w:val="00AA46CA"/>
    <w:rsid w:val="00AA535B"/>
    <w:rsid w:val="00AA720A"/>
    <w:rsid w:val="00AC25A1"/>
    <w:rsid w:val="00AC3273"/>
    <w:rsid w:val="00AC68C4"/>
    <w:rsid w:val="00AD310D"/>
    <w:rsid w:val="00AD3D4D"/>
    <w:rsid w:val="00AD60AE"/>
    <w:rsid w:val="00AE3D3C"/>
    <w:rsid w:val="00AE4069"/>
    <w:rsid w:val="00AE7916"/>
    <w:rsid w:val="00AF09EA"/>
    <w:rsid w:val="00AF1D6D"/>
    <w:rsid w:val="00AF27DD"/>
    <w:rsid w:val="00AF3BBA"/>
    <w:rsid w:val="00AF4630"/>
    <w:rsid w:val="00AF5632"/>
    <w:rsid w:val="00AF7710"/>
    <w:rsid w:val="00B01B74"/>
    <w:rsid w:val="00B04913"/>
    <w:rsid w:val="00B1785E"/>
    <w:rsid w:val="00B2169A"/>
    <w:rsid w:val="00B25764"/>
    <w:rsid w:val="00B31D4D"/>
    <w:rsid w:val="00B323A3"/>
    <w:rsid w:val="00B34BF2"/>
    <w:rsid w:val="00B3616B"/>
    <w:rsid w:val="00B37633"/>
    <w:rsid w:val="00B43A8F"/>
    <w:rsid w:val="00B45E54"/>
    <w:rsid w:val="00B518C9"/>
    <w:rsid w:val="00B52EAC"/>
    <w:rsid w:val="00B54969"/>
    <w:rsid w:val="00B577FB"/>
    <w:rsid w:val="00B7620A"/>
    <w:rsid w:val="00B80B9E"/>
    <w:rsid w:val="00B838DA"/>
    <w:rsid w:val="00B86E3A"/>
    <w:rsid w:val="00B949A9"/>
    <w:rsid w:val="00BA017F"/>
    <w:rsid w:val="00BA6B91"/>
    <w:rsid w:val="00BB1230"/>
    <w:rsid w:val="00BC1AB3"/>
    <w:rsid w:val="00BD535F"/>
    <w:rsid w:val="00BD60B5"/>
    <w:rsid w:val="00BE6E64"/>
    <w:rsid w:val="00BF0C09"/>
    <w:rsid w:val="00BF31B7"/>
    <w:rsid w:val="00BF4864"/>
    <w:rsid w:val="00BF4F99"/>
    <w:rsid w:val="00C10048"/>
    <w:rsid w:val="00C21E28"/>
    <w:rsid w:val="00C23DDE"/>
    <w:rsid w:val="00C30E9B"/>
    <w:rsid w:val="00C424FC"/>
    <w:rsid w:val="00C51ECC"/>
    <w:rsid w:val="00C51FA6"/>
    <w:rsid w:val="00C53D95"/>
    <w:rsid w:val="00C54608"/>
    <w:rsid w:val="00C600D9"/>
    <w:rsid w:val="00C60862"/>
    <w:rsid w:val="00C653F3"/>
    <w:rsid w:val="00C67ADA"/>
    <w:rsid w:val="00C739FF"/>
    <w:rsid w:val="00C740CC"/>
    <w:rsid w:val="00C810E8"/>
    <w:rsid w:val="00C847C2"/>
    <w:rsid w:val="00C84E88"/>
    <w:rsid w:val="00C85A9C"/>
    <w:rsid w:val="00CA009F"/>
    <w:rsid w:val="00CA04D0"/>
    <w:rsid w:val="00CA4A7A"/>
    <w:rsid w:val="00CA6613"/>
    <w:rsid w:val="00CA6633"/>
    <w:rsid w:val="00CB16D1"/>
    <w:rsid w:val="00CC280E"/>
    <w:rsid w:val="00CC69AD"/>
    <w:rsid w:val="00CC6AA2"/>
    <w:rsid w:val="00CE73A6"/>
    <w:rsid w:val="00CF1664"/>
    <w:rsid w:val="00CF40CB"/>
    <w:rsid w:val="00CF5A8A"/>
    <w:rsid w:val="00CF5EC7"/>
    <w:rsid w:val="00D01278"/>
    <w:rsid w:val="00D03DD3"/>
    <w:rsid w:val="00D12AB1"/>
    <w:rsid w:val="00D173B0"/>
    <w:rsid w:val="00D21BC6"/>
    <w:rsid w:val="00D23B36"/>
    <w:rsid w:val="00D23BD7"/>
    <w:rsid w:val="00D24FD3"/>
    <w:rsid w:val="00D27AEB"/>
    <w:rsid w:val="00D427E2"/>
    <w:rsid w:val="00D526D0"/>
    <w:rsid w:val="00D53BAE"/>
    <w:rsid w:val="00D57DBA"/>
    <w:rsid w:val="00D57EBC"/>
    <w:rsid w:val="00D603C7"/>
    <w:rsid w:val="00D71F76"/>
    <w:rsid w:val="00D73C46"/>
    <w:rsid w:val="00D77095"/>
    <w:rsid w:val="00D77855"/>
    <w:rsid w:val="00D80573"/>
    <w:rsid w:val="00D91668"/>
    <w:rsid w:val="00D94BB1"/>
    <w:rsid w:val="00D961C9"/>
    <w:rsid w:val="00D96783"/>
    <w:rsid w:val="00D96A44"/>
    <w:rsid w:val="00D97B80"/>
    <w:rsid w:val="00DA1D73"/>
    <w:rsid w:val="00DB2761"/>
    <w:rsid w:val="00DB2FF6"/>
    <w:rsid w:val="00DB3A50"/>
    <w:rsid w:val="00DD0E0C"/>
    <w:rsid w:val="00DD626F"/>
    <w:rsid w:val="00DD7765"/>
    <w:rsid w:val="00DE4133"/>
    <w:rsid w:val="00DE522D"/>
    <w:rsid w:val="00DF3746"/>
    <w:rsid w:val="00E16707"/>
    <w:rsid w:val="00E23955"/>
    <w:rsid w:val="00E311F1"/>
    <w:rsid w:val="00E417DF"/>
    <w:rsid w:val="00E47327"/>
    <w:rsid w:val="00E532EC"/>
    <w:rsid w:val="00E6063F"/>
    <w:rsid w:val="00E7385D"/>
    <w:rsid w:val="00E86579"/>
    <w:rsid w:val="00E90A19"/>
    <w:rsid w:val="00E90FCD"/>
    <w:rsid w:val="00E92568"/>
    <w:rsid w:val="00E974F8"/>
    <w:rsid w:val="00EA08B7"/>
    <w:rsid w:val="00EA79DA"/>
    <w:rsid w:val="00EB6A85"/>
    <w:rsid w:val="00EC1326"/>
    <w:rsid w:val="00EC1D64"/>
    <w:rsid w:val="00EC4E8B"/>
    <w:rsid w:val="00EC636E"/>
    <w:rsid w:val="00EC659D"/>
    <w:rsid w:val="00EC7E55"/>
    <w:rsid w:val="00ED6F93"/>
    <w:rsid w:val="00EE300A"/>
    <w:rsid w:val="00EE7CB8"/>
    <w:rsid w:val="00EF16FB"/>
    <w:rsid w:val="00EF3538"/>
    <w:rsid w:val="00EF4BAE"/>
    <w:rsid w:val="00F02216"/>
    <w:rsid w:val="00F0291C"/>
    <w:rsid w:val="00F05AEE"/>
    <w:rsid w:val="00F101DD"/>
    <w:rsid w:val="00F14193"/>
    <w:rsid w:val="00F14D59"/>
    <w:rsid w:val="00F20CCE"/>
    <w:rsid w:val="00F21FCF"/>
    <w:rsid w:val="00F238A2"/>
    <w:rsid w:val="00F3614E"/>
    <w:rsid w:val="00F376EE"/>
    <w:rsid w:val="00F45708"/>
    <w:rsid w:val="00F52B94"/>
    <w:rsid w:val="00F56870"/>
    <w:rsid w:val="00F56CCE"/>
    <w:rsid w:val="00F57276"/>
    <w:rsid w:val="00F576E0"/>
    <w:rsid w:val="00F63542"/>
    <w:rsid w:val="00F6440C"/>
    <w:rsid w:val="00F74512"/>
    <w:rsid w:val="00F776EF"/>
    <w:rsid w:val="00F81320"/>
    <w:rsid w:val="00F901CF"/>
    <w:rsid w:val="00F906EF"/>
    <w:rsid w:val="00F934C7"/>
    <w:rsid w:val="00FA2B7D"/>
    <w:rsid w:val="00FA592D"/>
    <w:rsid w:val="00FB33FD"/>
    <w:rsid w:val="00FB645E"/>
    <w:rsid w:val="00FC0A33"/>
    <w:rsid w:val="00FC35ED"/>
    <w:rsid w:val="00FC7AED"/>
    <w:rsid w:val="00FD6CD9"/>
    <w:rsid w:val="00FE20D9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3F7A263"/>
    <w:rsid w:val="15D2125B"/>
    <w:rsid w:val="17395E35"/>
    <w:rsid w:val="17AFEFC6"/>
    <w:rsid w:val="17EE000C"/>
    <w:rsid w:val="19BB486A"/>
    <w:rsid w:val="19DFB821"/>
    <w:rsid w:val="1AFFC1CF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07A65E0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AF9B493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8C9364E"/>
    <w:rsid w:val="4B1B3133"/>
    <w:rsid w:val="4B7BFAEC"/>
    <w:rsid w:val="4BBFA8A3"/>
    <w:rsid w:val="4BC7DFAF"/>
    <w:rsid w:val="4BFCF763"/>
    <w:rsid w:val="4C5FB004"/>
    <w:rsid w:val="4CEF7E6C"/>
    <w:rsid w:val="4D316B33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4FF40D59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570902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686544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3EC60C"/>
    <w:rsid w:val="7B519901"/>
    <w:rsid w:val="7B6D5E84"/>
    <w:rsid w:val="7B7D519C"/>
    <w:rsid w:val="7B7FC139"/>
    <w:rsid w:val="7B8F93C0"/>
    <w:rsid w:val="7BB2D9BE"/>
    <w:rsid w:val="7BB6F0A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B0038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9F671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7674F1"/>
    <w:rsid w:val="B6DBE1F8"/>
    <w:rsid w:val="B6FEEB89"/>
    <w:rsid w:val="B6FF5108"/>
    <w:rsid w:val="B6FF9F6B"/>
    <w:rsid w:val="B737B11B"/>
    <w:rsid w:val="B7737C5C"/>
    <w:rsid w:val="B77F5DE1"/>
    <w:rsid w:val="B7876DAB"/>
    <w:rsid w:val="B7D9BBD9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EFF947D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EFF196"/>
    <w:rsid w:val="BFFE0B01"/>
    <w:rsid w:val="BFFF0BA1"/>
    <w:rsid w:val="C335F688"/>
    <w:rsid w:val="C37EDC1F"/>
    <w:rsid w:val="C3D4FB9A"/>
    <w:rsid w:val="C42FBEB5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A35E8C4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D7F089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2FDC5FB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E6D235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5FED3A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E2E50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A10206"/>
  <w15:docId w15:val="{C6B36C65-CA53-4F24-B2AA-9B945D64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index 5" w:qFormat="0"/>
    <w:lsdException w:name="header" w:uiPriority="99"/>
    <w:lsdException w:name="line number" w:qFormat="0"/>
    <w:lsdException w:name="List Bullet" w:qFormat="0"/>
    <w:lsdException w:name="List Number" w:qFormat="0"/>
    <w:lsdException w:name="List Bullet 2" w:qFormat="0"/>
    <w:lsdException w:name="List Bullet 3" w:qFormat="0"/>
    <w:lsdException w:name="List Bullet 4" w:qFormat="0"/>
    <w:lsdException w:name="List Bullet 5" w:qFormat="0"/>
    <w:lsdException w:name="List Number 2" w:qFormat="0"/>
    <w:lsdException w:name="List Number 3" w:qFormat="0"/>
    <w:lsdException w:name="List Number 4" w:qFormat="0"/>
    <w:lsdException w:name="List Number 5" w:qFormat="0"/>
    <w:lsdException w:name="Closing" w:qFormat="0"/>
    <w:lsdException w:name="Default Paragraph Font" w:semiHidden="1" w:uiPriority="1" w:unhideWhenUsed="1"/>
    <w:lsdException w:name="Body Text" w:qFormat="0"/>
    <w:lsdException w:name="Salutation" w:qFormat="0"/>
    <w:lsdException w:name="Hyperlink" w:uiPriority="99"/>
    <w:lsdException w:name="Document Map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Cite" w:qFormat="0"/>
    <w:lsdException w:name="HTML Code" w:qFormat="0"/>
    <w:lsdException w:name="HTML Definition" w:qFormat="0"/>
    <w:lsdException w:name="HTML Keyboard" w:qFormat="0"/>
    <w:lsdException w:name="HTML Sample" w:qFormat="0"/>
    <w:lsdException w:name="HTML Typewriter" w:qFormat="0"/>
    <w:lsdException w:name="HTML Variable" w:qFormat="0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 w:unhideWhenUsed="1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unhideWhenUsed="1" w:qFormat="0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">
    <w:name w:val="Normal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macro"/>
    <w:link w:val="a5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paragraph" w:styleId="a0">
    <w:name w:val="Body Text"/>
    <w:basedOn w:val="a"/>
    <w:link w:val="a6"/>
    <w:rPr>
      <w:rFonts w:cs="Simplified Arabic"/>
      <w:lang w:eastAsia="en-GB"/>
    </w:rPr>
  </w:style>
  <w:style w:type="paragraph" w:styleId="31">
    <w:name w:val="List 3"/>
    <w:basedOn w:val="a"/>
    <w:qFormat/>
    <w:pPr>
      <w:ind w:left="1080" w:hanging="360"/>
      <w:contextualSpacing/>
    </w:pPr>
  </w:style>
  <w:style w:type="paragraph" w:styleId="TOC7">
    <w:name w:val="toc 7"/>
    <w:basedOn w:val="a"/>
    <w:next w:val="a"/>
    <w:qFormat/>
    <w:pPr>
      <w:ind w:left="1440"/>
    </w:pPr>
  </w:style>
  <w:style w:type="paragraph" w:styleId="a7">
    <w:name w:val="table of authorities"/>
    <w:basedOn w:val="a"/>
    <w:next w:val="a"/>
    <w:qFormat/>
    <w:pPr>
      <w:ind w:left="240" w:hanging="240"/>
    </w:pPr>
  </w:style>
  <w:style w:type="paragraph" w:styleId="a8">
    <w:name w:val="Note Heading"/>
    <w:basedOn w:val="a"/>
    <w:next w:val="a"/>
    <w:link w:val="a9"/>
    <w:qFormat/>
    <w:rPr>
      <w:rFonts w:cs="Simplified Arabic"/>
    </w:rPr>
  </w:style>
  <w:style w:type="paragraph" w:styleId="81">
    <w:name w:val="index 8"/>
    <w:basedOn w:val="a"/>
    <w:next w:val="a"/>
    <w:qFormat/>
    <w:pPr>
      <w:ind w:left="1920" w:hanging="240"/>
    </w:pPr>
  </w:style>
  <w:style w:type="paragraph" w:styleId="aa">
    <w:name w:val="E-mail Signature"/>
    <w:basedOn w:val="a"/>
    <w:link w:val="ab"/>
    <w:qFormat/>
    <w:rPr>
      <w:rFonts w:cs="Simplified Arabic"/>
    </w:rPr>
  </w:style>
  <w:style w:type="paragraph" w:styleId="ac">
    <w:name w:val="Normal Indent"/>
    <w:basedOn w:val="a"/>
    <w:qFormat/>
    <w:pPr>
      <w:ind w:left="720"/>
    </w:pPr>
  </w:style>
  <w:style w:type="paragraph" w:styleId="ad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pPr>
      <w:ind w:left="1200" w:hanging="240"/>
    </w:pPr>
  </w:style>
  <w:style w:type="paragraph" w:styleId="ae">
    <w:name w:val="envelope address"/>
    <w:basedOn w:val="a"/>
    <w:qFormat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f">
    <w:name w:val="Document Map"/>
    <w:basedOn w:val="a"/>
    <w:link w:val="af0"/>
    <w:rPr>
      <w:rFonts w:ascii="Tahoma" w:hAnsi="Tahoma" w:cs="Tahoma"/>
      <w:sz w:val="16"/>
      <w:szCs w:val="16"/>
    </w:rPr>
  </w:style>
  <w:style w:type="paragraph" w:styleId="af1">
    <w:name w:val="toa heading"/>
    <w:basedOn w:val="a"/>
    <w:next w:val="a"/>
    <w:qFormat/>
    <w:pPr>
      <w:spacing w:before="120"/>
    </w:pPr>
    <w:rPr>
      <w:rFonts w:cs="Simplified Arabic"/>
      <w:b/>
      <w:bCs/>
    </w:rPr>
  </w:style>
  <w:style w:type="paragraph" w:styleId="af2">
    <w:name w:val="annotation text"/>
    <w:basedOn w:val="a"/>
    <w:link w:val="af3"/>
    <w:qFormat/>
    <w:pPr>
      <w:spacing w:after="120"/>
    </w:pPr>
    <w:rPr>
      <w:rFonts w:cs="Simplified Arabic"/>
      <w:sz w:val="20"/>
      <w:szCs w:val="20"/>
    </w:rPr>
  </w:style>
  <w:style w:type="paragraph" w:styleId="61">
    <w:name w:val="index 6"/>
    <w:basedOn w:val="a"/>
    <w:next w:val="a"/>
    <w:qFormat/>
    <w:pPr>
      <w:ind w:left="1440" w:hanging="240"/>
    </w:pPr>
  </w:style>
  <w:style w:type="paragraph" w:styleId="af4">
    <w:name w:val="Salutation"/>
    <w:basedOn w:val="a"/>
    <w:next w:val="a"/>
    <w:link w:val="af5"/>
    <w:rPr>
      <w:rFonts w:cs="Simplified Arabic"/>
    </w:rPr>
  </w:style>
  <w:style w:type="paragraph" w:styleId="32">
    <w:name w:val="Body Text 3"/>
    <w:basedOn w:val="a"/>
    <w:link w:val="33"/>
    <w:qFormat/>
    <w:pPr>
      <w:ind w:left="2160"/>
    </w:pPr>
    <w:rPr>
      <w:rFonts w:cs="Simplified Arabic"/>
      <w:lang w:eastAsia="en-GB"/>
    </w:rPr>
  </w:style>
  <w:style w:type="paragraph" w:styleId="af6">
    <w:name w:val="Closing"/>
    <w:basedOn w:val="a"/>
    <w:link w:val="af7"/>
    <w:pPr>
      <w:ind w:left="4320"/>
    </w:pPr>
    <w:rPr>
      <w:rFonts w:cs="Simplified Arabic"/>
    </w:rPr>
  </w:style>
  <w:style w:type="paragraph" w:styleId="af8">
    <w:name w:val="Body Text Indent"/>
    <w:basedOn w:val="a"/>
    <w:link w:val="af9"/>
    <w:qFormat/>
    <w:pPr>
      <w:spacing w:after="120"/>
      <w:ind w:left="283"/>
    </w:pPr>
    <w:rPr>
      <w:rFonts w:cs="Simplified Arabic"/>
    </w:rPr>
  </w:style>
  <w:style w:type="paragraph" w:styleId="21">
    <w:name w:val="List 2"/>
    <w:basedOn w:val="a"/>
    <w:qFormat/>
    <w:pPr>
      <w:ind w:left="720" w:hanging="360"/>
      <w:contextualSpacing/>
    </w:pPr>
  </w:style>
  <w:style w:type="paragraph" w:styleId="afa">
    <w:name w:val="List Continue"/>
    <w:basedOn w:val="a"/>
    <w:qFormat/>
    <w:pPr>
      <w:spacing w:after="120"/>
      <w:ind w:left="360"/>
      <w:contextualSpacing/>
    </w:pPr>
  </w:style>
  <w:style w:type="paragraph" w:styleId="afb">
    <w:name w:val="Block Text"/>
    <w:basedOn w:val="a"/>
    <w:qFormat/>
    <w:pPr>
      <w:spacing w:after="120"/>
      <w:ind w:left="1440" w:right="1440"/>
    </w:pPr>
  </w:style>
  <w:style w:type="paragraph" w:styleId="HTML">
    <w:name w:val="HTML Address"/>
    <w:basedOn w:val="a"/>
    <w:link w:val="HTML0"/>
    <w:qFormat/>
    <w:rPr>
      <w:rFonts w:cs="Simplified Arabic"/>
      <w:i/>
      <w:iCs/>
    </w:rPr>
  </w:style>
  <w:style w:type="paragraph" w:styleId="41">
    <w:name w:val="index 4"/>
    <w:basedOn w:val="a"/>
    <w:next w:val="a"/>
    <w:qFormat/>
    <w:pPr>
      <w:ind w:left="960" w:hanging="240"/>
    </w:pPr>
  </w:style>
  <w:style w:type="paragraph" w:styleId="TOC5">
    <w:name w:val="toc 5"/>
    <w:basedOn w:val="a"/>
    <w:next w:val="a"/>
    <w:qFormat/>
    <w:pPr>
      <w:ind w:left="960"/>
    </w:pPr>
  </w:style>
  <w:style w:type="paragraph" w:styleId="TOC3">
    <w:name w:val="toc 3"/>
    <w:basedOn w:val="a"/>
    <w:next w:val="a"/>
    <w:qFormat/>
    <w:pPr>
      <w:ind w:left="480"/>
    </w:pPr>
  </w:style>
  <w:style w:type="paragraph" w:styleId="afc">
    <w:name w:val="Plain Text"/>
    <w:basedOn w:val="a"/>
    <w:link w:val="afd"/>
    <w:qFormat/>
    <w:rPr>
      <w:rFonts w:ascii="Courier New" w:hAnsi="Courier New" w:cs="Courier New"/>
      <w:sz w:val="20"/>
      <w:szCs w:val="20"/>
    </w:rPr>
  </w:style>
  <w:style w:type="paragraph" w:styleId="TOC8">
    <w:name w:val="toc 8"/>
    <w:basedOn w:val="a"/>
    <w:next w:val="a"/>
    <w:qFormat/>
    <w:pPr>
      <w:ind w:left="1680"/>
    </w:pPr>
  </w:style>
  <w:style w:type="paragraph" w:styleId="34">
    <w:name w:val="index 3"/>
    <w:basedOn w:val="a"/>
    <w:next w:val="a"/>
    <w:qFormat/>
    <w:pPr>
      <w:ind w:left="720" w:hanging="240"/>
    </w:pPr>
  </w:style>
  <w:style w:type="paragraph" w:styleId="afe">
    <w:name w:val="Date"/>
    <w:basedOn w:val="a"/>
    <w:next w:val="a"/>
    <w:link w:val="aff"/>
    <w:qFormat/>
    <w:rPr>
      <w:rFonts w:cs="Simplified Arabic"/>
    </w:rPr>
  </w:style>
  <w:style w:type="paragraph" w:styleId="22">
    <w:name w:val="Body Text Indent 2"/>
    <w:basedOn w:val="a"/>
    <w:link w:val="23"/>
    <w:qFormat/>
    <w:pPr>
      <w:spacing w:after="120"/>
      <w:ind w:left="360"/>
    </w:pPr>
    <w:rPr>
      <w:rFonts w:cs="Simplified Arabic"/>
    </w:rPr>
  </w:style>
  <w:style w:type="paragraph" w:styleId="aff0">
    <w:name w:val="endnote text"/>
    <w:basedOn w:val="a"/>
    <w:next w:val="a"/>
    <w:link w:val="aff1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2">
    <w:name w:val="List Continue 5"/>
    <w:basedOn w:val="a"/>
    <w:qFormat/>
    <w:pPr>
      <w:spacing w:after="120"/>
      <w:ind w:left="1800"/>
      <w:contextualSpacing/>
    </w:pPr>
  </w:style>
  <w:style w:type="paragraph" w:styleId="aff2">
    <w:name w:val="Balloon Text"/>
    <w:basedOn w:val="a"/>
    <w:link w:val="aff3"/>
    <w:uiPriority w:val="99"/>
    <w:qFormat/>
    <w:pPr>
      <w:spacing w:after="0"/>
    </w:pPr>
    <w:rPr>
      <w:rFonts w:ascii="Tahoma" w:hAnsi="Tahoma" w:cs="Tahoma"/>
      <w:sz w:val="16"/>
      <w:szCs w:val="16"/>
    </w:rPr>
  </w:style>
  <w:style w:type="paragraph" w:styleId="aff4">
    <w:name w:val="footer"/>
    <w:link w:val="aff5"/>
    <w:qFormat/>
    <w:rPr>
      <w:sz w:val="16"/>
      <w:szCs w:val="16"/>
      <w:lang w:val="en-GB" w:bidi="he-IL"/>
    </w:rPr>
  </w:style>
  <w:style w:type="paragraph" w:styleId="aff6">
    <w:name w:val="envelope return"/>
    <w:basedOn w:val="a"/>
    <w:qFormat/>
    <w:rPr>
      <w:rFonts w:cs="Simplified Arabic"/>
      <w:sz w:val="20"/>
      <w:szCs w:val="20"/>
    </w:rPr>
  </w:style>
  <w:style w:type="paragraph" w:styleId="aff7">
    <w:name w:val="header"/>
    <w:link w:val="aff8"/>
    <w:uiPriority w:val="99"/>
    <w:qFormat/>
    <w:pPr>
      <w:jc w:val="both"/>
    </w:pPr>
    <w:rPr>
      <w:sz w:val="24"/>
      <w:szCs w:val="24"/>
      <w:lang w:val="en-GB" w:bidi="he-IL"/>
    </w:rPr>
  </w:style>
  <w:style w:type="paragraph" w:styleId="aff9">
    <w:name w:val="Signature"/>
    <w:basedOn w:val="a"/>
    <w:link w:val="affa"/>
    <w:qFormat/>
    <w:pPr>
      <w:ind w:left="4320"/>
    </w:pPr>
    <w:rPr>
      <w:rFonts w:cs="Simplified Arabic"/>
    </w:rPr>
  </w:style>
  <w:style w:type="paragraph" w:styleId="TOC1">
    <w:name w:val="toc 1"/>
    <w:basedOn w:val="a"/>
    <w:next w:val="a0"/>
    <w:qFormat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qFormat/>
    <w:pPr>
      <w:spacing w:after="120"/>
      <w:ind w:left="1440"/>
      <w:contextualSpacing/>
    </w:pPr>
  </w:style>
  <w:style w:type="paragraph" w:styleId="TOC4">
    <w:name w:val="toc 4"/>
    <w:basedOn w:val="a"/>
    <w:next w:val="a"/>
    <w:qFormat/>
    <w:pPr>
      <w:ind w:left="720"/>
    </w:pPr>
  </w:style>
  <w:style w:type="paragraph" w:styleId="affb">
    <w:name w:val="index heading"/>
    <w:basedOn w:val="a"/>
    <w:next w:val="a"/>
    <w:qFormat/>
    <w:rPr>
      <w:b/>
      <w:bCs/>
    </w:rPr>
  </w:style>
  <w:style w:type="paragraph" w:styleId="affc">
    <w:name w:val="Subtitle"/>
    <w:basedOn w:val="a"/>
    <w:next w:val="a0"/>
    <w:link w:val="affd"/>
    <w:qFormat/>
    <w:pPr>
      <w:jc w:val="center"/>
    </w:pPr>
    <w:rPr>
      <w:rFonts w:cs="Simplified Arabic"/>
    </w:rPr>
  </w:style>
  <w:style w:type="paragraph" w:styleId="affe">
    <w:name w:val="List"/>
    <w:basedOn w:val="a"/>
    <w:qFormat/>
    <w:pPr>
      <w:ind w:left="360" w:hanging="360"/>
      <w:contextualSpacing/>
    </w:pPr>
  </w:style>
  <w:style w:type="paragraph" w:styleId="afff">
    <w:name w:val="footnote text"/>
    <w:basedOn w:val="a"/>
    <w:next w:val="a"/>
    <w:link w:val="afff0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TOC6">
    <w:name w:val="toc 6"/>
    <w:basedOn w:val="a"/>
    <w:next w:val="a"/>
    <w:qFormat/>
    <w:pPr>
      <w:ind w:left="1200"/>
    </w:pPr>
  </w:style>
  <w:style w:type="paragraph" w:styleId="53">
    <w:name w:val="List 5"/>
    <w:basedOn w:val="a"/>
    <w:qFormat/>
    <w:pPr>
      <w:ind w:left="1800" w:hanging="360"/>
      <w:contextualSpacing/>
    </w:pPr>
  </w:style>
  <w:style w:type="paragraph" w:styleId="35">
    <w:name w:val="Body Text Indent 3"/>
    <w:basedOn w:val="a"/>
    <w:link w:val="36"/>
    <w:qFormat/>
    <w:pPr>
      <w:spacing w:after="120"/>
      <w:ind w:left="360"/>
    </w:pPr>
    <w:rPr>
      <w:rFonts w:cs="Simplified Arabic"/>
      <w:sz w:val="16"/>
      <w:szCs w:val="16"/>
    </w:rPr>
  </w:style>
  <w:style w:type="paragraph" w:styleId="71">
    <w:name w:val="index 7"/>
    <w:basedOn w:val="a"/>
    <w:next w:val="a"/>
    <w:qFormat/>
    <w:pPr>
      <w:ind w:left="1680" w:hanging="240"/>
    </w:pPr>
  </w:style>
  <w:style w:type="paragraph" w:styleId="91">
    <w:name w:val="index 9"/>
    <w:basedOn w:val="a"/>
    <w:next w:val="a"/>
    <w:qFormat/>
    <w:pPr>
      <w:ind w:left="2160" w:hanging="240"/>
    </w:pPr>
  </w:style>
  <w:style w:type="paragraph" w:styleId="afff1">
    <w:name w:val="table of figures"/>
    <w:basedOn w:val="a"/>
    <w:next w:val="a"/>
    <w:qFormat/>
  </w:style>
  <w:style w:type="paragraph" w:styleId="TOC2">
    <w:name w:val="toc 2"/>
    <w:basedOn w:val="a"/>
    <w:next w:val="a0"/>
    <w:qFormat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qFormat/>
    <w:pPr>
      <w:ind w:left="1920"/>
    </w:pPr>
  </w:style>
  <w:style w:type="paragraph" w:styleId="24">
    <w:name w:val="Body Text 2"/>
    <w:basedOn w:val="a"/>
    <w:link w:val="25"/>
    <w:qFormat/>
    <w:pPr>
      <w:ind w:left="1440"/>
    </w:pPr>
    <w:rPr>
      <w:rFonts w:cs="Simplified Arabic"/>
      <w:lang w:eastAsia="en-GB"/>
    </w:rPr>
  </w:style>
  <w:style w:type="paragraph" w:styleId="43">
    <w:name w:val="List 4"/>
    <w:basedOn w:val="a"/>
    <w:qFormat/>
    <w:pPr>
      <w:ind w:left="1440" w:hanging="360"/>
      <w:contextualSpacing/>
    </w:pPr>
  </w:style>
  <w:style w:type="paragraph" w:styleId="26">
    <w:name w:val="List Continue 2"/>
    <w:basedOn w:val="a"/>
    <w:qFormat/>
    <w:pPr>
      <w:spacing w:after="120"/>
      <w:ind w:left="720"/>
      <w:contextualSpacing/>
    </w:pPr>
  </w:style>
  <w:style w:type="paragraph" w:styleId="afff2">
    <w:name w:val="Message Header"/>
    <w:basedOn w:val="a"/>
    <w:link w:val="afff3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paragraph" w:styleId="HTML1">
    <w:name w:val="HTML Preformatted"/>
    <w:basedOn w:val="a"/>
    <w:link w:val="HTML2"/>
    <w:qFormat/>
    <w:rPr>
      <w:rFonts w:ascii="Courier New" w:hAnsi="Courier New" w:cs="Courier New"/>
      <w:sz w:val="20"/>
      <w:szCs w:val="20"/>
    </w:rPr>
  </w:style>
  <w:style w:type="paragraph" w:styleId="afff4">
    <w:name w:val="Normal (Web)"/>
    <w:basedOn w:val="a"/>
    <w:qFormat/>
  </w:style>
  <w:style w:type="paragraph" w:styleId="37">
    <w:name w:val="List Continue 3"/>
    <w:basedOn w:val="a"/>
    <w:qFormat/>
    <w:pPr>
      <w:spacing w:after="120"/>
      <w:ind w:left="1080"/>
      <w:contextualSpacing/>
    </w:pPr>
  </w:style>
  <w:style w:type="paragraph" w:styleId="11">
    <w:name w:val="index 1"/>
    <w:basedOn w:val="a"/>
    <w:next w:val="a"/>
    <w:qFormat/>
    <w:pPr>
      <w:ind w:left="240" w:hanging="240"/>
    </w:pPr>
  </w:style>
  <w:style w:type="paragraph" w:styleId="27">
    <w:name w:val="index 2"/>
    <w:basedOn w:val="a"/>
    <w:next w:val="a"/>
    <w:qFormat/>
    <w:pPr>
      <w:ind w:left="480" w:hanging="240"/>
    </w:pPr>
  </w:style>
  <w:style w:type="paragraph" w:styleId="afff5">
    <w:name w:val="Title"/>
    <w:basedOn w:val="a"/>
    <w:next w:val="a0"/>
    <w:link w:val="afff6"/>
    <w:qFormat/>
    <w:pPr>
      <w:jc w:val="center"/>
    </w:pPr>
    <w:rPr>
      <w:rFonts w:cs="Simplified Arabic"/>
      <w:b/>
      <w:bCs/>
    </w:rPr>
  </w:style>
  <w:style w:type="paragraph" w:styleId="afff7">
    <w:name w:val="annotation subject"/>
    <w:basedOn w:val="af2"/>
    <w:next w:val="af2"/>
    <w:link w:val="afff8"/>
    <w:qFormat/>
    <w:pPr>
      <w:spacing w:after="240"/>
    </w:pPr>
    <w:rPr>
      <w:b/>
      <w:bCs/>
    </w:rPr>
  </w:style>
  <w:style w:type="paragraph" w:styleId="afff9">
    <w:name w:val="Body Text First Indent"/>
    <w:basedOn w:val="a0"/>
    <w:link w:val="afffa"/>
    <w:qFormat/>
    <w:pPr>
      <w:ind w:firstLine="720"/>
    </w:pPr>
  </w:style>
  <w:style w:type="paragraph" w:styleId="28">
    <w:name w:val="Body Text First Indent 2"/>
    <w:basedOn w:val="afff9"/>
    <w:link w:val="29"/>
    <w:qFormat/>
    <w:pPr>
      <w:ind w:firstLine="1440"/>
    </w:pPr>
  </w:style>
  <w:style w:type="table" w:styleId="afffb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c">
    <w:name w:val="Table Theme"/>
    <w:basedOn w:val="a2"/>
    <w:qFormat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qFormat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qFormat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qFormat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d">
    <w:name w:val="Table Elegant"/>
    <w:basedOn w:val="a2"/>
    <w:qFormat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qFormat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qFormat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qFormat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qFormat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qFormat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qFormat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qFormat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qFormat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qFormat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qFormat/>
    <w:pPr>
      <w:spacing w:after="24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qFormat/>
    <w:pPr>
      <w:spacing w:after="24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qFormat/>
    <w:pPr>
      <w:spacing w:after="24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e">
    <w:name w:val="Table Contemporary"/>
    <w:basedOn w:val="a2"/>
    <w:qFormat/>
    <w:pPr>
      <w:spacing w:after="24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qFormat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qFormat/>
    <w:pPr>
      <w:spacing w:after="24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qFormat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qFormat/>
    <w:pPr>
      <w:spacing w:after="24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qFormat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qFormat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qFormat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qFormat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qFormat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qFormat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qFormat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">
    <w:name w:val="Table Professional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31">
    <w:name w:val="Light Grid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41">
    <w:name w:val="Light Grid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51">
    <w:name w:val="Light Grid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61">
    <w:name w:val="Light Grid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1-2">
    <w:name w:val="Medium Shading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Grid 1 Accent 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ff0">
    <w:name w:val="Strong"/>
    <w:qFormat/>
    <w:rPr>
      <w:b/>
      <w:bCs/>
    </w:rPr>
  </w:style>
  <w:style w:type="character" w:styleId="affff1">
    <w:name w:val="endnote reference"/>
    <w:qFormat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f2">
    <w:name w:val="page number"/>
    <w:qFormat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f3">
    <w:name w:val="FollowedHyperlink"/>
    <w:qFormat/>
    <w:rPr>
      <w:color w:val="800080"/>
      <w:u w:val="single"/>
    </w:rPr>
  </w:style>
  <w:style w:type="character" w:styleId="affff4">
    <w:name w:val="Emphasis"/>
    <w:qFormat/>
    <w:rPr>
      <w:i/>
      <w:iCs/>
    </w:rPr>
  </w:style>
  <w:style w:type="character" w:styleId="affff5">
    <w:name w:val="Hyperlink"/>
    <w:uiPriority w:val="99"/>
    <w:qFormat/>
    <w:rPr>
      <w:color w:val="0000FF"/>
      <w:u w:val="single"/>
    </w:rPr>
  </w:style>
  <w:style w:type="character" w:styleId="affff6">
    <w:name w:val="annotation reference"/>
    <w:qFormat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7">
    <w:name w:val="footnote reference"/>
    <w:qFormat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character" w:customStyle="1" w:styleId="a5">
    <w:name w:val="宏文本 字符"/>
    <w:link w:val="a4"/>
    <w:qFormat/>
    <w:rPr>
      <w:rFonts w:ascii="Courier New" w:hAnsi="Courier New" w:cs="Courier New"/>
      <w:lang w:val="en-GB" w:eastAsia="zh-CN" w:bidi="ar-AE"/>
    </w:rPr>
  </w:style>
  <w:style w:type="character" w:customStyle="1" w:styleId="10">
    <w:name w:val="标题 1 字符"/>
    <w:link w:val="1"/>
    <w:qFormat/>
    <w:rPr>
      <w:sz w:val="24"/>
      <w:szCs w:val="24"/>
      <w:lang w:bidi="ar-AE"/>
    </w:rPr>
  </w:style>
  <w:style w:type="character" w:customStyle="1" w:styleId="20">
    <w:name w:val="标题 2 字符"/>
    <w:link w:val="2"/>
    <w:qFormat/>
    <w:rPr>
      <w:sz w:val="24"/>
      <w:szCs w:val="24"/>
      <w:lang w:bidi="ar-AE"/>
    </w:rPr>
  </w:style>
  <w:style w:type="character" w:customStyle="1" w:styleId="a6">
    <w:name w:val="正文文本 字符"/>
    <w:link w:val="a0"/>
    <w:qFormat/>
    <w:rPr>
      <w:sz w:val="24"/>
      <w:szCs w:val="24"/>
      <w:lang w:eastAsia="en-GB" w:bidi="ar-AE"/>
    </w:rPr>
  </w:style>
  <w:style w:type="character" w:customStyle="1" w:styleId="30">
    <w:name w:val="标题 3 字符"/>
    <w:link w:val="3"/>
    <w:qFormat/>
    <w:rPr>
      <w:sz w:val="24"/>
      <w:szCs w:val="24"/>
      <w:lang w:bidi="ar-AE"/>
    </w:rPr>
  </w:style>
  <w:style w:type="character" w:customStyle="1" w:styleId="40">
    <w:name w:val="标题 4 字符"/>
    <w:link w:val="4"/>
    <w:qFormat/>
    <w:rPr>
      <w:sz w:val="24"/>
      <w:szCs w:val="24"/>
      <w:lang w:bidi="ar-AE"/>
    </w:rPr>
  </w:style>
  <w:style w:type="character" w:customStyle="1" w:styleId="50">
    <w:name w:val="标题 5 字符"/>
    <w:link w:val="5"/>
    <w:qFormat/>
    <w:rPr>
      <w:sz w:val="24"/>
      <w:szCs w:val="24"/>
      <w:lang w:bidi="ar-AE"/>
    </w:rPr>
  </w:style>
  <w:style w:type="character" w:customStyle="1" w:styleId="60">
    <w:name w:val="标题 6 字符"/>
    <w:link w:val="6"/>
    <w:qFormat/>
    <w:rPr>
      <w:sz w:val="24"/>
      <w:szCs w:val="24"/>
      <w:lang w:bidi="ar-AE"/>
    </w:rPr>
  </w:style>
  <w:style w:type="character" w:customStyle="1" w:styleId="70">
    <w:name w:val="标题 7 字符"/>
    <w:link w:val="7"/>
    <w:qFormat/>
    <w:rPr>
      <w:sz w:val="24"/>
      <w:szCs w:val="24"/>
      <w:lang w:bidi="ar-AE"/>
    </w:rPr>
  </w:style>
  <w:style w:type="character" w:customStyle="1" w:styleId="80">
    <w:name w:val="标题 8 字符"/>
    <w:link w:val="8"/>
    <w:qFormat/>
    <w:rPr>
      <w:sz w:val="24"/>
      <w:szCs w:val="24"/>
      <w:lang w:bidi="ar-AE"/>
    </w:rPr>
  </w:style>
  <w:style w:type="character" w:customStyle="1" w:styleId="90">
    <w:name w:val="标题 9 字符"/>
    <w:link w:val="9"/>
    <w:qFormat/>
    <w:rPr>
      <w:sz w:val="24"/>
      <w:szCs w:val="24"/>
      <w:lang w:bidi="ar-AE"/>
    </w:rPr>
  </w:style>
  <w:style w:type="character" w:customStyle="1" w:styleId="a9">
    <w:name w:val="注释标题 字符"/>
    <w:link w:val="a8"/>
    <w:qFormat/>
    <w:rPr>
      <w:sz w:val="24"/>
      <w:szCs w:val="24"/>
      <w:lang w:bidi="ar-AE"/>
    </w:rPr>
  </w:style>
  <w:style w:type="character" w:customStyle="1" w:styleId="ab">
    <w:name w:val="电子邮件签名 字符"/>
    <w:link w:val="aa"/>
    <w:qFormat/>
    <w:rPr>
      <w:sz w:val="24"/>
      <w:szCs w:val="24"/>
      <w:lang w:bidi="ar-AE"/>
    </w:rPr>
  </w:style>
  <w:style w:type="character" w:customStyle="1" w:styleId="af0">
    <w:name w:val="文档结构图 字符"/>
    <w:link w:val="af"/>
    <w:qFormat/>
    <w:rPr>
      <w:rFonts w:ascii="Tahoma" w:hAnsi="Tahoma" w:cs="Tahoma"/>
      <w:sz w:val="16"/>
      <w:szCs w:val="16"/>
      <w:lang w:bidi="ar-AE"/>
    </w:rPr>
  </w:style>
  <w:style w:type="character" w:customStyle="1" w:styleId="af3">
    <w:name w:val="批注文字 字符"/>
    <w:link w:val="af2"/>
    <w:qFormat/>
    <w:rPr>
      <w:lang w:bidi="ar-AE"/>
    </w:rPr>
  </w:style>
  <w:style w:type="character" w:customStyle="1" w:styleId="af5">
    <w:name w:val="称呼 字符"/>
    <w:link w:val="af4"/>
    <w:qFormat/>
    <w:rPr>
      <w:sz w:val="24"/>
      <w:szCs w:val="24"/>
      <w:lang w:bidi="ar-AE"/>
    </w:rPr>
  </w:style>
  <w:style w:type="character" w:customStyle="1" w:styleId="33">
    <w:name w:val="正文文本 3 字符"/>
    <w:link w:val="32"/>
    <w:qFormat/>
    <w:rPr>
      <w:sz w:val="24"/>
      <w:szCs w:val="24"/>
      <w:lang w:eastAsia="en-GB" w:bidi="ar-AE"/>
    </w:rPr>
  </w:style>
  <w:style w:type="character" w:customStyle="1" w:styleId="af7">
    <w:name w:val="结束语 字符"/>
    <w:link w:val="af6"/>
    <w:qFormat/>
    <w:rPr>
      <w:sz w:val="24"/>
      <w:szCs w:val="24"/>
      <w:lang w:bidi="ar-AE"/>
    </w:rPr>
  </w:style>
  <w:style w:type="character" w:customStyle="1" w:styleId="af9">
    <w:name w:val="正文文本缩进 字符"/>
    <w:link w:val="af8"/>
    <w:qFormat/>
    <w:rPr>
      <w:sz w:val="24"/>
      <w:szCs w:val="24"/>
      <w:lang w:bidi="ar-AE"/>
    </w:rPr>
  </w:style>
  <w:style w:type="character" w:customStyle="1" w:styleId="HTML0">
    <w:name w:val="HTML 地址 字符"/>
    <w:link w:val="HTML"/>
    <w:qFormat/>
    <w:rPr>
      <w:i/>
      <w:iCs/>
      <w:sz w:val="24"/>
      <w:szCs w:val="24"/>
      <w:lang w:bidi="ar-AE"/>
    </w:rPr>
  </w:style>
  <w:style w:type="character" w:customStyle="1" w:styleId="afd">
    <w:name w:val="纯文本 字符"/>
    <w:link w:val="afc"/>
    <w:qFormat/>
    <w:rPr>
      <w:rFonts w:ascii="Courier New" w:hAnsi="Courier New" w:cs="Courier New"/>
      <w:lang w:bidi="ar-AE"/>
    </w:rPr>
  </w:style>
  <w:style w:type="character" w:customStyle="1" w:styleId="aff">
    <w:name w:val="日期 字符"/>
    <w:link w:val="afe"/>
    <w:qFormat/>
    <w:rPr>
      <w:sz w:val="24"/>
      <w:szCs w:val="24"/>
      <w:lang w:bidi="ar-AE"/>
    </w:rPr>
  </w:style>
  <w:style w:type="character" w:customStyle="1" w:styleId="23">
    <w:name w:val="正文文本缩进 2 字符"/>
    <w:link w:val="22"/>
    <w:qFormat/>
    <w:rPr>
      <w:sz w:val="24"/>
      <w:szCs w:val="24"/>
      <w:lang w:bidi="ar-AE"/>
    </w:rPr>
  </w:style>
  <w:style w:type="character" w:customStyle="1" w:styleId="aff1">
    <w:name w:val="尾注文本 字符"/>
    <w:link w:val="aff0"/>
    <w:qFormat/>
    <w:rPr>
      <w:lang w:bidi="ar-AE"/>
    </w:rPr>
  </w:style>
  <w:style w:type="character" w:customStyle="1" w:styleId="aff3">
    <w:name w:val="批注框文本 字符"/>
    <w:link w:val="aff2"/>
    <w:uiPriority w:val="99"/>
    <w:qFormat/>
    <w:rPr>
      <w:rFonts w:ascii="Tahoma" w:hAnsi="Tahoma" w:cs="Tahoma"/>
      <w:sz w:val="16"/>
      <w:szCs w:val="16"/>
      <w:lang w:bidi="ar-AE"/>
    </w:rPr>
  </w:style>
  <w:style w:type="character" w:customStyle="1" w:styleId="aff5">
    <w:name w:val="页脚 字符"/>
    <w:link w:val="aff4"/>
    <w:qFormat/>
    <w:rPr>
      <w:sz w:val="16"/>
      <w:szCs w:val="16"/>
      <w:lang w:val="en-GB" w:eastAsia="zh-CN" w:bidi="he-IL"/>
    </w:rPr>
  </w:style>
  <w:style w:type="character" w:customStyle="1" w:styleId="aff8">
    <w:name w:val="页眉 字符"/>
    <w:link w:val="aff7"/>
    <w:uiPriority w:val="99"/>
    <w:qFormat/>
    <w:rPr>
      <w:sz w:val="24"/>
      <w:szCs w:val="24"/>
      <w:lang w:val="en-GB" w:eastAsia="zh-CN" w:bidi="he-IL"/>
    </w:rPr>
  </w:style>
  <w:style w:type="character" w:customStyle="1" w:styleId="affa">
    <w:name w:val="签名 字符"/>
    <w:link w:val="aff9"/>
    <w:qFormat/>
    <w:rPr>
      <w:sz w:val="24"/>
      <w:szCs w:val="24"/>
      <w:lang w:bidi="ar-AE"/>
    </w:rPr>
  </w:style>
  <w:style w:type="character" w:customStyle="1" w:styleId="affd">
    <w:name w:val="副标题 字符"/>
    <w:link w:val="affc"/>
    <w:qFormat/>
    <w:rPr>
      <w:sz w:val="24"/>
      <w:szCs w:val="24"/>
      <w:lang w:bidi="ar-AE"/>
    </w:rPr>
  </w:style>
  <w:style w:type="character" w:customStyle="1" w:styleId="afff0">
    <w:name w:val="脚注文本 字符"/>
    <w:link w:val="afff"/>
    <w:qFormat/>
    <w:rPr>
      <w:lang w:bidi="ar-AE"/>
    </w:rPr>
  </w:style>
  <w:style w:type="character" w:customStyle="1" w:styleId="36">
    <w:name w:val="正文文本缩进 3 字符"/>
    <w:link w:val="35"/>
    <w:qFormat/>
    <w:rPr>
      <w:sz w:val="16"/>
      <w:szCs w:val="16"/>
      <w:lang w:bidi="ar-AE"/>
    </w:rPr>
  </w:style>
  <w:style w:type="character" w:customStyle="1" w:styleId="25">
    <w:name w:val="正文文本 2 字符"/>
    <w:link w:val="24"/>
    <w:qFormat/>
    <w:rPr>
      <w:sz w:val="24"/>
      <w:szCs w:val="24"/>
      <w:lang w:eastAsia="en-GB" w:bidi="ar-AE"/>
    </w:rPr>
  </w:style>
  <w:style w:type="character" w:customStyle="1" w:styleId="afff3">
    <w:name w:val="信息标题 字符"/>
    <w:link w:val="afff2"/>
    <w:qFormat/>
    <w:rPr>
      <w:rFonts w:ascii="Times New Roman" w:eastAsia="宋体" w:hAnsi="Times New Roman" w:cs="Simplified Arabic"/>
      <w:sz w:val="24"/>
      <w:szCs w:val="24"/>
      <w:shd w:val="pct20" w:color="auto" w:fill="auto"/>
      <w:lang w:bidi="ar-AE"/>
    </w:rPr>
  </w:style>
  <w:style w:type="character" w:customStyle="1" w:styleId="HTML2">
    <w:name w:val="HTML 预设格式 字符"/>
    <w:link w:val="HTML1"/>
    <w:qFormat/>
    <w:rPr>
      <w:rFonts w:ascii="Courier New" w:hAnsi="Courier New" w:cs="Courier New"/>
      <w:lang w:bidi="ar-AE"/>
    </w:rPr>
  </w:style>
  <w:style w:type="character" w:customStyle="1" w:styleId="afff6">
    <w:name w:val="标题 字符"/>
    <w:link w:val="afff5"/>
    <w:qFormat/>
    <w:rPr>
      <w:b/>
      <w:bCs/>
      <w:sz w:val="24"/>
      <w:szCs w:val="24"/>
      <w:lang w:bidi="ar-AE"/>
    </w:rPr>
  </w:style>
  <w:style w:type="character" w:customStyle="1" w:styleId="afff8">
    <w:name w:val="批注主题 字符"/>
    <w:link w:val="afff7"/>
    <w:qFormat/>
    <w:rPr>
      <w:b/>
      <w:bCs/>
      <w:lang w:bidi="ar-AE"/>
    </w:rPr>
  </w:style>
  <w:style w:type="character" w:customStyle="1" w:styleId="afffa">
    <w:name w:val="正文文本首行缩进 字符"/>
    <w:link w:val="afff9"/>
    <w:qFormat/>
    <w:rPr>
      <w:sz w:val="24"/>
      <w:szCs w:val="24"/>
      <w:lang w:eastAsia="en-GB" w:bidi="ar-AE"/>
    </w:rPr>
  </w:style>
  <w:style w:type="character" w:customStyle="1" w:styleId="29">
    <w:name w:val="正文文本首行缩进 2 字符"/>
    <w:link w:val="28"/>
    <w:qFormat/>
    <w:rPr>
      <w:sz w:val="24"/>
      <w:szCs w:val="24"/>
      <w:lang w:eastAsia="en-GB" w:bidi="ar-AE"/>
    </w:rPr>
  </w:style>
  <w:style w:type="paragraph" w:customStyle="1" w:styleId="BodyText1">
    <w:name w:val="Body Text 1"/>
    <w:basedOn w:val="a"/>
    <w:qFormat/>
    <w:pPr>
      <w:ind w:left="720"/>
    </w:pPr>
    <w:rPr>
      <w:lang w:eastAsia="en-GB"/>
    </w:rPr>
  </w:style>
  <w:style w:type="paragraph" w:customStyle="1" w:styleId="BodyText4">
    <w:name w:val="Body Text 4"/>
    <w:basedOn w:val="a"/>
    <w:qFormat/>
    <w:pPr>
      <w:ind w:left="2880"/>
    </w:pPr>
    <w:rPr>
      <w:lang w:eastAsia="en-GB"/>
    </w:rPr>
  </w:style>
  <w:style w:type="paragraph" w:customStyle="1" w:styleId="BodyText5">
    <w:name w:val="Body Text 5"/>
    <w:basedOn w:val="a"/>
    <w:qFormat/>
    <w:pPr>
      <w:ind w:left="3600"/>
    </w:pPr>
    <w:rPr>
      <w:lang w:eastAsia="en-GB"/>
    </w:rPr>
  </w:style>
  <w:style w:type="paragraph" w:customStyle="1" w:styleId="BodyText6">
    <w:name w:val="Body Text 6"/>
    <w:basedOn w:val="a"/>
    <w:qFormat/>
    <w:pPr>
      <w:ind w:left="4320"/>
    </w:pPr>
    <w:rPr>
      <w:lang w:eastAsia="en-GB"/>
    </w:rPr>
  </w:style>
  <w:style w:type="paragraph" w:customStyle="1" w:styleId="BodyText7">
    <w:name w:val="Body Text 7"/>
    <w:basedOn w:val="a"/>
    <w:qFormat/>
    <w:pPr>
      <w:ind w:left="5041"/>
    </w:pPr>
    <w:rPr>
      <w:lang w:eastAsia="en-GB"/>
    </w:rPr>
  </w:style>
  <w:style w:type="paragraph" w:customStyle="1" w:styleId="FooterRight">
    <w:name w:val="Footer Right"/>
    <w:basedOn w:val="aff4"/>
    <w:qFormat/>
    <w:pPr>
      <w:jc w:val="right"/>
    </w:pPr>
  </w:style>
  <w:style w:type="paragraph" w:customStyle="1" w:styleId="Footnote">
    <w:name w:val="Footnote"/>
    <w:basedOn w:val="afff"/>
    <w:qFormat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qFormat/>
    <w:rPr>
      <w:b/>
      <w:bCs/>
    </w:rPr>
  </w:style>
  <w:style w:type="paragraph" w:customStyle="1" w:styleId="NormalBoldNS">
    <w:name w:val="NormalBoldNS"/>
    <w:basedOn w:val="a"/>
    <w:next w:val="a"/>
    <w:qFormat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qFormat/>
    <w:pPr>
      <w:spacing w:after="0"/>
    </w:pPr>
  </w:style>
  <w:style w:type="paragraph" w:customStyle="1" w:styleId="NormalRight">
    <w:name w:val="NormalRight"/>
    <w:basedOn w:val="NormalNS"/>
    <w:qFormat/>
    <w:pPr>
      <w:jc w:val="right"/>
    </w:pPr>
  </w:style>
  <w:style w:type="paragraph" w:customStyle="1" w:styleId="NoteContinuation">
    <w:name w:val="Note Continuation"/>
    <w:basedOn w:val="a"/>
    <w:qFormat/>
    <w:pPr>
      <w:spacing w:after="120"/>
      <w:ind w:left="340"/>
    </w:pPr>
    <w:rPr>
      <w:sz w:val="20"/>
      <w:szCs w:val="20"/>
    </w:rPr>
  </w:style>
  <w:style w:type="paragraph" w:customStyle="1" w:styleId="TOC10">
    <w:name w:val="TOC 标题1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qFormat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pPr>
      <w:spacing w:after="240"/>
    </w:pPr>
  </w:style>
  <w:style w:type="paragraph" w:customStyle="1" w:styleId="SubTitle0">
    <w:name w:val="SubTitle0"/>
    <w:basedOn w:val="affc"/>
    <w:qFormat/>
    <w:pPr>
      <w:spacing w:after="0"/>
    </w:pPr>
  </w:style>
  <w:style w:type="paragraph" w:customStyle="1" w:styleId="OptionLabel">
    <w:name w:val="OptionLabel"/>
    <w:qFormat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qFormat/>
    <w:pPr>
      <w:jc w:val="left"/>
    </w:pPr>
  </w:style>
  <w:style w:type="paragraph" w:customStyle="1" w:styleId="1b">
    <w:name w:val="书目1"/>
    <w:basedOn w:val="a"/>
    <w:next w:val="a"/>
    <w:qFormat/>
  </w:style>
  <w:style w:type="table" w:customStyle="1" w:styleId="ColorfulGrid1">
    <w:name w:val="Colorful Grid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qFormat/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qFormat/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a">
    <w:name w:val="Intense Quote"/>
    <w:basedOn w:val="a"/>
    <w:next w:val="a"/>
    <w:link w:val="affffb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b">
    <w:name w:val="明显引用 字符"/>
    <w:link w:val="affffa"/>
    <w:qFormat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List1">
    <w:name w:val="Light List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c">
    <w:name w:val="Quote"/>
    <w:basedOn w:val="a"/>
    <w:next w:val="a"/>
    <w:link w:val="affffd"/>
    <w:qFormat/>
    <w:rPr>
      <w:rFonts w:cs="Simplified Arabic"/>
      <w:i/>
      <w:iCs/>
      <w:color w:val="000000"/>
    </w:rPr>
  </w:style>
  <w:style w:type="character" w:customStyle="1" w:styleId="affffd">
    <w:name w:val="引用 字符"/>
    <w:link w:val="affffc"/>
    <w:qFormat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qFormat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qFormat/>
    <w:rPr>
      <w:sz w:val="24"/>
      <w:szCs w:val="24"/>
      <w:lang w:bidi="ar-AE"/>
    </w:rPr>
  </w:style>
  <w:style w:type="paragraph" w:customStyle="1" w:styleId="StandardL8">
    <w:name w:val="Standard L8"/>
    <w:basedOn w:val="a"/>
    <w:next w:val="24"/>
    <w:link w:val="StandardL8Char"/>
    <w:qFormat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qFormat/>
    <w:rPr>
      <w:sz w:val="24"/>
      <w:szCs w:val="24"/>
      <w:lang w:bidi="ar-AE"/>
    </w:rPr>
  </w:style>
  <w:style w:type="paragraph" w:customStyle="1" w:styleId="StandardL7">
    <w:name w:val="Standard L7"/>
    <w:basedOn w:val="a"/>
    <w:next w:val="BodyText6"/>
    <w:link w:val="StandardL7Char"/>
    <w:qFormat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qFormat/>
    <w:rPr>
      <w:sz w:val="24"/>
      <w:szCs w:val="24"/>
      <w:lang w:bidi="ar-AE"/>
    </w:rPr>
  </w:style>
  <w:style w:type="paragraph" w:customStyle="1" w:styleId="StandardL6">
    <w:name w:val="Standard L6"/>
    <w:basedOn w:val="a"/>
    <w:next w:val="BodyText5"/>
    <w:link w:val="StandardL6Char"/>
    <w:qFormat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qFormat/>
    <w:rPr>
      <w:sz w:val="24"/>
      <w:szCs w:val="24"/>
      <w:lang w:bidi="ar-AE"/>
    </w:rPr>
  </w:style>
  <w:style w:type="paragraph" w:customStyle="1" w:styleId="StandardL5">
    <w:name w:val="Standard L5"/>
    <w:basedOn w:val="a"/>
    <w:next w:val="BodyText4"/>
    <w:link w:val="StandardL5Char"/>
    <w:qFormat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qFormat/>
    <w:rPr>
      <w:sz w:val="24"/>
      <w:szCs w:val="24"/>
      <w:lang w:bidi="ar-AE"/>
    </w:rPr>
  </w:style>
  <w:style w:type="paragraph" w:customStyle="1" w:styleId="BulletL9">
    <w:name w:val="Bullet L9"/>
    <w:basedOn w:val="a"/>
    <w:link w:val="BulletL9Char"/>
    <w:qFormat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BulletL9Char">
    <w:name w:val="Bullet L9 Char"/>
    <w:link w:val="BulletL9"/>
    <w:qFormat/>
    <w:rPr>
      <w:sz w:val="24"/>
      <w:szCs w:val="24"/>
      <w:lang w:bidi="ar-AE"/>
    </w:rPr>
  </w:style>
  <w:style w:type="paragraph" w:customStyle="1" w:styleId="BulletL8">
    <w:name w:val="Bullet L8"/>
    <w:basedOn w:val="a"/>
    <w:link w:val="BulletL8Char"/>
    <w:qFormat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BulletL8Char">
    <w:name w:val="Bullet L8 Char"/>
    <w:link w:val="BulletL8"/>
    <w:qFormat/>
    <w:rPr>
      <w:sz w:val="24"/>
      <w:szCs w:val="24"/>
      <w:lang w:bidi="ar-AE"/>
    </w:rPr>
  </w:style>
  <w:style w:type="paragraph" w:customStyle="1" w:styleId="BulletL7">
    <w:name w:val="Bullet L7"/>
    <w:basedOn w:val="a"/>
    <w:link w:val="BulletL7Char"/>
    <w:qFormat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BulletL7Char">
    <w:name w:val="Bullet L7 Char"/>
    <w:link w:val="BulletL7"/>
    <w:qFormat/>
    <w:rPr>
      <w:sz w:val="24"/>
      <w:szCs w:val="24"/>
      <w:lang w:bidi="ar-AE"/>
    </w:rPr>
  </w:style>
  <w:style w:type="paragraph" w:customStyle="1" w:styleId="BulletL6">
    <w:name w:val="Bullet L6"/>
    <w:basedOn w:val="a"/>
    <w:link w:val="BulletL6Char"/>
    <w:qFormat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BulletL6Char">
    <w:name w:val="Bullet L6 Char"/>
    <w:link w:val="BulletL6"/>
    <w:qFormat/>
    <w:rPr>
      <w:sz w:val="24"/>
      <w:szCs w:val="24"/>
      <w:lang w:bidi="ar-AE"/>
    </w:rPr>
  </w:style>
  <w:style w:type="paragraph" w:customStyle="1" w:styleId="BulletL5">
    <w:name w:val="Bullet L5"/>
    <w:basedOn w:val="a"/>
    <w:link w:val="BulletL5Char"/>
    <w:qFormat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BulletL5Char">
    <w:name w:val="Bullet L5 Char"/>
    <w:link w:val="BulletL5"/>
    <w:qFormat/>
    <w:rPr>
      <w:sz w:val="24"/>
      <w:szCs w:val="24"/>
      <w:lang w:bidi="ar-AE"/>
    </w:rPr>
  </w:style>
  <w:style w:type="paragraph" w:customStyle="1" w:styleId="BulletL4">
    <w:name w:val="Bullet L4"/>
    <w:basedOn w:val="a"/>
    <w:link w:val="BulletL4Char"/>
    <w:qFormat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BulletL4Char">
    <w:name w:val="Bullet L4 Char"/>
    <w:link w:val="BulletL4"/>
    <w:qFormat/>
    <w:rPr>
      <w:sz w:val="24"/>
      <w:szCs w:val="24"/>
      <w:lang w:bidi="ar-AE"/>
    </w:rPr>
  </w:style>
  <w:style w:type="paragraph" w:customStyle="1" w:styleId="BulletL3">
    <w:name w:val="Bullet L3"/>
    <w:basedOn w:val="a"/>
    <w:link w:val="BulletL3Char"/>
    <w:qFormat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BulletL3Char">
    <w:name w:val="Bullet L3 Char"/>
    <w:link w:val="BulletL3"/>
    <w:rPr>
      <w:sz w:val="24"/>
      <w:szCs w:val="24"/>
      <w:lang w:bidi="ar-AE"/>
    </w:rPr>
  </w:style>
  <w:style w:type="paragraph" w:customStyle="1" w:styleId="BulletL2">
    <w:name w:val="Bullet L2"/>
    <w:basedOn w:val="a"/>
    <w:link w:val="BulletL2Char"/>
    <w:qFormat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BulletL2Char">
    <w:name w:val="Bullet L2 Char"/>
    <w:link w:val="BulletL2"/>
    <w:qFormat/>
    <w:rPr>
      <w:sz w:val="24"/>
      <w:szCs w:val="24"/>
      <w:lang w:bidi="ar-AE"/>
    </w:rPr>
  </w:style>
  <w:style w:type="paragraph" w:customStyle="1" w:styleId="BulletL1">
    <w:name w:val="Bullet L1"/>
    <w:basedOn w:val="a"/>
    <w:link w:val="BulletL1Char"/>
    <w:qFormat/>
    <w:pPr>
      <w:numPr>
        <w:numId w:val="2"/>
      </w:numPr>
      <w:outlineLvl w:val="0"/>
    </w:pPr>
    <w:rPr>
      <w:rFonts w:cs="Simplified Arabic"/>
    </w:rPr>
  </w:style>
  <w:style w:type="character" w:customStyle="1" w:styleId="BulletL1Char">
    <w:name w:val="Bullet L1 Char"/>
    <w:link w:val="BulletL1"/>
    <w:rPr>
      <w:sz w:val="24"/>
      <w:szCs w:val="24"/>
      <w:lang w:bidi="ar-AE"/>
    </w:rPr>
  </w:style>
  <w:style w:type="paragraph" w:customStyle="1" w:styleId="StandardL4">
    <w:name w:val="Standard L4"/>
    <w:basedOn w:val="a"/>
    <w:next w:val="32"/>
    <w:link w:val="StandardL4Char"/>
    <w:qFormat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qFormat/>
    <w:rPr>
      <w:sz w:val="24"/>
      <w:szCs w:val="24"/>
      <w:lang w:bidi="ar-AE"/>
    </w:rPr>
  </w:style>
  <w:style w:type="paragraph" w:customStyle="1" w:styleId="StandardL3">
    <w:name w:val="Standard L3"/>
    <w:basedOn w:val="a"/>
    <w:next w:val="24"/>
    <w:link w:val="StandardL3Char"/>
    <w:qFormat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qFormat/>
    <w:rPr>
      <w:sz w:val="24"/>
      <w:szCs w:val="24"/>
      <w:lang w:bidi="ar-AE"/>
    </w:rPr>
  </w:style>
  <w:style w:type="paragraph" w:customStyle="1" w:styleId="StandardL2">
    <w:name w:val="Standard L2"/>
    <w:basedOn w:val="a"/>
    <w:next w:val="BodyText1"/>
    <w:link w:val="StandardL2Char"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qFormat/>
    <w:rPr>
      <w:sz w:val="24"/>
      <w:szCs w:val="24"/>
      <w:lang w:bidi="ar-AE"/>
    </w:rPr>
  </w:style>
  <w:style w:type="paragraph" w:customStyle="1" w:styleId="StandardL1">
    <w:name w:val="Standard L1"/>
    <w:basedOn w:val="a"/>
    <w:next w:val="BodyText1"/>
    <w:link w:val="StandardL1Char"/>
    <w:qFormat/>
    <w:pPr>
      <w:keepNext/>
      <w:numPr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qFormat/>
    <w:rPr>
      <w:b/>
      <w:caps/>
      <w:sz w:val="24"/>
      <w:szCs w:val="24"/>
      <w:lang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qFormat/>
    <w:pPr>
      <w:numPr>
        <w:numId w:val="3"/>
      </w:numPr>
      <w:spacing w:before="0"/>
    </w:pPr>
    <w:rPr>
      <w:rFonts w:eastAsia="仿宋_GB2312"/>
      <w:bCs/>
      <w:sz w:val="21"/>
      <w:szCs w:val="21"/>
    </w:rPr>
  </w:style>
  <w:style w:type="paragraph" w:customStyle="1" w:styleId="1c">
    <w:name w:val="修订1"/>
    <w:uiPriority w:val="99"/>
    <w:unhideWhenUsed/>
    <w:qFormat/>
    <w:rPr>
      <w:sz w:val="24"/>
      <w:szCs w:val="24"/>
      <w:lang w:val="en-GB" w:bidi="ar-AE"/>
    </w:rPr>
  </w:style>
  <w:style w:type="paragraph" w:customStyle="1" w:styleId="p2">
    <w:name w:val="p2"/>
    <w:basedOn w:val="a"/>
    <w:qFormat/>
    <w:pPr>
      <w:spacing w:after="0"/>
      <w:jc w:val="left"/>
    </w:pPr>
    <w:rPr>
      <w:rFonts w:ascii="PINGFANG SC SEMIBOLD" w:eastAsia="PINGFANG SC SEMIBOLD" w:hAnsi="PINGFANG SC SEMIBOLD"/>
      <w:sz w:val="40"/>
      <w:szCs w:val="40"/>
      <w:lang w:val="en-US" w:bidi="ar-SA"/>
    </w:rPr>
  </w:style>
  <w:style w:type="paragraph" w:customStyle="1" w:styleId="p1">
    <w:name w:val="p1"/>
    <w:basedOn w:val="a"/>
    <w:pPr>
      <w:spacing w:after="0"/>
      <w:jc w:val="left"/>
    </w:pPr>
    <w:rPr>
      <w:rFonts w:ascii="Helvetica Neue" w:eastAsia="Helvetica Neue" w:hAnsi="Helvetica Neue"/>
      <w:sz w:val="40"/>
      <w:szCs w:val="40"/>
      <w:lang w:val="en-US" w:bidi="ar-SA"/>
    </w:rPr>
  </w:style>
  <w:style w:type="character" w:customStyle="1" w:styleId="s1">
    <w:name w:val="s1"/>
    <w:qFormat/>
    <w:rPr>
      <w:rFonts w:ascii="Helvetica Neue" w:eastAsia="Helvetica Neue" w:hAnsi="Helvetica Neue" w:cs="Helvetica Neue" w:hint="default"/>
      <w:sz w:val="40"/>
      <w:szCs w:val="40"/>
    </w:rPr>
  </w:style>
  <w:style w:type="character" w:customStyle="1" w:styleId="s2">
    <w:name w:val="s2"/>
    <w:rPr>
      <w:rFonts w:ascii="PingFang SC" w:eastAsia="PingFang SC" w:hAnsi="PingFang SC" w:cs="PingFang SC"/>
      <w:sz w:val="40"/>
      <w:szCs w:val="40"/>
    </w:rPr>
  </w:style>
  <w:style w:type="paragraph" w:styleId="affffe">
    <w:name w:val="Revision"/>
    <w:hidden/>
    <w:uiPriority w:val="99"/>
    <w:unhideWhenUsed/>
    <w:rsid w:val="00577E63"/>
    <w:rPr>
      <w:sz w:val="24"/>
      <w:szCs w:val="24"/>
      <w:lang w:val="en-GB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KWM\blank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40FC0-328F-41BE-99FD-C9E0A8E7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KWM</dc:creator>
  <cp:lastModifiedBy>Sunland</cp:lastModifiedBy>
  <cp:revision>8</cp:revision>
  <cp:lastPrinted>2022-03-20T05:18:00Z</cp:lastPrinted>
  <dcterms:created xsi:type="dcterms:W3CDTF">2026-07-28T09:54:00Z</dcterms:created>
  <dcterms:modified xsi:type="dcterms:W3CDTF">2026-07-30T01:26:00Z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BA585C6A0EE947FF94292A315787397F_13</vt:lpwstr>
  </property>
  <property fmtid="{D5CDD505-2E9C-101B-9397-08002B2CF9AE}" pid="4" name="KSOTemplateDocerSaveRecord">
    <vt:lpwstr>eyJoZGlkIjoiMTZjZGRiYjkxMjhiZjkwYmI3NzIzNzkzM2ZmOWU5MzgiLCJ1c2VySWQiOiIxNjYyODg2ODczIn0=</vt:lpwstr>
  </property>
</Properties>
</file>