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7EF4230">
      <w:pPr>
        <w:snapToGrid w:val="0"/>
        <w:spacing w:line="360" w:lineRule="auto"/>
        <w:jc w:val="right"/>
        <w:rPr>
          <w:rFonts w:ascii="仿宋_GB2312" w:hAnsi="Calibri" w:eastAsia="仿宋_GB2312" w:cs="Calibri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SHSSXZRZ0008-2026</w:t>
      </w:r>
      <w:r>
        <w:rPr>
          <w:rFonts w:hint="eastAsia" w:ascii="仿宋_GB2312" w:hAnsi="Calibri" w:eastAsia="仿宋_GB2312" w:cs="Calibri"/>
          <w:color w:val="000000"/>
          <w:sz w:val="28"/>
          <w:szCs w:val="28"/>
        </w:rPr>
        <w:t xml:space="preserve">        </w:t>
      </w:r>
    </w:p>
    <w:p w14:paraId="00CAE18A">
      <w:pPr>
        <w:snapToGrid w:val="0"/>
        <w:spacing w:line="360" w:lineRule="auto"/>
        <w:jc w:val="center"/>
        <w:rPr>
          <w:rFonts w:hint="eastAsia"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  <w:bookmarkStart w:id="0" w:name="_GoBack"/>
      <w:bookmarkEnd w:id="0"/>
    </w:p>
    <w:p w14:paraId="08E7CA84">
      <w:pPr>
        <w:snapToGrid w:val="0"/>
        <w:spacing w:line="440" w:lineRule="exact"/>
        <w:jc w:val="center"/>
        <w:rPr>
          <w:rFonts w:hint="eastAsia" w:ascii="楷体" w:hAnsi="楷体" w:eastAsia="楷体" w:cs="微软雅黑"/>
          <w:color w:val="000000"/>
          <w:sz w:val="32"/>
          <w:szCs w:val="32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</w:rPr>
        <w:t>人造板和木质地板</w:t>
      </w:r>
    </w:p>
    <w:p w14:paraId="7ACFB3F1">
      <w:pPr>
        <w:snapToGrid w:val="0"/>
        <w:spacing w:line="440" w:lineRule="exact"/>
        <w:rPr>
          <w:rFonts w:hint="eastAsia"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1抽样目的</w:t>
      </w:r>
    </w:p>
    <w:p w14:paraId="2B3100C0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ascii="宋体" w:hAnsi="宋体" w:cs="Calibri"/>
          <w:sz w:val="24"/>
          <w:szCs w:val="21"/>
        </w:rPr>
        <w:t>全面掌握上海市绿色产品认证活动有效性，及时发现和查处绿色产品认证违法违规行为，规范绿色产品市场秩序，提高绿色产品质量水平，保障消费者权益，推动绿色产业健康有序发展。</w:t>
      </w:r>
    </w:p>
    <w:p w14:paraId="31E6CEC7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2抽样方法</w:t>
      </w:r>
    </w:p>
    <w:p w14:paraId="5B2FF221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000000"/>
          <w:sz w:val="24"/>
          <w:szCs w:val="21"/>
        </w:rPr>
        <w:t>首先确认生产者获证产品的认证等级，以随机方式在被抽样生产者、销售者的获证待销产品中抽取。</w:t>
      </w:r>
    </w:p>
    <w:p w14:paraId="248A6221">
      <w:pPr>
        <w:snapToGrid w:val="0"/>
        <w:spacing w:line="440" w:lineRule="exact"/>
        <w:ind w:firstLine="480" w:firstLineChars="200"/>
        <w:jc w:val="center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每种产品抽取的样品数量</w:t>
      </w:r>
    </w:p>
    <w:tbl>
      <w:tblPr>
        <w:tblStyle w:val="8"/>
        <w:tblW w:w="91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1311"/>
        <w:gridCol w:w="2356"/>
        <w:gridCol w:w="2356"/>
        <w:gridCol w:w="2356"/>
      </w:tblGrid>
      <w:tr w14:paraId="31517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88" w:type="dxa"/>
            <w:vAlign w:val="center"/>
          </w:tcPr>
          <w:p w14:paraId="632E14D9">
            <w:pPr>
              <w:snapToGrid w:val="0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序号</w:t>
            </w:r>
          </w:p>
        </w:tc>
        <w:tc>
          <w:tcPr>
            <w:tcW w:w="1311" w:type="dxa"/>
            <w:vAlign w:val="center"/>
          </w:tcPr>
          <w:p w14:paraId="4C3641C9">
            <w:pPr>
              <w:snapToGrid w:val="0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产品名称</w:t>
            </w:r>
          </w:p>
        </w:tc>
        <w:tc>
          <w:tcPr>
            <w:tcW w:w="2356" w:type="dxa"/>
            <w:vAlign w:val="center"/>
          </w:tcPr>
          <w:p w14:paraId="393D7AFC">
            <w:pPr>
              <w:snapToGrid w:val="0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抽样数量（批次）</w:t>
            </w:r>
          </w:p>
        </w:tc>
        <w:tc>
          <w:tcPr>
            <w:tcW w:w="2356" w:type="dxa"/>
            <w:vAlign w:val="center"/>
          </w:tcPr>
          <w:p w14:paraId="014EB584">
            <w:pPr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检样数量（批次）</w:t>
            </w:r>
          </w:p>
        </w:tc>
        <w:tc>
          <w:tcPr>
            <w:tcW w:w="2356" w:type="dxa"/>
            <w:vAlign w:val="center"/>
          </w:tcPr>
          <w:p w14:paraId="7C76D2B7">
            <w:pPr>
              <w:snapToGrid w:val="0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备样数量（批次）</w:t>
            </w:r>
          </w:p>
        </w:tc>
      </w:tr>
      <w:tr w14:paraId="10C63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8" w:type="dxa"/>
            <w:vAlign w:val="center"/>
          </w:tcPr>
          <w:p w14:paraId="4FEE50D3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311" w:type="dxa"/>
            <w:vAlign w:val="center"/>
          </w:tcPr>
          <w:p w14:paraId="1E96C372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人造板</w:t>
            </w:r>
          </w:p>
        </w:tc>
        <w:tc>
          <w:tcPr>
            <w:tcW w:w="2356" w:type="dxa"/>
            <w:vAlign w:val="center"/>
          </w:tcPr>
          <w:p w14:paraId="55A82D33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不低于</w:t>
            </w:r>
            <w:r>
              <w:rPr>
                <w:rFonts w:ascii="宋体" w:hAnsi="宋体" w:cs="宋体"/>
                <w:color w:val="00000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平方米</w:t>
            </w:r>
          </w:p>
        </w:tc>
        <w:tc>
          <w:tcPr>
            <w:tcW w:w="2356" w:type="dxa"/>
            <w:vAlign w:val="center"/>
          </w:tcPr>
          <w:p w14:paraId="57E7BEB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不低于</w:t>
            </w:r>
            <w:r>
              <w:rPr>
                <w:rFonts w:ascii="宋体" w:hAnsi="宋体" w:cs="宋体"/>
                <w:color w:val="000000"/>
                <w:szCs w:val="21"/>
              </w:rPr>
              <w:t>2.5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平方米</w:t>
            </w:r>
          </w:p>
        </w:tc>
        <w:tc>
          <w:tcPr>
            <w:tcW w:w="2356" w:type="dxa"/>
            <w:vAlign w:val="center"/>
          </w:tcPr>
          <w:p w14:paraId="0892AFC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不低于</w:t>
            </w:r>
            <w:r>
              <w:rPr>
                <w:rFonts w:ascii="宋体" w:hAnsi="宋体" w:cs="宋体"/>
                <w:color w:val="000000"/>
                <w:szCs w:val="21"/>
              </w:rPr>
              <w:t>2.5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平方米</w:t>
            </w:r>
          </w:p>
        </w:tc>
      </w:tr>
      <w:tr w14:paraId="49E51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8" w:type="dxa"/>
            <w:vAlign w:val="center"/>
          </w:tcPr>
          <w:p w14:paraId="300D524A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1311" w:type="dxa"/>
            <w:vAlign w:val="center"/>
          </w:tcPr>
          <w:p w14:paraId="5DBE9825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木质地板</w:t>
            </w:r>
          </w:p>
        </w:tc>
        <w:tc>
          <w:tcPr>
            <w:tcW w:w="2356" w:type="dxa"/>
            <w:vAlign w:val="center"/>
          </w:tcPr>
          <w:p w14:paraId="7091032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不低于</w:t>
            </w:r>
            <w:r>
              <w:rPr>
                <w:rFonts w:ascii="宋体" w:hAnsi="宋体" w:cs="宋体"/>
                <w:color w:val="00000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平方米</w:t>
            </w:r>
          </w:p>
        </w:tc>
        <w:tc>
          <w:tcPr>
            <w:tcW w:w="2356" w:type="dxa"/>
            <w:vAlign w:val="center"/>
          </w:tcPr>
          <w:p w14:paraId="3231879B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不低于</w:t>
            </w:r>
            <w:r>
              <w:rPr>
                <w:rFonts w:ascii="宋体" w:hAnsi="宋体" w:cs="宋体"/>
                <w:color w:val="000000"/>
                <w:szCs w:val="21"/>
              </w:rPr>
              <w:t>2.5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平方米</w:t>
            </w:r>
          </w:p>
        </w:tc>
        <w:tc>
          <w:tcPr>
            <w:tcW w:w="2356" w:type="dxa"/>
            <w:vAlign w:val="center"/>
          </w:tcPr>
          <w:p w14:paraId="07B892D0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不低于</w:t>
            </w:r>
            <w:r>
              <w:rPr>
                <w:rFonts w:ascii="宋体" w:hAnsi="宋体" w:cs="宋体"/>
                <w:color w:val="000000"/>
                <w:szCs w:val="21"/>
              </w:rPr>
              <w:t>2.5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平方米</w:t>
            </w:r>
          </w:p>
        </w:tc>
      </w:tr>
    </w:tbl>
    <w:p w14:paraId="16B5B93D">
      <w:pPr>
        <w:spacing w:line="460" w:lineRule="exact"/>
        <w:rPr>
          <w:rFonts w:hint="eastAsia" w:ascii="宋体" w:hAnsi="宋体"/>
          <w:color w:val="000000"/>
          <w:sz w:val="24"/>
          <w:szCs w:val="21"/>
        </w:rPr>
      </w:pPr>
    </w:p>
    <w:p w14:paraId="2BFE9D00">
      <w:pPr>
        <w:spacing w:line="460" w:lineRule="exact"/>
        <w:rPr>
          <w:rFonts w:hint="eastAsia"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3检验项目和依据</w:t>
      </w:r>
    </w:p>
    <w:p w14:paraId="691B36D6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hint="eastAsia" w:ascii="宋体" w:hAnsi="宋体"/>
          <w:color w:val="000000"/>
          <w:szCs w:val="21"/>
        </w:rPr>
        <w:t xml:space="preserve">2 </w:t>
      </w:r>
      <w:r>
        <w:rPr>
          <w:rFonts w:hint="eastAsia" w:ascii="宋体" w:hAnsi="宋体"/>
          <w:color w:val="000000"/>
          <w:sz w:val="24"/>
        </w:rPr>
        <w:t>人造板和木质地板</w:t>
      </w:r>
      <w:r>
        <w:rPr>
          <w:rFonts w:hint="eastAsia" w:ascii="宋体" w:hAnsi="宋体"/>
          <w:color w:val="000000"/>
          <w:sz w:val="24"/>
          <w:szCs w:val="21"/>
        </w:rPr>
        <w:t>产品检验项目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279"/>
        <w:gridCol w:w="1279"/>
        <w:gridCol w:w="2979"/>
        <w:gridCol w:w="2967"/>
      </w:tblGrid>
      <w:tr w14:paraId="30E7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5" w:type="pct"/>
            <w:vAlign w:val="center"/>
          </w:tcPr>
          <w:p w14:paraId="50504ED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1394" w:type="pct"/>
            <w:gridSpan w:val="2"/>
            <w:vAlign w:val="center"/>
          </w:tcPr>
          <w:p w14:paraId="3F12E4B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624" w:type="pct"/>
            <w:vAlign w:val="center"/>
          </w:tcPr>
          <w:p w14:paraId="59B30AE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434D001A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绿色标准要求</w:t>
            </w:r>
          </w:p>
        </w:tc>
      </w:tr>
      <w:tr w14:paraId="47D21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5836D0E1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394" w:type="pct"/>
            <w:gridSpan w:val="2"/>
            <w:vAlign w:val="center"/>
          </w:tcPr>
          <w:p w14:paraId="583DCEB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甲醛释放量</w:t>
            </w:r>
          </w:p>
        </w:tc>
        <w:tc>
          <w:tcPr>
            <w:tcW w:w="1624" w:type="pct"/>
            <w:vAlign w:val="center"/>
          </w:tcPr>
          <w:p w14:paraId="312FD5A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17657-2013/4.60</w:t>
            </w:r>
          </w:p>
        </w:tc>
        <w:tc>
          <w:tcPr>
            <w:tcW w:w="1617" w:type="pct"/>
            <w:vAlign w:val="center"/>
          </w:tcPr>
          <w:p w14:paraId="1D2EE92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35601-2024/4.2</w:t>
            </w:r>
          </w:p>
        </w:tc>
      </w:tr>
      <w:tr w14:paraId="0A452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Merge w:val="restart"/>
            <w:vAlign w:val="center"/>
          </w:tcPr>
          <w:p w14:paraId="4F948288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697" w:type="pct"/>
            <w:vMerge w:val="restart"/>
            <w:vAlign w:val="center"/>
          </w:tcPr>
          <w:p w14:paraId="293A080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挥发性有机化合物释放浓度（7d)</w:t>
            </w:r>
          </w:p>
        </w:tc>
        <w:tc>
          <w:tcPr>
            <w:tcW w:w="697" w:type="pct"/>
            <w:vAlign w:val="center"/>
          </w:tcPr>
          <w:p w14:paraId="0F607DB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苯</w:t>
            </w:r>
          </w:p>
        </w:tc>
        <w:tc>
          <w:tcPr>
            <w:tcW w:w="1624" w:type="pct"/>
            <w:vMerge w:val="restart"/>
            <w:vAlign w:val="center"/>
          </w:tcPr>
          <w:p w14:paraId="03C394F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29899-2024</w:t>
            </w:r>
          </w:p>
        </w:tc>
        <w:tc>
          <w:tcPr>
            <w:tcW w:w="1617" w:type="pct"/>
            <w:vMerge w:val="restart"/>
            <w:vAlign w:val="center"/>
          </w:tcPr>
          <w:p w14:paraId="0135DBFD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35601-2024/4.2</w:t>
            </w:r>
          </w:p>
          <w:p w14:paraId="05D51DC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</w:tr>
      <w:tr w14:paraId="1C2A3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Merge w:val="continue"/>
            <w:vAlign w:val="center"/>
          </w:tcPr>
          <w:p w14:paraId="2F1E182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697" w:type="pct"/>
            <w:vMerge w:val="continue"/>
            <w:vAlign w:val="center"/>
          </w:tcPr>
          <w:p w14:paraId="4D878E81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697" w:type="pct"/>
          </w:tcPr>
          <w:p w14:paraId="30924B6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/>
              </w:rPr>
              <w:t>甲苯</w:t>
            </w:r>
          </w:p>
        </w:tc>
        <w:tc>
          <w:tcPr>
            <w:tcW w:w="1624" w:type="pct"/>
            <w:vMerge w:val="continue"/>
            <w:vAlign w:val="center"/>
          </w:tcPr>
          <w:p w14:paraId="77631B6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1617" w:type="pct"/>
            <w:vMerge w:val="continue"/>
            <w:vAlign w:val="center"/>
          </w:tcPr>
          <w:p w14:paraId="301E798F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</w:tr>
      <w:tr w14:paraId="5AFC4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Merge w:val="continue"/>
            <w:vAlign w:val="center"/>
          </w:tcPr>
          <w:p w14:paraId="73CEEB5D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697" w:type="pct"/>
            <w:vMerge w:val="continue"/>
            <w:vAlign w:val="center"/>
          </w:tcPr>
          <w:p w14:paraId="6E2A1B5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697" w:type="pct"/>
          </w:tcPr>
          <w:p w14:paraId="5DD0D3CC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/>
              </w:rPr>
              <w:t>二甲苯</w:t>
            </w:r>
          </w:p>
        </w:tc>
        <w:tc>
          <w:tcPr>
            <w:tcW w:w="1624" w:type="pct"/>
            <w:vMerge w:val="continue"/>
            <w:vAlign w:val="center"/>
          </w:tcPr>
          <w:p w14:paraId="7820DF7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1617" w:type="pct"/>
            <w:vMerge w:val="continue"/>
            <w:vAlign w:val="center"/>
          </w:tcPr>
          <w:p w14:paraId="0EE566A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</w:tr>
      <w:tr w14:paraId="61B6A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Merge w:val="continue"/>
            <w:vAlign w:val="center"/>
          </w:tcPr>
          <w:p w14:paraId="77E47213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697" w:type="pct"/>
            <w:vMerge w:val="continue"/>
            <w:vAlign w:val="center"/>
          </w:tcPr>
          <w:p w14:paraId="3C6C5FD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697" w:type="pct"/>
          </w:tcPr>
          <w:p w14:paraId="168D69E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/>
              </w:rPr>
              <w:t>总挥发性有机化合物(TVOC)</w:t>
            </w:r>
          </w:p>
        </w:tc>
        <w:tc>
          <w:tcPr>
            <w:tcW w:w="1624" w:type="pct"/>
            <w:vMerge w:val="continue"/>
            <w:vAlign w:val="center"/>
          </w:tcPr>
          <w:p w14:paraId="2FD5C01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  <w:tc>
          <w:tcPr>
            <w:tcW w:w="1617" w:type="pct"/>
            <w:vMerge w:val="continue"/>
            <w:vAlign w:val="center"/>
          </w:tcPr>
          <w:p w14:paraId="277E7EE8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</w:p>
        </w:tc>
      </w:tr>
      <w:tr w14:paraId="67D2C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29CE576C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3</w:t>
            </w:r>
          </w:p>
        </w:tc>
        <w:tc>
          <w:tcPr>
            <w:tcW w:w="1394" w:type="pct"/>
            <w:gridSpan w:val="2"/>
            <w:vAlign w:val="center"/>
          </w:tcPr>
          <w:p w14:paraId="309DFF10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可溶性重金属(铅、镉、铬、汞）含量</w:t>
            </w:r>
          </w:p>
        </w:tc>
        <w:tc>
          <w:tcPr>
            <w:tcW w:w="1624" w:type="pct"/>
            <w:vAlign w:val="center"/>
          </w:tcPr>
          <w:p w14:paraId="00DB02B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33042-2016</w:t>
            </w:r>
          </w:p>
        </w:tc>
        <w:tc>
          <w:tcPr>
            <w:tcW w:w="1617" w:type="pct"/>
            <w:vAlign w:val="center"/>
          </w:tcPr>
          <w:p w14:paraId="4A735EF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35601-2024/4.2</w:t>
            </w:r>
          </w:p>
        </w:tc>
      </w:tr>
    </w:tbl>
    <w:p w14:paraId="4EF290C0">
      <w:pPr>
        <w:snapToGrid w:val="0"/>
        <w:spacing w:line="440" w:lineRule="exact"/>
        <w:rPr>
          <w:rFonts w:hint="eastAsia" w:ascii="宋体" w:hAnsi="宋体"/>
          <w:color w:val="000000"/>
          <w:sz w:val="24"/>
          <w:szCs w:val="21"/>
        </w:rPr>
      </w:pPr>
    </w:p>
    <w:p w14:paraId="384403C5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hint="eastAsia" w:ascii="宋体" w:hAnsi="宋体"/>
          <w:color w:val="000000"/>
          <w:szCs w:val="21"/>
        </w:rPr>
        <w:t xml:space="preserve">3 </w:t>
      </w:r>
      <w:r>
        <w:rPr>
          <w:rFonts w:hint="eastAsia" w:ascii="宋体" w:hAnsi="宋体"/>
          <w:color w:val="000000"/>
          <w:sz w:val="24"/>
        </w:rPr>
        <w:t>人造板及其制品</w:t>
      </w:r>
      <w:r>
        <w:rPr>
          <w:rFonts w:hint="eastAsia" w:ascii="宋体" w:hAnsi="宋体"/>
          <w:color w:val="000000"/>
          <w:sz w:val="24"/>
          <w:szCs w:val="21"/>
        </w:rPr>
        <w:t>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2559"/>
        <w:gridCol w:w="2980"/>
        <w:gridCol w:w="2968"/>
      </w:tblGrid>
      <w:tr w14:paraId="530E0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3" w:type="pct"/>
            <w:vAlign w:val="center"/>
          </w:tcPr>
          <w:p w14:paraId="71C03273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1394" w:type="pct"/>
            <w:vAlign w:val="center"/>
          </w:tcPr>
          <w:p w14:paraId="081E2992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623" w:type="pct"/>
            <w:vAlign w:val="center"/>
          </w:tcPr>
          <w:p w14:paraId="6BCD6E0B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159074AC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绿色标准要求</w:t>
            </w:r>
          </w:p>
        </w:tc>
      </w:tr>
      <w:tr w14:paraId="39805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3" w:type="pct"/>
            <w:vAlign w:val="center"/>
          </w:tcPr>
          <w:p w14:paraId="1ADCC7D0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394" w:type="pct"/>
            <w:vAlign w:val="center"/>
          </w:tcPr>
          <w:p w14:paraId="2912FEAE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甲醛释放量</w:t>
            </w:r>
          </w:p>
        </w:tc>
        <w:tc>
          <w:tcPr>
            <w:tcW w:w="1623" w:type="pct"/>
            <w:vAlign w:val="center"/>
          </w:tcPr>
          <w:p w14:paraId="18553E94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 18580-2001(气候箱法）</w:t>
            </w:r>
          </w:p>
        </w:tc>
        <w:tc>
          <w:tcPr>
            <w:tcW w:w="1617" w:type="pct"/>
            <w:vAlign w:val="center"/>
          </w:tcPr>
          <w:p w14:paraId="3B50CC1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HJ 571-2010/5.3.2</w:t>
            </w:r>
          </w:p>
        </w:tc>
      </w:tr>
      <w:tr w14:paraId="70E3D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" w:hRule="atLeast"/>
        </w:trPr>
        <w:tc>
          <w:tcPr>
            <w:tcW w:w="363" w:type="pct"/>
            <w:vAlign w:val="center"/>
          </w:tcPr>
          <w:p w14:paraId="62820D94">
            <w:pPr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394" w:type="pct"/>
            <w:vAlign w:val="center"/>
          </w:tcPr>
          <w:p w14:paraId="499C8E4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总挥发性有机化合物TVOC</w:t>
            </w:r>
          </w:p>
        </w:tc>
        <w:tc>
          <w:tcPr>
            <w:tcW w:w="1623" w:type="pct"/>
            <w:vAlign w:val="center"/>
          </w:tcPr>
          <w:p w14:paraId="20D70097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HJ 571-2010(附录A）</w:t>
            </w:r>
          </w:p>
        </w:tc>
        <w:tc>
          <w:tcPr>
            <w:tcW w:w="1617" w:type="pct"/>
            <w:vAlign w:val="center"/>
          </w:tcPr>
          <w:p w14:paraId="0DAA2D15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HJ 571-2010/5.3.1</w:t>
            </w:r>
          </w:p>
        </w:tc>
      </w:tr>
    </w:tbl>
    <w:p w14:paraId="1A87B264">
      <w:pPr>
        <w:spacing w:line="460" w:lineRule="exact"/>
        <w:rPr>
          <w:rFonts w:hint="eastAsia" w:ascii="黑体" w:hAnsi="黑体" w:eastAsia="黑体" w:cs="Calibri"/>
          <w:color w:val="000000"/>
          <w:sz w:val="24"/>
        </w:rPr>
      </w:pPr>
    </w:p>
    <w:p w14:paraId="13F7B4A2">
      <w:pPr>
        <w:spacing w:line="460" w:lineRule="exact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1EE8B7B3">
      <w:pPr>
        <w:snapToGrid w:val="0"/>
        <w:spacing w:line="460" w:lineRule="exact"/>
        <w:ind w:firstLine="480" w:firstLineChars="200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4.1 经抽样检测，所检项目符合“GB/T 35601-2024 《绿色产品评价人造板和木质地板》”/“HJ 571-2010 《环境标志产品技术要求人造板及其制品》</w:t>
      </w:r>
      <w:r>
        <w:rPr>
          <w:rFonts w:ascii="宋体" w:hAnsi="宋体" w:cs="Calibri"/>
          <w:color w:val="000000"/>
          <w:sz w:val="24"/>
        </w:rPr>
        <w:t>”</w:t>
      </w:r>
      <w:r>
        <w:rPr>
          <w:rFonts w:hint="eastAsia" w:ascii="宋体" w:hAnsi="宋体" w:cs="Calibri"/>
          <w:color w:val="000000"/>
          <w:sz w:val="24"/>
        </w:rPr>
        <w:t>标准，依据《2026年度上海市绿色产品认证有效性抽查实施细则—人造板和木质地板产品》，判定为合格。</w:t>
      </w:r>
    </w:p>
    <w:p w14:paraId="7A3AC731">
      <w:pPr>
        <w:snapToGrid w:val="0"/>
        <w:spacing w:line="460" w:lineRule="exact"/>
        <w:ind w:firstLine="480" w:firstLineChars="200"/>
        <w:rPr>
          <w:rFonts w:hint="eastAsia"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4.2 经抽样检测，xxx项目不符合“GB/T 35601-2024 《绿色产品评价人造板和木质地板》”/“HJ 571-2010 《环境标志产品技术要求人造板及其制品》</w:t>
      </w:r>
      <w:r>
        <w:rPr>
          <w:rFonts w:ascii="宋体" w:hAnsi="宋体" w:cs="Calibri"/>
          <w:color w:val="000000"/>
          <w:sz w:val="24"/>
        </w:rPr>
        <w:t>”</w:t>
      </w:r>
      <w:r>
        <w:rPr>
          <w:rFonts w:hint="eastAsia" w:ascii="宋体" w:hAnsi="宋体" w:cs="Calibri"/>
          <w:color w:val="000000"/>
          <w:sz w:val="24"/>
        </w:rPr>
        <w:t>标准，依据《2026年度上海市绿色产品认证有效性抽查实施细则—人造板和木质地板产品产品》，判定为不合格。</w:t>
      </w:r>
    </w:p>
    <w:p w14:paraId="36DE9BD6">
      <w:pPr>
        <w:snapToGrid w:val="0"/>
        <w:spacing w:line="460" w:lineRule="exact"/>
        <w:ind w:firstLine="420" w:firstLineChars="200"/>
      </w:pP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668BC">
    <w:pPr>
      <w:pStyle w:val="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1</w:t>
    </w:r>
    <w:r>
      <w:rPr>
        <w:lang w:val="zh-CN"/>
      </w:rPr>
      <w:fldChar w:fldCharType="end"/>
    </w:r>
  </w:p>
  <w:p w14:paraId="113CD69B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5D66C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48DFD2C3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42F6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24D48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70E5"/>
    <w:rsid w:val="00100AE3"/>
    <w:rsid w:val="00102F36"/>
    <w:rsid w:val="001050BA"/>
    <w:rsid w:val="001400FE"/>
    <w:rsid w:val="00157706"/>
    <w:rsid w:val="001638C4"/>
    <w:rsid w:val="00170C62"/>
    <w:rsid w:val="0017210E"/>
    <w:rsid w:val="00172A27"/>
    <w:rsid w:val="001A1209"/>
    <w:rsid w:val="001C3621"/>
    <w:rsid w:val="001D558F"/>
    <w:rsid w:val="0021089A"/>
    <w:rsid w:val="0021429D"/>
    <w:rsid w:val="00215ADC"/>
    <w:rsid w:val="002468FF"/>
    <w:rsid w:val="0025042C"/>
    <w:rsid w:val="00260744"/>
    <w:rsid w:val="00287C7A"/>
    <w:rsid w:val="002A11F0"/>
    <w:rsid w:val="002A302E"/>
    <w:rsid w:val="002A52DC"/>
    <w:rsid w:val="002B5BAA"/>
    <w:rsid w:val="002B6B44"/>
    <w:rsid w:val="003042E1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F3FFB"/>
    <w:rsid w:val="004048BA"/>
    <w:rsid w:val="00427B0A"/>
    <w:rsid w:val="00445AAD"/>
    <w:rsid w:val="00456149"/>
    <w:rsid w:val="0046249F"/>
    <w:rsid w:val="004666D3"/>
    <w:rsid w:val="0046695B"/>
    <w:rsid w:val="00474B05"/>
    <w:rsid w:val="004754B8"/>
    <w:rsid w:val="00496333"/>
    <w:rsid w:val="004B5C76"/>
    <w:rsid w:val="00522A8A"/>
    <w:rsid w:val="00526444"/>
    <w:rsid w:val="00532B56"/>
    <w:rsid w:val="00545330"/>
    <w:rsid w:val="00545602"/>
    <w:rsid w:val="00552C9E"/>
    <w:rsid w:val="00563E5E"/>
    <w:rsid w:val="00565009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72E4F"/>
    <w:rsid w:val="006770A9"/>
    <w:rsid w:val="006A2136"/>
    <w:rsid w:val="006B6636"/>
    <w:rsid w:val="006C78F7"/>
    <w:rsid w:val="006D1CF4"/>
    <w:rsid w:val="00706B17"/>
    <w:rsid w:val="00715324"/>
    <w:rsid w:val="00730C62"/>
    <w:rsid w:val="00733FCB"/>
    <w:rsid w:val="0074469C"/>
    <w:rsid w:val="007656D3"/>
    <w:rsid w:val="007869C0"/>
    <w:rsid w:val="00796781"/>
    <w:rsid w:val="007A5C3A"/>
    <w:rsid w:val="007A655B"/>
    <w:rsid w:val="007B2145"/>
    <w:rsid w:val="007B2AF8"/>
    <w:rsid w:val="007B608E"/>
    <w:rsid w:val="008138F8"/>
    <w:rsid w:val="00825BFE"/>
    <w:rsid w:val="008341FD"/>
    <w:rsid w:val="00865437"/>
    <w:rsid w:val="00866888"/>
    <w:rsid w:val="008707A4"/>
    <w:rsid w:val="00880F39"/>
    <w:rsid w:val="008818DE"/>
    <w:rsid w:val="008914CE"/>
    <w:rsid w:val="008948E6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9061C"/>
    <w:rsid w:val="009F3C13"/>
    <w:rsid w:val="00A044DF"/>
    <w:rsid w:val="00A141C5"/>
    <w:rsid w:val="00A1737E"/>
    <w:rsid w:val="00A40DB9"/>
    <w:rsid w:val="00A656CB"/>
    <w:rsid w:val="00A67A4A"/>
    <w:rsid w:val="00AB0483"/>
    <w:rsid w:val="00AB570A"/>
    <w:rsid w:val="00AC0658"/>
    <w:rsid w:val="00AC2437"/>
    <w:rsid w:val="00AF107E"/>
    <w:rsid w:val="00AF49B5"/>
    <w:rsid w:val="00AF5CE6"/>
    <w:rsid w:val="00B04FC5"/>
    <w:rsid w:val="00B11170"/>
    <w:rsid w:val="00B359CB"/>
    <w:rsid w:val="00B46FAA"/>
    <w:rsid w:val="00B525EF"/>
    <w:rsid w:val="00B56EC9"/>
    <w:rsid w:val="00B71D10"/>
    <w:rsid w:val="00BD5DF7"/>
    <w:rsid w:val="00BE3130"/>
    <w:rsid w:val="00C1010A"/>
    <w:rsid w:val="00C1423F"/>
    <w:rsid w:val="00C53409"/>
    <w:rsid w:val="00C6168F"/>
    <w:rsid w:val="00C72B4F"/>
    <w:rsid w:val="00C77519"/>
    <w:rsid w:val="00CD2212"/>
    <w:rsid w:val="00CF096B"/>
    <w:rsid w:val="00D0561F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E331EC"/>
    <w:rsid w:val="00E51C02"/>
    <w:rsid w:val="00E96570"/>
    <w:rsid w:val="00EA1E1E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A21B0"/>
    <w:rsid w:val="00FB139B"/>
    <w:rsid w:val="00FC7D33"/>
    <w:rsid w:val="050F351F"/>
    <w:rsid w:val="0A1E63D6"/>
    <w:rsid w:val="0AA925B8"/>
    <w:rsid w:val="0BD6768B"/>
    <w:rsid w:val="0F6C009E"/>
    <w:rsid w:val="1A0B1A98"/>
    <w:rsid w:val="26525184"/>
    <w:rsid w:val="27034333"/>
    <w:rsid w:val="27300592"/>
    <w:rsid w:val="274D4B08"/>
    <w:rsid w:val="28F15B02"/>
    <w:rsid w:val="2C527DEF"/>
    <w:rsid w:val="2DD425B0"/>
    <w:rsid w:val="346A12D2"/>
    <w:rsid w:val="39A04098"/>
    <w:rsid w:val="3C081B33"/>
    <w:rsid w:val="3E4B54BF"/>
    <w:rsid w:val="42D841B8"/>
    <w:rsid w:val="48C42A3E"/>
    <w:rsid w:val="4DB017E2"/>
    <w:rsid w:val="4DE317ED"/>
    <w:rsid w:val="50E0418D"/>
    <w:rsid w:val="53230361"/>
    <w:rsid w:val="5359055D"/>
    <w:rsid w:val="564E7166"/>
    <w:rsid w:val="56DE2F1C"/>
    <w:rsid w:val="573572FC"/>
    <w:rsid w:val="5A177A50"/>
    <w:rsid w:val="5BB90387"/>
    <w:rsid w:val="5D882B80"/>
    <w:rsid w:val="5F681F1D"/>
    <w:rsid w:val="69AA7576"/>
    <w:rsid w:val="6C8E6D3B"/>
    <w:rsid w:val="6CD27D15"/>
    <w:rsid w:val="71824340"/>
    <w:rsid w:val="718D5813"/>
    <w:rsid w:val="72A417A5"/>
    <w:rsid w:val="72CC4119"/>
    <w:rsid w:val="752E0E4E"/>
    <w:rsid w:val="77EB7A4D"/>
    <w:rsid w:val="780E0771"/>
    <w:rsid w:val="79391EDA"/>
    <w:rsid w:val="7BF158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修订3"/>
    <w:hidden/>
    <w:unhideWhenUsed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635601-DB37-470D-B852-D4C53AF842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2</Pages>
  <Words>645</Words>
  <Characters>852</Characters>
  <Lines>62</Lines>
  <Paragraphs>69</Paragraphs>
  <TotalTime>0</TotalTime>
  <ScaleCrop>false</ScaleCrop>
  <LinksUpToDate>false</LinksUpToDate>
  <CharactersWithSpaces>884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2024-10-29T13:52:00Z</dcterms:created>
  <dc:creator>Legend User</dc:creator>
  <cp:lastModifiedBy>琴</cp:lastModifiedBy>
  <cp:lastPrinted>2025-12-05T01:12:00Z</cp:lastPrinted>
  <dcterms:modified xsi:type="dcterms:W3CDTF">2026-02-11T09:53:11Z</dcterms:modified>
  <dc:title>××产品质量监督抽查实施细则</dc:title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29F1D918E53C45888BB6FC679DE44568_13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