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98C566F">
      <w:pPr>
        <w:snapToGrid w:val="0"/>
        <w:spacing w:line="360" w:lineRule="auto"/>
        <w:jc w:val="right"/>
        <w:rPr>
          <w:rFonts w:ascii="仿宋_GB2312" w:hAnsi="Calibri" w:eastAsia="仿宋_GB2312" w:cs="Calibri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SHSSXZRZ0010</w:t>
      </w:r>
      <w:bookmarkStart w:id="14" w:name="_GoBack"/>
      <w:bookmarkEnd w:id="14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sz w:val="32"/>
          <w:szCs w:val="32"/>
        </w:rPr>
      </w:pPr>
      <w:r>
        <w:rPr>
          <w:rFonts w:hint="eastAsia" w:ascii="黑体" w:hAnsi="黑体" w:eastAsia="黑体" w:cs="Calibri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sz w:val="32"/>
          <w:szCs w:val="32"/>
        </w:rPr>
      </w:pPr>
      <w:r>
        <w:rPr>
          <w:rFonts w:hint="eastAsia" w:ascii="楷体" w:hAnsi="楷体" w:eastAsia="楷体" w:cs="微软雅黑"/>
          <w:sz w:val="32"/>
          <w:szCs w:val="32"/>
        </w:rPr>
        <w:t>建筑门窗</w:t>
      </w:r>
    </w:p>
    <w:p w14:paraId="7ACFB3F1">
      <w:pPr>
        <w:snapToGrid w:val="0"/>
        <w:spacing w:line="440" w:lineRule="exact"/>
        <w:rPr>
          <w:rFonts w:hint="eastAsia" w:asciiTheme="minorEastAsia" w:hAnsiTheme="minorEastAsia" w:eastAsiaTheme="minorEastAsia"/>
          <w:b/>
          <w:bCs/>
          <w:sz w:val="24"/>
          <w:szCs w:val="21"/>
        </w:rPr>
      </w:pPr>
      <w:r>
        <w:rPr>
          <w:rFonts w:asciiTheme="minorEastAsia" w:hAnsiTheme="minorEastAsia" w:eastAsiaTheme="minorEastAsia"/>
          <w:b/>
          <w:bCs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sz w:val="24"/>
          <w:szCs w:val="21"/>
        </w:rPr>
      </w:pPr>
      <w:r>
        <w:rPr>
          <w:rFonts w:ascii="宋体" w:hAnsi="宋体" w:cs="Calibri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Theme="minorEastAsia" w:hAnsiTheme="minorEastAsia" w:eastAsiaTheme="minorEastAsia"/>
          <w:b/>
          <w:bCs/>
          <w:sz w:val="24"/>
          <w:szCs w:val="21"/>
        </w:rPr>
      </w:pPr>
      <w:r>
        <w:rPr>
          <w:rFonts w:asciiTheme="minorEastAsia" w:hAnsiTheme="minorEastAsia" w:eastAsiaTheme="minorEastAsia"/>
          <w:b/>
          <w:bCs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sz w:val="24"/>
          <w:szCs w:val="21"/>
        </w:rPr>
      </w:pPr>
      <w:r>
        <w:rPr>
          <w:rFonts w:hint="eastAsia" w:ascii="宋体" w:hAnsi="宋体" w:cs="Calibri"/>
          <w:sz w:val="24"/>
          <w:szCs w:val="21"/>
        </w:rPr>
        <w:t>首先确认生产者获证产品的认证等级，以随机方式在被抽样生产者、销售者的待销产品中抽取,当待销产品中无制品时，由企业采用与被抽查产品相同材料、相同结构、相同工艺条件下制作。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表</w:t>
      </w:r>
      <w:r>
        <w:rPr>
          <w:rFonts w:ascii="宋体" w:hAnsi="宋体"/>
          <w:sz w:val="24"/>
          <w:szCs w:val="21"/>
        </w:rPr>
        <w:t xml:space="preserve">1 </w:t>
      </w:r>
      <w:r>
        <w:rPr>
          <w:rFonts w:hint="eastAsia" w:ascii="宋体" w:hAnsi="宋体"/>
          <w:sz w:val="24"/>
          <w:szCs w:val="21"/>
        </w:rPr>
        <w:t>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403"/>
        <w:gridCol w:w="3625"/>
        <w:gridCol w:w="1292"/>
        <w:gridCol w:w="1314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310" w:type="pct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产品名称</w:t>
            </w:r>
          </w:p>
        </w:tc>
        <w:tc>
          <w:tcPr>
            <w:tcW w:w="1976" w:type="pct"/>
            <w:vAlign w:val="center"/>
          </w:tcPr>
          <w:p w14:paraId="393D7AF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抽样数量（批次）</w:t>
            </w:r>
          </w:p>
        </w:tc>
        <w:tc>
          <w:tcPr>
            <w:tcW w:w="704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检样数量（批次）</w:t>
            </w:r>
          </w:p>
        </w:tc>
        <w:tc>
          <w:tcPr>
            <w:tcW w:w="716" w:type="pct"/>
            <w:vAlign w:val="center"/>
          </w:tcPr>
          <w:p w14:paraId="7C76D2B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bookmarkStart w:id="0" w:name="_Hlk215816639"/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310" w:type="pct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平开类窗</w:t>
            </w:r>
          </w:p>
        </w:tc>
        <w:tc>
          <w:tcPr>
            <w:tcW w:w="1976" w:type="pct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bookmarkStart w:id="1" w:name="OLE_LINK3"/>
            <w:bookmarkStart w:id="2" w:name="OLE_LINK4"/>
            <w:bookmarkStart w:id="3" w:name="OLE_LINK7"/>
            <w:r>
              <w:rPr>
                <w:rFonts w:hint="eastAsia" w:ascii="宋体" w:hAnsi="宋体" w:cs="宋体"/>
                <w:szCs w:val="21"/>
              </w:rPr>
              <w:t>制品，4樘</w:t>
            </w:r>
            <w:r>
              <w:rPr>
                <w:rFonts w:ascii="宋体" w:hAnsi="宋体" w:cs="宋体"/>
                <w:szCs w:val="21"/>
              </w:rPr>
              <w:t>/批</w:t>
            </w:r>
            <w:bookmarkEnd w:id="1"/>
            <w:bookmarkEnd w:id="2"/>
            <w:bookmarkEnd w:id="3"/>
          </w:p>
        </w:tc>
        <w:tc>
          <w:tcPr>
            <w:tcW w:w="704" w:type="pct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bookmarkStart w:id="4" w:name="OLE_LINK6"/>
            <w:bookmarkStart w:id="5" w:name="OLE_LINK5"/>
            <w:r>
              <w:rPr>
                <w:rFonts w:hint="eastAsia" w:ascii="宋体" w:hAnsi="宋体" w:cs="宋体"/>
                <w:szCs w:val="21"/>
              </w:rPr>
              <w:t>制品，4樘/批</w:t>
            </w:r>
            <w:bookmarkEnd w:id="4"/>
            <w:bookmarkEnd w:id="5"/>
          </w:p>
        </w:tc>
        <w:tc>
          <w:tcPr>
            <w:tcW w:w="716" w:type="pct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</w:tr>
      <w:bookmarkEnd w:id="0"/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300D524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310" w:type="pct"/>
            <w:vAlign w:val="center"/>
          </w:tcPr>
          <w:p w14:paraId="5DBE982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平开类门</w:t>
            </w:r>
          </w:p>
        </w:tc>
        <w:tc>
          <w:tcPr>
            <w:tcW w:w="1976" w:type="pct"/>
            <w:vAlign w:val="center"/>
          </w:tcPr>
          <w:p w14:paraId="7091032F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</w:t>
            </w:r>
            <w:r>
              <w:rPr>
                <w:rFonts w:ascii="宋体" w:hAnsi="宋体" w:cs="宋体"/>
                <w:szCs w:val="21"/>
              </w:rPr>
              <w:t>/批</w:t>
            </w:r>
          </w:p>
        </w:tc>
        <w:tc>
          <w:tcPr>
            <w:tcW w:w="704" w:type="pct"/>
            <w:vAlign w:val="center"/>
          </w:tcPr>
          <w:p w14:paraId="3231879B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制品，4樘/批</w:t>
            </w:r>
          </w:p>
        </w:tc>
        <w:tc>
          <w:tcPr>
            <w:tcW w:w="716" w:type="pct"/>
            <w:vAlign w:val="center"/>
          </w:tcPr>
          <w:p w14:paraId="07B892D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</w:tr>
      <w:tr w14:paraId="11A2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50622CCB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310" w:type="pct"/>
            <w:vAlign w:val="center"/>
          </w:tcPr>
          <w:p w14:paraId="2052013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推拉类窗</w:t>
            </w:r>
          </w:p>
        </w:tc>
        <w:tc>
          <w:tcPr>
            <w:tcW w:w="1976" w:type="pct"/>
            <w:vAlign w:val="center"/>
          </w:tcPr>
          <w:p w14:paraId="0ED099C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</w:t>
            </w:r>
            <w:r>
              <w:rPr>
                <w:rFonts w:ascii="宋体" w:hAnsi="宋体" w:cs="宋体"/>
                <w:szCs w:val="21"/>
              </w:rPr>
              <w:t>/批</w:t>
            </w:r>
          </w:p>
        </w:tc>
        <w:tc>
          <w:tcPr>
            <w:tcW w:w="704" w:type="pct"/>
            <w:vAlign w:val="center"/>
          </w:tcPr>
          <w:p w14:paraId="3695094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制品，4樘/批</w:t>
            </w:r>
          </w:p>
        </w:tc>
        <w:tc>
          <w:tcPr>
            <w:tcW w:w="716" w:type="pct"/>
            <w:vAlign w:val="center"/>
          </w:tcPr>
          <w:p w14:paraId="164B6B0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</w:tr>
      <w:tr w14:paraId="6F47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69C8B2B8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310" w:type="pct"/>
            <w:vAlign w:val="center"/>
          </w:tcPr>
          <w:p w14:paraId="7B3A11C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推拉类门</w:t>
            </w:r>
          </w:p>
        </w:tc>
        <w:tc>
          <w:tcPr>
            <w:tcW w:w="1976" w:type="pct"/>
            <w:vAlign w:val="center"/>
          </w:tcPr>
          <w:p w14:paraId="4DF0206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</w:t>
            </w:r>
            <w:r>
              <w:rPr>
                <w:rFonts w:ascii="宋体" w:hAnsi="宋体" w:cs="宋体"/>
                <w:szCs w:val="21"/>
              </w:rPr>
              <w:t>/批</w:t>
            </w:r>
          </w:p>
        </w:tc>
        <w:tc>
          <w:tcPr>
            <w:tcW w:w="704" w:type="pct"/>
            <w:vAlign w:val="center"/>
          </w:tcPr>
          <w:p w14:paraId="6FBFAC86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制品，4樘/批</w:t>
            </w:r>
          </w:p>
        </w:tc>
        <w:tc>
          <w:tcPr>
            <w:tcW w:w="716" w:type="pct"/>
            <w:vAlign w:val="center"/>
          </w:tcPr>
          <w:p w14:paraId="065D1C2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</w:t>
            </w:r>
          </w:p>
        </w:tc>
      </w:tr>
    </w:tbl>
    <w:p w14:paraId="16B5B93D">
      <w:pPr>
        <w:spacing w:line="460" w:lineRule="exact"/>
        <w:rPr>
          <w:rFonts w:hint="eastAsia" w:ascii="宋体" w:hAnsi="宋体"/>
          <w:sz w:val="24"/>
          <w:szCs w:val="21"/>
        </w:rPr>
      </w:pPr>
    </w:p>
    <w:p w14:paraId="2BFE9D00">
      <w:pPr>
        <w:snapToGrid w:val="0"/>
        <w:spacing w:line="440" w:lineRule="exact"/>
        <w:rPr>
          <w:rFonts w:hint="eastAsia" w:asciiTheme="minorEastAsia" w:hAnsiTheme="minorEastAsia" w:eastAsiaTheme="minorEastAsia"/>
          <w:b/>
          <w:bCs/>
          <w:sz w:val="24"/>
          <w:szCs w:val="21"/>
        </w:rPr>
      </w:pPr>
      <w:r>
        <w:rPr>
          <w:rFonts w:asciiTheme="minorEastAsia" w:hAnsiTheme="minorEastAsia" w:eastAsiaTheme="minorEastAsia"/>
          <w:b/>
          <w:bCs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表</w:t>
      </w:r>
      <w:r>
        <w:rPr>
          <w:rFonts w:ascii="宋体" w:hAnsi="宋体"/>
          <w:sz w:val="24"/>
          <w:szCs w:val="21"/>
        </w:rPr>
        <w:t>2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 w:val="24"/>
        </w:rPr>
        <w:t>建筑门窗</w:t>
      </w:r>
      <w:r>
        <w:rPr>
          <w:rFonts w:hint="eastAsia" w:ascii="宋体" w:hAnsi="宋体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555"/>
        <w:gridCol w:w="2979"/>
        <w:gridCol w:w="2968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6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6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传热系数</w:t>
            </w:r>
          </w:p>
        </w:tc>
        <w:tc>
          <w:tcPr>
            <w:tcW w:w="1623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GB/T 8484-2020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bookmarkStart w:id="6" w:name="OLE_LINK8"/>
            <w:bookmarkStart w:id="7" w:name="OLE_LINK9"/>
            <w:r>
              <w:rPr>
                <w:rFonts w:cs="Calibri" w:asciiTheme="minorEastAsia" w:hAnsiTheme="minorEastAsia" w:eastAsiaTheme="minorEastAsia"/>
                <w:szCs w:val="21"/>
              </w:rPr>
              <w:t>T/CECS 10026-2019</w:t>
            </w:r>
            <w:bookmarkEnd w:id="6"/>
            <w:bookmarkEnd w:id="7"/>
            <w:r>
              <w:rPr>
                <w:rFonts w:cs="Calibri" w:asciiTheme="minorEastAsia" w:hAnsiTheme="minorEastAsia" w:eastAsiaTheme="minorEastAsia"/>
                <w:szCs w:val="21"/>
              </w:rPr>
              <w:t>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6" w:type="pc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气密性能</w:t>
            </w:r>
          </w:p>
        </w:tc>
        <w:tc>
          <w:tcPr>
            <w:tcW w:w="1623" w:type="pc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GB/T 7106-2019/</w:t>
            </w:r>
            <w:r>
              <w:rPr>
                <w:rFonts w:hint="eastAsia" w:cs="Calibri" w:asciiTheme="minorEastAsia" w:hAnsiTheme="minorEastAsia" w:eastAsiaTheme="minorEastAsia"/>
                <w:szCs w:val="21"/>
              </w:rPr>
              <w:t>7</w:t>
            </w:r>
          </w:p>
        </w:tc>
        <w:tc>
          <w:tcPr>
            <w:tcW w:w="1617" w:type="pct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T/CECS 10026-2019/4.2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6" w:type="pct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水密性能</w:t>
            </w:r>
          </w:p>
        </w:tc>
        <w:tc>
          <w:tcPr>
            <w:tcW w:w="1623" w:type="pct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bookmarkStart w:id="8" w:name="OLE_LINK1"/>
            <w:bookmarkStart w:id="9" w:name="OLE_LINK2"/>
            <w:r>
              <w:rPr>
                <w:rFonts w:cs="Calibri" w:asciiTheme="minorEastAsia" w:hAnsiTheme="minorEastAsia" w:eastAsiaTheme="minorEastAsia"/>
                <w:szCs w:val="21"/>
              </w:rPr>
              <w:t>GB/T 7106-2019/8</w:t>
            </w:r>
            <w:bookmarkEnd w:id="8"/>
            <w:bookmarkEnd w:id="9"/>
          </w:p>
        </w:tc>
        <w:tc>
          <w:tcPr>
            <w:tcW w:w="1617" w:type="pct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T/CECS 10026-2019/4.2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6" w:type="pct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1392" w:type="pct"/>
            <w:vAlign w:val="center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szCs w:val="21"/>
              </w:rPr>
              <w:t>空气声隔声性能</w:t>
            </w:r>
          </w:p>
        </w:tc>
        <w:tc>
          <w:tcPr>
            <w:tcW w:w="1623" w:type="pct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GB/T 8485-2008</w:t>
            </w:r>
          </w:p>
        </w:tc>
        <w:tc>
          <w:tcPr>
            <w:tcW w:w="1617" w:type="pct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szCs w:val="21"/>
              </w:rPr>
            </w:pPr>
            <w:r>
              <w:rPr>
                <w:rFonts w:cs="Calibri" w:asciiTheme="minorEastAsia" w:hAnsiTheme="minorEastAsia" w:eastAsiaTheme="minorEastAsia"/>
                <w:szCs w:val="21"/>
              </w:rPr>
              <w:t>T/CECS 10026-2019/4.2</w:t>
            </w:r>
          </w:p>
        </w:tc>
      </w:tr>
    </w:tbl>
    <w:p w14:paraId="6E93D8D9">
      <w:pPr>
        <w:snapToGrid w:val="0"/>
        <w:spacing w:line="440" w:lineRule="exact"/>
        <w:rPr>
          <w:rFonts w:hint="eastAsia" w:ascii="宋体" w:hAnsi="宋体"/>
          <w:sz w:val="24"/>
          <w:szCs w:val="21"/>
        </w:rPr>
      </w:pPr>
    </w:p>
    <w:p w14:paraId="13F7B4A2">
      <w:pPr>
        <w:snapToGrid w:val="0"/>
        <w:spacing w:line="440" w:lineRule="exact"/>
        <w:rPr>
          <w:rFonts w:hint="eastAsia" w:asciiTheme="minorEastAsia" w:hAnsiTheme="minorEastAsia" w:eastAsiaTheme="minorEastAsia"/>
          <w:b/>
          <w:bCs/>
          <w:sz w:val="24"/>
          <w:szCs w:val="21"/>
        </w:rPr>
      </w:pPr>
      <w:r>
        <w:rPr>
          <w:rFonts w:asciiTheme="minorEastAsia" w:hAnsiTheme="minorEastAsia" w:eastAsiaTheme="minorEastAsia"/>
          <w:b/>
          <w:bCs/>
          <w:sz w:val="24"/>
          <w:szCs w:val="21"/>
        </w:rPr>
        <w:t xml:space="preserve">4 </w:t>
      </w:r>
      <w:r>
        <w:rPr>
          <w:rFonts w:hint="eastAsia" w:asciiTheme="minorEastAsia" w:hAnsiTheme="minorEastAsia" w:eastAsiaTheme="minorEastAsia"/>
          <w:b/>
          <w:bCs/>
          <w:sz w:val="24"/>
          <w:szCs w:val="21"/>
        </w:rPr>
        <w:t>检验结果判定</w:t>
      </w:r>
    </w:p>
    <w:p w14:paraId="6EE0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4.</w:t>
      </w:r>
      <w:r>
        <w:rPr>
          <w:rFonts w:hint="eastAsia" w:ascii="宋体" w:hAnsi="宋体" w:cs="Calibri"/>
          <w:sz w:val="24"/>
          <w:lang w:val="en-US" w:eastAsia="zh-CN"/>
        </w:rPr>
        <w:t>1</w:t>
      </w:r>
      <w:r>
        <w:rPr>
          <w:rFonts w:ascii="宋体" w:hAnsi="宋体" w:cs="Calibri"/>
          <w:sz w:val="24"/>
        </w:rPr>
        <w:t>经抽样检测，所检项目符合</w:t>
      </w:r>
      <w:bookmarkStart w:id="10" w:name="OLE_LINK13"/>
      <w:bookmarkStart w:id="11" w:name="OLE_LINK12"/>
      <w:r>
        <w:rPr>
          <w:rFonts w:hint="eastAsia" w:ascii="宋体" w:hAnsi="宋体" w:cs="Calibri"/>
          <w:sz w:val="24"/>
        </w:rPr>
        <w:t>“</w:t>
      </w:r>
      <w:r>
        <w:rPr>
          <w:rFonts w:ascii="宋体" w:hAnsi="宋体" w:cs="Calibri"/>
          <w:sz w:val="24"/>
        </w:rPr>
        <w:t>T/CECS 10026-2019</w:t>
      </w:r>
      <w:r>
        <w:rPr>
          <w:rFonts w:hint="eastAsia" w:ascii="宋体" w:hAnsi="宋体" w:cs="Calibri"/>
          <w:sz w:val="24"/>
          <w:lang w:eastAsia="zh-CN"/>
        </w:rPr>
        <w:t>《</w:t>
      </w:r>
      <w:r>
        <w:rPr>
          <w:rFonts w:ascii="宋体" w:hAnsi="宋体" w:cs="Calibri"/>
          <w:sz w:val="24"/>
        </w:rPr>
        <w:t>绿色建材评价 建筑门窗及配件</w:t>
      </w:r>
      <w:bookmarkEnd w:id="10"/>
      <w:bookmarkEnd w:id="11"/>
      <w:r>
        <w:rPr>
          <w:rFonts w:hint="eastAsia" w:ascii="宋体" w:hAnsi="宋体" w:cs="Calibri"/>
          <w:sz w:val="24"/>
          <w:lang w:eastAsia="zh-CN"/>
        </w:rPr>
        <w:t>》”</w:t>
      </w:r>
      <w:r>
        <w:rPr>
          <w:rFonts w:ascii="宋体" w:hAnsi="宋体" w:cs="Calibri"/>
          <w:sz w:val="24"/>
        </w:rPr>
        <w:t>标准，依据《2026年度上海市绿色产品认证有效性抽查实施细则—</w:t>
      </w:r>
      <w:bookmarkStart w:id="12" w:name="OLE_LINK14"/>
      <w:bookmarkStart w:id="13" w:name="OLE_LINK15"/>
      <w:r>
        <w:rPr>
          <w:rFonts w:hint="eastAsia" w:ascii="宋体" w:hAnsi="宋体" w:cs="Calibri"/>
          <w:sz w:val="24"/>
        </w:rPr>
        <w:t>建筑门窗</w:t>
      </w:r>
      <w:bookmarkEnd w:id="12"/>
      <w:bookmarkEnd w:id="13"/>
      <w:r>
        <w:rPr>
          <w:rFonts w:ascii="宋体" w:hAnsi="宋体" w:cs="Calibri"/>
          <w:sz w:val="24"/>
        </w:rPr>
        <w:t>》，判定为合格。</w:t>
      </w:r>
    </w:p>
    <w:p w14:paraId="3B3E7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4.2经抽样检测，“</w:t>
      </w:r>
      <w:r>
        <w:rPr>
          <w:rFonts w:ascii="宋体" w:hAnsi="宋体" w:cs="Calibri"/>
          <w:sz w:val="24"/>
        </w:rPr>
        <w:t>T/CECS 10026-2019</w:t>
      </w:r>
      <w:r>
        <w:rPr>
          <w:rFonts w:hint="eastAsia" w:ascii="宋体" w:hAnsi="宋体" w:cs="Calibri"/>
          <w:sz w:val="24"/>
          <w:lang w:eastAsia="zh-CN"/>
        </w:rPr>
        <w:t>《</w:t>
      </w:r>
      <w:r>
        <w:rPr>
          <w:rFonts w:ascii="宋体" w:hAnsi="宋体" w:cs="Calibri"/>
          <w:sz w:val="24"/>
        </w:rPr>
        <w:t>绿色建材评价 建筑门窗及配件</w:t>
      </w:r>
      <w:r>
        <w:rPr>
          <w:rFonts w:hint="eastAsia" w:ascii="宋体" w:hAnsi="宋体" w:cs="Calibri"/>
          <w:sz w:val="24"/>
          <w:lang w:eastAsia="zh-CN"/>
        </w:rPr>
        <w:t>》”</w:t>
      </w:r>
      <w:r>
        <w:rPr>
          <w:rFonts w:ascii="宋体" w:hAnsi="宋体" w:cs="Calibri"/>
          <w:sz w:val="24"/>
        </w:rPr>
        <w:t>标准</w:t>
      </w:r>
      <w:r>
        <w:rPr>
          <w:rFonts w:hint="eastAsia" w:ascii="宋体" w:hAnsi="宋体" w:cs="Calibri"/>
          <w:sz w:val="24"/>
        </w:rPr>
        <w:t>，依据《</w:t>
      </w:r>
      <w:r>
        <w:rPr>
          <w:rFonts w:ascii="宋体" w:hAnsi="宋体" w:cs="Calibri"/>
          <w:sz w:val="24"/>
        </w:rPr>
        <w:t>2026</w:t>
      </w:r>
      <w:r>
        <w:rPr>
          <w:rFonts w:hint="eastAsia" w:ascii="宋体" w:hAnsi="宋体" w:cs="Calibri"/>
          <w:sz w:val="24"/>
        </w:rPr>
        <w:t>年度上海市绿色产品认证有效性抽查实施细则</w:t>
      </w:r>
      <w:r>
        <w:rPr>
          <w:rFonts w:ascii="宋体" w:hAnsi="宋体" w:cs="Calibri"/>
          <w:sz w:val="24"/>
        </w:rPr>
        <w:t>—</w:t>
      </w:r>
      <w:r>
        <w:rPr>
          <w:rFonts w:hint="eastAsia" w:ascii="宋体" w:hAnsi="宋体" w:cs="Calibri"/>
          <w:sz w:val="24"/>
        </w:rPr>
        <w:t>建筑门窗》，判定为不合格。</w:t>
      </w:r>
    </w:p>
    <w:p w14:paraId="623B5739">
      <w:pPr>
        <w:snapToGrid w:val="0"/>
        <w:spacing w:line="440" w:lineRule="exact"/>
        <w:rPr>
          <w:rFonts w:hint="eastAsia"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75105"/>
    <w:rsid w:val="000827A6"/>
    <w:rsid w:val="00084C8E"/>
    <w:rsid w:val="000A022E"/>
    <w:rsid w:val="000B2D0E"/>
    <w:rsid w:val="000B5959"/>
    <w:rsid w:val="000C4683"/>
    <w:rsid w:val="000C5FB2"/>
    <w:rsid w:val="000D2A6C"/>
    <w:rsid w:val="000D7C8C"/>
    <w:rsid w:val="000E5A29"/>
    <w:rsid w:val="000E7B8D"/>
    <w:rsid w:val="000F70E5"/>
    <w:rsid w:val="00100AE3"/>
    <w:rsid w:val="00102F36"/>
    <w:rsid w:val="001050BA"/>
    <w:rsid w:val="001400FE"/>
    <w:rsid w:val="00157204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21EC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1129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1F8C"/>
    <w:rsid w:val="00706B17"/>
    <w:rsid w:val="00715324"/>
    <w:rsid w:val="00730C62"/>
    <w:rsid w:val="00733FCB"/>
    <w:rsid w:val="0074469C"/>
    <w:rsid w:val="00745012"/>
    <w:rsid w:val="007656D3"/>
    <w:rsid w:val="00771DA6"/>
    <w:rsid w:val="007869C0"/>
    <w:rsid w:val="00796781"/>
    <w:rsid w:val="007A5C3A"/>
    <w:rsid w:val="007A655B"/>
    <w:rsid w:val="007B2145"/>
    <w:rsid w:val="007B2AF8"/>
    <w:rsid w:val="007B608E"/>
    <w:rsid w:val="007F7E23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084E"/>
    <w:rsid w:val="00925C06"/>
    <w:rsid w:val="0093348D"/>
    <w:rsid w:val="00937100"/>
    <w:rsid w:val="0099061C"/>
    <w:rsid w:val="009E56D3"/>
    <w:rsid w:val="009F3C13"/>
    <w:rsid w:val="00A044DF"/>
    <w:rsid w:val="00A1737E"/>
    <w:rsid w:val="00A253A7"/>
    <w:rsid w:val="00A334D9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19DC"/>
    <w:rsid w:val="00B46FAA"/>
    <w:rsid w:val="00B525EF"/>
    <w:rsid w:val="00B56EC9"/>
    <w:rsid w:val="00B71D10"/>
    <w:rsid w:val="00B84160"/>
    <w:rsid w:val="00BD5DF7"/>
    <w:rsid w:val="00BD602C"/>
    <w:rsid w:val="00BE3130"/>
    <w:rsid w:val="00C1010A"/>
    <w:rsid w:val="00C1674A"/>
    <w:rsid w:val="00C21F42"/>
    <w:rsid w:val="00C313FC"/>
    <w:rsid w:val="00C53409"/>
    <w:rsid w:val="00C56D21"/>
    <w:rsid w:val="00C6168F"/>
    <w:rsid w:val="00C72B4F"/>
    <w:rsid w:val="00C77519"/>
    <w:rsid w:val="00CD2212"/>
    <w:rsid w:val="00CF096B"/>
    <w:rsid w:val="00CF0FE7"/>
    <w:rsid w:val="00D0561F"/>
    <w:rsid w:val="00D307B8"/>
    <w:rsid w:val="00D41DDE"/>
    <w:rsid w:val="00D76D39"/>
    <w:rsid w:val="00D85CED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A2637"/>
    <w:rsid w:val="00EB4F57"/>
    <w:rsid w:val="00EC213B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A1E63D6"/>
    <w:rsid w:val="0AA925B8"/>
    <w:rsid w:val="0BD6768B"/>
    <w:rsid w:val="0F6C009E"/>
    <w:rsid w:val="1A0B1A98"/>
    <w:rsid w:val="1A740BB3"/>
    <w:rsid w:val="20CE472D"/>
    <w:rsid w:val="27300592"/>
    <w:rsid w:val="274D4B08"/>
    <w:rsid w:val="28F15B02"/>
    <w:rsid w:val="2C527DEF"/>
    <w:rsid w:val="39A04098"/>
    <w:rsid w:val="3C081B33"/>
    <w:rsid w:val="3E4B54BF"/>
    <w:rsid w:val="42D841B8"/>
    <w:rsid w:val="48C42A3E"/>
    <w:rsid w:val="4DB017E2"/>
    <w:rsid w:val="50E0418D"/>
    <w:rsid w:val="53230361"/>
    <w:rsid w:val="5359055D"/>
    <w:rsid w:val="56DE2F1C"/>
    <w:rsid w:val="573572FC"/>
    <w:rsid w:val="5BB90387"/>
    <w:rsid w:val="5D882B80"/>
    <w:rsid w:val="5F681F1D"/>
    <w:rsid w:val="69AA7576"/>
    <w:rsid w:val="6C8E6D3B"/>
    <w:rsid w:val="6CD27D15"/>
    <w:rsid w:val="718D5813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BAE6E-8C41-42DE-A99E-774C274B9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546</Words>
  <Characters>709</Characters>
  <Lines>6</Lines>
  <Paragraphs>1</Paragraphs>
  <TotalTime>0</TotalTime>
  <ScaleCrop>false</ScaleCrop>
  <LinksUpToDate>false</LinksUpToDate>
  <CharactersWithSpaces>724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2026-02-11T09:55:23Z</dcterms:modified>
  <dc:title>××产品质量监督抽查实施细则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B8C59D57BFC74C45BAE88E6370EE51B3_13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