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SHSSXZRZ0019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auto"/>
          <w:sz w:val="32"/>
          <w:szCs w:val="32"/>
        </w:rPr>
      </w:pPr>
      <w:r>
        <w:rPr>
          <w:rFonts w:hint="eastAsia" w:ascii="黑体" w:hAnsi="黑体" w:eastAsia="黑体" w:cs="Calibri"/>
          <w:color w:val="auto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auto"/>
          <w:sz w:val="32"/>
          <w:szCs w:val="32"/>
        </w:rPr>
      </w:pPr>
      <w:r>
        <w:rPr>
          <w:rFonts w:hint="eastAsia" w:ascii="楷体" w:hAnsi="楷体" w:eastAsia="楷体" w:cs="微软雅黑"/>
          <w:color w:val="auto"/>
          <w:sz w:val="32"/>
          <w:szCs w:val="32"/>
        </w:rPr>
        <w:t>内墙涂料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auto"/>
          <w:sz w:val="24"/>
          <w:szCs w:val="21"/>
        </w:rPr>
      </w:pPr>
      <w:r>
        <w:rPr>
          <w:rFonts w:hint="eastAsia" w:ascii="黑体" w:hAnsi="宋体" w:eastAsia="黑体"/>
          <w:color w:val="auto"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auto"/>
          <w:sz w:val="24"/>
          <w:szCs w:val="21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color w:val="auto"/>
          <w:sz w:val="24"/>
          <w:szCs w:val="21"/>
        </w:rPr>
      </w:pPr>
      <w:r>
        <w:rPr>
          <w:rFonts w:hint="eastAsia" w:ascii="黑体" w:hAnsi="宋体" w:eastAsia="黑体"/>
          <w:color w:val="auto"/>
          <w:sz w:val="24"/>
          <w:szCs w:val="21"/>
        </w:rPr>
        <w:t>2抽样方法</w:t>
      </w:r>
    </w:p>
    <w:p w14:paraId="5B2FF221">
      <w:pPr>
        <w:snapToGrid w:val="0"/>
        <w:spacing w:line="440" w:lineRule="exact"/>
        <w:ind w:firstLine="480" w:firstLineChars="200"/>
        <w:rPr>
          <w:rFonts w:hint="default" w:ascii="宋体" w:hAnsi="宋体" w:eastAsia="宋体" w:cs="Calibri"/>
          <w:color w:val="auto"/>
          <w:sz w:val="24"/>
          <w:szCs w:val="21"/>
          <w:lang w:val="en-US" w:eastAsia="zh-CN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val="en-US" w:eastAsia="zh-CN"/>
        </w:rPr>
        <w:t>，</w:t>
      </w:r>
      <w:r>
        <w:rPr>
          <w:rFonts w:hint="eastAsia" w:ascii="宋体" w:hAnsi="宋体" w:cs="Calibri"/>
          <w:color w:val="auto"/>
          <w:sz w:val="24"/>
          <w:szCs w:val="21"/>
        </w:rPr>
        <w:t>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auto"/>
          <w:sz w:val="24"/>
          <w:szCs w:val="21"/>
        </w:rPr>
      </w:pPr>
      <w:r>
        <w:rPr>
          <w:rFonts w:hint="eastAsia" w:ascii="宋体" w:hAnsi="宋体"/>
          <w:color w:val="auto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255"/>
        <w:gridCol w:w="2387"/>
        <w:gridCol w:w="2035"/>
        <w:gridCol w:w="1741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1229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产品名称</w:t>
            </w:r>
          </w:p>
        </w:tc>
        <w:tc>
          <w:tcPr>
            <w:tcW w:w="1301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抽样数量（批次）</w:t>
            </w:r>
          </w:p>
        </w:tc>
        <w:tc>
          <w:tcPr>
            <w:tcW w:w="1109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检样数量（批次）</w:t>
            </w:r>
          </w:p>
        </w:tc>
        <w:tc>
          <w:tcPr>
            <w:tcW w:w="947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</w:t>
            </w:r>
          </w:p>
        </w:tc>
        <w:tc>
          <w:tcPr>
            <w:tcW w:w="1229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内墙涂料</w:t>
            </w:r>
          </w:p>
        </w:tc>
        <w:tc>
          <w:tcPr>
            <w:tcW w:w="1301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不少于2kg/桶×2桶</w:t>
            </w:r>
          </w:p>
        </w:tc>
        <w:tc>
          <w:tcPr>
            <w:tcW w:w="1109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不少于2kg/桶×1桶</w:t>
            </w:r>
          </w:p>
        </w:tc>
        <w:tc>
          <w:tcPr>
            <w:tcW w:w="947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不少于2kg/桶×1桶</w:t>
            </w:r>
          </w:p>
        </w:tc>
      </w:tr>
      <w:tr w14:paraId="5171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5"/>
            <w:vAlign w:val="center"/>
          </w:tcPr>
          <w:p w14:paraId="507E2C52">
            <w:pPr>
              <w:snapToGrid w:val="0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注：应尽量整包装抽取，避免分装。</w:t>
            </w:r>
          </w:p>
        </w:tc>
      </w:tr>
    </w:tbl>
    <w:p w14:paraId="7BC81B82">
      <w:pPr>
        <w:spacing w:line="460" w:lineRule="exact"/>
        <w:rPr>
          <w:rFonts w:hint="eastAsia" w:ascii="宋体" w:hAnsi="宋体"/>
          <w:color w:val="auto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auto"/>
          <w:sz w:val="24"/>
          <w:szCs w:val="21"/>
        </w:rPr>
      </w:pPr>
      <w:r>
        <w:rPr>
          <w:rFonts w:hint="eastAsia" w:ascii="黑体" w:hAnsi="黑体" w:eastAsia="黑体" w:cs="Calibri"/>
          <w:color w:val="auto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表2 内墙涂料产品检验项目（GB/T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挥发性有机化合物（VOC）含量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23986-2009</w:t>
            </w:r>
          </w:p>
          <w:p w14:paraId="46CFC3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18582-2008/附录B</w:t>
            </w:r>
          </w:p>
          <w:p w14:paraId="76548F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6750-2007</w:t>
            </w:r>
          </w:p>
          <w:p w14:paraId="2CA8CF7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9754-2007</w:t>
            </w:r>
          </w:p>
        </w:tc>
        <w:tc>
          <w:tcPr>
            <w:tcW w:w="1617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F948288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总挥发性有机化合物（TVOC）释放量</w:t>
            </w:r>
          </w:p>
        </w:tc>
        <w:tc>
          <w:tcPr>
            <w:tcW w:w="1624" w:type="pc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481-2015/附录B</w:t>
            </w:r>
          </w:p>
        </w:tc>
        <w:tc>
          <w:tcPr>
            <w:tcW w:w="2968" w:type="dxa"/>
            <w:vAlign w:val="center"/>
          </w:tcPr>
          <w:p w14:paraId="0135DB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F1E182D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30924B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甲醛释放量</w:t>
            </w:r>
          </w:p>
        </w:tc>
        <w:tc>
          <w:tcPr>
            <w:tcW w:w="1624" w:type="pct"/>
            <w:vAlign w:val="center"/>
          </w:tcPr>
          <w:p w14:paraId="77631B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481-2015/7.3.2</w:t>
            </w:r>
          </w:p>
        </w:tc>
        <w:tc>
          <w:tcPr>
            <w:tcW w:w="2968" w:type="dxa"/>
            <w:vAlign w:val="center"/>
          </w:tcPr>
          <w:p w14:paraId="301E79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3CEEB5D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5DD0D3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游离甲醛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含量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（高效液相法）</w:t>
            </w:r>
          </w:p>
        </w:tc>
        <w:tc>
          <w:tcPr>
            <w:tcW w:w="1624" w:type="pct"/>
            <w:vAlign w:val="center"/>
          </w:tcPr>
          <w:p w14:paraId="7820D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34683-2017</w:t>
            </w:r>
          </w:p>
        </w:tc>
        <w:tc>
          <w:tcPr>
            <w:tcW w:w="2968" w:type="dxa"/>
            <w:vAlign w:val="center"/>
          </w:tcPr>
          <w:p w14:paraId="0EE56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1DB7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3B31B06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393" w:type="pct"/>
            <w:gridSpan w:val="2"/>
            <w:vAlign w:val="center"/>
          </w:tcPr>
          <w:p w14:paraId="2B94AC2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9133A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23993-2009</w:t>
            </w:r>
          </w:p>
        </w:tc>
        <w:tc>
          <w:tcPr>
            <w:tcW w:w="2968" w:type="dxa"/>
            <w:vAlign w:val="center"/>
          </w:tcPr>
          <w:p w14:paraId="0A231D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17026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A43342B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393" w:type="pct"/>
            <w:gridSpan w:val="2"/>
            <w:vAlign w:val="center"/>
          </w:tcPr>
          <w:p w14:paraId="1363E76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24" w:type="pct"/>
            <w:vAlign w:val="center"/>
          </w:tcPr>
          <w:p w14:paraId="2ACB0B2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23990-2009</w:t>
            </w:r>
          </w:p>
        </w:tc>
        <w:tc>
          <w:tcPr>
            <w:tcW w:w="2968" w:type="dxa"/>
            <w:vAlign w:val="center"/>
          </w:tcPr>
          <w:p w14:paraId="42A0749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0F4A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5EAB6A3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484" w:type="pct"/>
            <w:vMerge w:val="restart"/>
            <w:vAlign w:val="center"/>
          </w:tcPr>
          <w:p w14:paraId="23E11C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7D0807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6D7EF4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563A315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2FE9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8161882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F520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4E190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4371C9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FDABB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4C9B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9CEAE7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9ED4F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021F4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0A9ED6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26125-2011/附录C</w:t>
            </w:r>
          </w:p>
        </w:tc>
        <w:tc>
          <w:tcPr>
            <w:tcW w:w="2968" w:type="dxa"/>
            <w:vAlign w:val="center"/>
          </w:tcPr>
          <w:p w14:paraId="2E8D49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54B03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8633C4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0BBC852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25F40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7E93FD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03230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0E2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55862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7C738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E3316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砷（As）</w:t>
            </w:r>
          </w:p>
        </w:tc>
        <w:tc>
          <w:tcPr>
            <w:tcW w:w="1624" w:type="pct"/>
            <w:vAlign w:val="center"/>
          </w:tcPr>
          <w:p w14:paraId="759407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75FFE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37C9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5806E3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3657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C6785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钡（Ba）</w:t>
            </w:r>
          </w:p>
        </w:tc>
        <w:tc>
          <w:tcPr>
            <w:tcW w:w="1624" w:type="pct"/>
            <w:vAlign w:val="center"/>
          </w:tcPr>
          <w:p w14:paraId="169D1F2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23994-2009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/附录A</w:t>
            </w:r>
          </w:p>
        </w:tc>
        <w:tc>
          <w:tcPr>
            <w:tcW w:w="2968" w:type="dxa"/>
            <w:vAlign w:val="center"/>
          </w:tcPr>
          <w:p w14:paraId="30DEB8B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2B8C4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CCEB69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5E3382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292A1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硒（Se）</w:t>
            </w:r>
          </w:p>
        </w:tc>
        <w:tc>
          <w:tcPr>
            <w:tcW w:w="1624" w:type="pct"/>
            <w:vAlign w:val="center"/>
          </w:tcPr>
          <w:p w14:paraId="0D453E5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3F8C737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425B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2B6F79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6B767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62656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锑（Sb）</w:t>
            </w:r>
          </w:p>
        </w:tc>
        <w:tc>
          <w:tcPr>
            <w:tcW w:w="1624" w:type="pct"/>
            <w:vAlign w:val="center"/>
          </w:tcPr>
          <w:p w14:paraId="3CE8B1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C824E7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7A30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48EC0E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F236E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13474A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钴（Co）</w:t>
            </w:r>
          </w:p>
        </w:tc>
        <w:tc>
          <w:tcPr>
            <w:tcW w:w="1624" w:type="pct"/>
            <w:vAlign w:val="center"/>
          </w:tcPr>
          <w:p w14:paraId="7EC4AF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424B433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</w:tbl>
    <w:p w14:paraId="3FF33158">
      <w:pPr>
        <w:snapToGrid w:val="0"/>
        <w:spacing w:line="440" w:lineRule="exact"/>
        <w:jc w:val="center"/>
        <w:rPr>
          <w:rFonts w:hint="eastAsia" w:ascii="宋体" w:hAnsi="宋体"/>
          <w:color w:val="auto"/>
          <w:sz w:val="24"/>
          <w:szCs w:val="21"/>
        </w:rPr>
      </w:pPr>
    </w:p>
    <w:p w14:paraId="3E3D42B7">
      <w:pPr>
        <w:snapToGrid w:val="0"/>
        <w:spacing w:line="440" w:lineRule="exact"/>
        <w:jc w:val="center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表3 内墙涂料产品检验项目（</w:t>
      </w:r>
      <w:r>
        <w:rPr>
          <w:rFonts w:hint="eastAsia" w:cs="Calibri" w:asciiTheme="minorEastAsia" w:hAnsiTheme="minorEastAsia" w:eastAsiaTheme="minorEastAsia"/>
          <w:color w:val="auto"/>
          <w:sz w:val="24"/>
          <w:szCs w:val="24"/>
        </w:rPr>
        <w:t>T/CECS 10039-2019</w:t>
      </w:r>
      <w:r>
        <w:rPr>
          <w:rFonts w:hint="eastAsia" w:ascii="宋体" w:hAnsi="宋体"/>
          <w:color w:val="auto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75AEE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29A26296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473A6AA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2EB7163B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02550FA2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绿色标准要求</w:t>
            </w:r>
          </w:p>
        </w:tc>
      </w:tr>
      <w:tr w14:paraId="44F72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530F078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4E1295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挥发性有机化合物含量</w:t>
            </w:r>
          </w:p>
        </w:tc>
        <w:tc>
          <w:tcPr>
            <w:tcW w:w="1624" w:type="pct"/>
            <w:vAlign w:val="center"/>
          </w:tcPr>
          <w:p w14:paraId="5A6EAA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23986.2-2023</w:t>
            </w:r>
          </w:p>
        </w:tc>
        <w:tc>
          <w:tcPr>
            <w:tcW w:w="1617" w:type="pct"/>
            <w:vAlign w:val="center"/>
          </w:tcPr>
          <w:p w14:paraId="6355F0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7F749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AB85658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426204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总挥发性有机化合物释放量</w:t>
            </w:r>
          </w:p>
          <w:p w14:paraId="4F2D63F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342C74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481-2015/附录B</w:t>
            </w:r>
          </w:p>
        </w:tc>
        <w:tc>
          <w:tcPr>
            <w:tcW w:w="1617" w:type="pct"/>
            <w:vAlign w:val="center"/>
          </w:tcPr>
          <w:p w14:paraId="331E091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2E97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804FC6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1FF0E5A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甲醛释放量</w:t>
            </w:r>
          </w:p>
          <w:p w14:paraId="61F3AFA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15E6BF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481-2015/7.3.2</w:t>
            </w:r>
          </w:p>
        </w:tc>
        <w:tc>
          <w:tcPr>
            <w:tcW w:w="1617" w:type="pct"/>
            <w:vAlign w:val="center"/>
          </w:tcPr>
          <w:p w14:paraId="18E3BD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2B31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3CDFE4B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15C98D0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游离甲醛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含量</w:t>
            </w:r>
          </w:p>
          <w:p w14:paraId="4357D3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（高效液相法）</w:t>
            </w:r>
          </w:p>
          <w:p w14:paraId="6FB973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1233DA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34683-2017</w:t>
            </w:r>
          </w:p>
        </w:tc>
        <w:tc>
          <w:tcPr>
            <w:tcW w:w="1617" w:type="pct"/>
            <w:vAlign w:val="center"/>
          </w:tcPr>
          <w:p w14:paraId="5367D5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2BB0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657A5C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393" w:type="pct"/>
            <w:gridSpan w:val="2"/>
            <w:vAlign w:val="center"/>
          </w:tcPr>
          <w:p w14:paraId="6584A6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4151FD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23993-2009</w:t>
            </w:r>
          </w:p>
        </w:tc>
        <w:tc>
          <w:tcPr>
            <w:tcW w:w="1617" w:type="pct"/>
            <w:vAlign w:val="center"/>
          </w:tcPr>
          <w:p w14:paraId="5B698C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65A5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268A4BD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393" w:type="pct"/>
            <w:gridSpan w:val="2"/>
            <w:vAlign w:val="center"/>
          </w:tcPr>
          <w:p w14:paraId="751054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苯、甲苯、乙苯和二甲苯的总和</w:t>
            </w:r>
          </w:p>
        </w:tc>
        <w:tc>
          <w:tcPr>
            <w:tcW w:w="1624" w:type="pct"/>
            <w:vAlign w:val="center"/>
          </w:tcPr>
          <w:p w14:paraId="3FD5F3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23990-2009</w:t>
            </w:r>
          </w:p>
        </w:tc>
        <w:tc>
          <w:tcPr>
            <w:tcW w:w="1617" w:type="pct"/>
            <w:vAlign w:val="center"/>
          </w:tcPr>
          <w:p w14:paraId="5B4241E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2FB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62B19D2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484" w:type="pct"/>
            <w:vMerge w:val="restart"/>
            <w:vAlign w:val="center"/>
          </w:tcPr>
          <w:p w14:paraId="4361A0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67E8BCD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铅（Pb）</w:t>
            </w:r>
          </w:p>
          <w:p w14:paraId="2A39BB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6EEDB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24C1A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4368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E73D364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10FF1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C5743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可溶性铅（Pb）</w:t>
            </w:r>
          </w:p>
          <w:p w14:paraId="6F79BFB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0EAB71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5209533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062F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83161D4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2CE23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2A7D7D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镉（Cd）</w:t>
            </w:r>
          </w:p>
          <w:p w14:paraId="72C4F86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CFF3B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776AE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4CE3F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953B8A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E2578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7A087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可溶性镉（Cd）</w:t>
            </w:r>
          </w:p>
          <w:p w14:paraId="3A705E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6A958C6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6CF41E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2542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6B5C19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6340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C6EFD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）</w:t>
            </w:r>
          </w:p>
          <w:p w14:paraId="663874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3889CF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26125-2011/附录C</w:t>
            </w:r>
          </w:p>
        </w:tc>
        <w:tc>
          <w:tcPr>
            <w:tcW w:w="1617" w:type="pct"/>
            <w:vAlign w:val="center"/>
          </w:tcPr>
          <w:p w14:paraId="28537B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1467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4FB3DA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5F7F7B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39F5B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可溶性铬（Cr）</w:t>
            </w:r>
          </w:p>
          <w:p w14:paraId="7ADBE6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73C3A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7FB3AD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4CB6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1AA3DF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2752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5D8F56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汞（Hg）</w:t>
            </w:r>
          </w:p>
          <w:p w14:paraId="798D59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4F95F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30540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5E615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E698AD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30AF7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AE860E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可溶性汞（Hg）</w:t>
            </w:r>
          </w:p>
          <w:p w14:paraId="74379F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42C7595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5371223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6267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D40C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461732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4FB76D9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砷（As）</w:t>
            </w:r>
          </w:p>
          <w:p w14:paraId="3D50FD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6F686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51611E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645F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D80464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9AE10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173F6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钡（Ba）</w:t>
            </w:r>
          </w:p>
          <w:p w14:paraId="25AB89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A5804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23994-2009/附录A</w:t>
            </w:r>
          </w:p>
        </w:tc>
        <w:tc>
          <w:tcPr>
            <w:tcW w:w="1617" w:type="pct"/>
            <w:vAlign w:val="center"/>
          </w:tcPr>
          <w:p w14:paraId="451F91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7D88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7BF973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98EC8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3A240B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硒（Se）</w:t>
            </w:r>
          </w:p>
          <w:p w14:paraId="477E04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643FC9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B7AAD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33DC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840E474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C182B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D71B0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锑（Sb）</w:t>
            </w:r>
          </w:p>
          <w:p w14:paraId="4EA061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55D7D7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4B8F60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  <w:tr w14:paraId="274D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66AC890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AD01F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3B7F69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钴（Co）</w:t>
            </w:r>
          </w:p>
          <w:p w14:paraId="020998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34C7D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05581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10039-2019/表1</w:t>
            </w:r>
          </w:p>
        </w:tc>
      </w:tr>
    </w:tbl>
    <w:p w14:paraId="7FDE3409">
      <w:pPr>
        <w:snapToGrid w:val="0"/>
        <w:spacing w:line="440" w:lineRule="exact"/>
        <w:rPr>
          <w:rFonts w:hint="eastAsia" w:ascii="宋体" w:hAnsi="宋体"/>
          <w:color w:val="auto"/>
          <w:sz w:val="24"/>
          <w:szCs w:val="21"/>
        </w:rPr>
      </w:pPr>
    </w:p>
    <w:p w14:paraId="53FEA0B3">
      <w:pPr>
        <w:snapToGrid w:val="0"/>
        <w:spacing w:line="440" w:lineRule="exact"/>
        <w:jc w:val="center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表4 内墙涂料产品检验项目（</w:t>
      </w:r>
      <w:r>
        <w:rPr>
          <w:rFonts w:hint="eastAsia" w:cs="Calibri" w:asciiTheme="minorEastAsia" w:hAnsiTheme="minorEastAsia" w:eastAsiaTheme="minorEastAsia"/>
          <w:color w:val="auto"/>
          <w:sz w:val="24"/>
          <w:szCs w:val="24"/>
        </w:rPr>
        <w:t>HJ 2537-2014</w:t>
      </w:r>
      <w:r>
        <w:rPr>
          <w:rFonts w:hint="eastAsia" w:ascii="宋体" w:hAnsi="宋体"/>
          <w:color w:val="auto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557"/>
        <w:gridCol w:w="2981"/>
        <w:gridCol w:w="2969"/>
      </w:tblGrid>
      <w:tr w14:paraId="4838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3" w:type="pct"/>
            <w:vAlign w:val="center"/>
          </w:tcPr>
          <w:p w14:paraId="30B6308E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588EA037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F7248A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1A702626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绿色标准要求</w:t>
            </w:r>
          </w:p>
        </w:tc>
      </w:tr>
      <w:tr w14:paraId="098A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09FA7D2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333940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挥发性有机化合物（VOC）</w:t>
            </w:r>
          </w:p>
        </w:tc>
        <w:tc>
          <w:tcPr>
            <w:tcW w:w="1624" w:type="pct"/>
            <w:vAlign w:val="center"/>
          </w:tcPr>
          <w:p w14:paraId="2918724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23986-2009</w:t>
            </w:r>
          </w:p>
          <w:p w14:paraId="1FB2217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18582-2008/附录B</w:t>
            </w:r>
          </w:p>
          <w:p w14:paraId="16BE3F5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6750-2007</w:t>
            </w:r>
          </w:p>
        </w:tc>
        <w:tc>
          <w:tcPr>
            <w:tcW w:w="1617" w:type="pct"/>
            <w:vAlign w:val="center"/>
          </w:tcPr>
          <w:p w14:paraId="02DA61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0E4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71284A2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2B225C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游离甲醛</w:t>
            </w:r>
          </w:p>
        </w:tc>
        <w:tc>
          <w:tcPr>
            <w:tcW w:w="1624" w:type="pct"/>
            <w:vAlign w:val="center"/>
          </w:tcPr>
          <w:p w14:paraId="746689B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23993-2009</w:t>
            </w:r>
          </w:p>
        </w:tc>
        <w:tc>
          <w:tcPr>
            <w:tcW w:w="1617" w:type="pct"/>
            <w:vAlign w:val="center"/>
          </w:tcPr>
          <w:p w14:paraId="0B9827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4ABE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1E47884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771222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苯、甲苯、二甲苯、乙苯的总量</w:t>
            </w:r>
          </w:p>
        </w:tc>
        <w:tc>
          <w:tcPr>
            <w:tcW w:w="1624" w:type="pct"/>
            <w:vAlign w:val="center"/>
          </w:tcPr>
          <w:p w14:paraId="7772C8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18582-2008/附录A</w:t>
            </w:r>
          </w:p>
        </w:tc>
        <w:tc>
          <w:tcPr>
            <w:tcW w:w="1617" w:type="pct"/>
            <w:vAlign w:val="center"/>
          </w:tcPr>
          <w:p w14:paraId="5AE59E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66F0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7F19F9CE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393" w:type="pct"/>
            <w:vAlign w:val="center"/>
          </w:tcPr>
          <w:p w14:paraId="7DCE10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可溶性铅</w:t>
            </w:r>
          </w:p>
        </w:tc>
        <w:tc>
          <w:tcPr>
            <w:tcW w:w="1624" w:type="pct"/>
            <w:vAlign w:val="center"/>
          </w:tcPr>
          <w:p w14:paraId="15D22F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3BEE0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1194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54AD04D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393" w:type="pct"/>
            <w:vAlign w:val="center"/>
          </w:tcPr>
          <w:p w14:paraId="5DE480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可溶性镉</w:t>
            </w:r>
          </w:p>
        </w:tc>
        <w:tc>
          <w:tcPr>
            <w:tcW w:w="1624" w:type="pct"/>
            <w:vAlign w:val="center"/>
          </w:tcPr>
          <w:p w14:paraId="07D432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57DEF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6689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6ED9A57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393" w:type="pct"/>
            <w:vAlign w:val="center"/>
          </w:tcPr>
          <w:p w14:paraId="38CB06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可溶性铬</w:t>
            </w:r>
          </w:p>
        </w:tc>
        <w:tc>
          <w:tcPr>
            <w:tcW w:w="1624" w:type="pct"/>
            <w:vAlign w:val="center"/>
          </w:tcPr>
          <w:p w14:paraId="5BA2995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83FD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03F0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2C1A844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1393" w:type="pct"/>
            <w:vAlign w:val="center"/>
          </w:tcPr>
          <w:p w14:paraId="3B4653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可溶性汞</w:t>
            </w:r>
          </w:p>
        </w:tc>
        <w:tc>
          <w:tcPr>
            <w:tcW w:w="1624" w:type="pct"/>
            <w:vAlign w:val="center"/>
          </w:tcPr>
          <w:p w14:paraId="3C5F00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A9FC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</w:tbl>
    <w:p w14:paraId="1A3E0486">
      <w:pPr>
        <w:snapToGrid w:val="0"/>
        <w:spacing w:line="440" w:lineRule="exact"/>
        <w:rPr>
          <w:rFonts w:hint="eastAsia" w:ascii="宋体" w:hAnsi="宋体"/>
          <w:color w:val="auto"/>
          <w:sz w:val="24"/>
          <w:szCs w:val="21"/>
        </w:rPr>
      </w:pPr>
    </w:p>
    <w:p w14:paraId="13F7B4A2">
      <w:pPr>
        <w:spacing w:line="460" w:lineRule="exact"/>
        <w:rPr>
          <w:rFonts w:hint="eastAsia" w:ascii="宋体" w:hAnsi="宋体" w:cs="Calibri"/>
          <w:color w:val="auto"/>
          <w:sz w:val="24"/>
        </w:rPr>
      </w:pPr>
      <w:r>
        <w:rPr>
          <w:rFonts w:hint="eastAsia" w:ascii="黑体" w:hAnsi="黑体" w:eastAsia="黑体" w:cs="Calibri"/>
          <w:color w:val="auto"/>
          <w:sz w:val="24"/>
        </w:rPr>
        <w:t>4</w:t>
      </w:r>
      <w:r>
        <w:rPr>
          <w:rFonts w:ascii="黑体" w:hAnsi="黑体" w:eastAsia="黑体" w:cs="Calibri"/>
          <w:color w:val="auto"/>
          <w:sz w:val="24"/>
        </w:rPr>
        <w:t xml:space="preserve"> </w:t>
      </w:r>
      <w:r>
        <w:rPr>
          <w:rFonts w:hint="eastAsia" w:ascii="黑体" w:hAnsi="黑体" w:eastAsia="黑体" w:cs="Calibri"/>
          <w:color w:val="auto"/>
          <w:sz w:val="24"/>
        </w:rPr>
        <w:t>检验结果判定</w:t>
      </w:r>
    </w:p>
    <w:p w14:paraId="0B183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auto"/>
          <w:sz w:val="24"/>
        </w:rPr>
      </w:pPr>
      <w:r>
        <w:rPr>
          <w:rFonts w:hint="eastAsia" w:ascii="宋体" w:hAnsi="宋体" w:cs="Calibri"/>
          <w:color w:val="auto"/>
          <w:sz w:val="24"/>
        </w:rPr>
        <w:t>4.1 经抽样检测，所检项目符合</w:t>
      </w:r>
      <w:r>
        <w:rPr>
          <w:rFonts w:hint="eastAsia" w:ascii="宋体" w:hAnsi="宋体" w:cs="Calibri"/>
          <w:color w:val="auto"/>
          <w:sz w:val="24"/>
          <w:lang w:eastAsia="zh-CN"/>
        </w:rPr>
        <w:t>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》”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”标准，依据《2026年度上海市绿色产品认证有效性抽查实施细则—内墙涂料》，判定为合格。</w:t>
      </w:r>
    </w:p>
    <w:p w14:paraId="25242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color w:val="auto"/>
        </w:rPr>
      </w:pPr>
      <w:r>
        <w:rPr>
          <w:rFonts w:hint="eastAsia" w:ascii="宋体" w:hAnsi="宋体" w:cs="Calibri"/>
          <w:color w:val="auto"/>
          <w:sz w:val="24"/>
        </w:rPr>
        <w:t>4.2 经抽样检测，xxx项目不符合“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”标准，依据《2026年度上海市绿色产品认证有效性抽查实施细则—内墙涂料》，判定为不合格。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A1209"/>
    <w:rsid w:val="001C3621"/>
    <w:rsid w:val="001D558F"/>
    <w:rsid w:val="001D5904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11A50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3A65"/>
    <w:rsid w:val="003F3FFB"/>
    <w:rsid w:val="004048BA"/>
    <w:rsid w:val="004202B0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C745E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40481"/>
    <w:rsid w:val="00865437"/>
    <w:rsid w:val="00866888"/>
    <w:rsid w:val="00880F39"/>
    <w:rsid w:val="008818DE"/>
    <w:rsid w:val="008914CE"/>
    <w:rsid w:val="008948E6"/>
    <w:rsid w:val="008975A1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414B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0695A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A1E63D6"/>
    <w:rsid w:val="0AA925B8"/>
    <w:rsid w:val="0BD20E2E"/>
    <w:rsid w:val="0BD6768B"/>
    <w:rsid w:val="0F6C009E"/>
    <w:rsid w:val="0F9B5220"/>
    <w:rsid w:val="15FA48AD"/>
    <w:rsid w:val="16551936"/>
    <w:rsid w:val="18574FEA"/>
    <w:rsid w:val="19435E67"/>
    <w:rsid w:val="198E34AD"/>
    <w:rsid w:val="1A0B1A98"/>
    <w:rsid w:val="1F662F60"/>
    <w:rsid w:val="21A47F7F"/>
    <w:rsid w:val="267052CD"/>
    <w:rsid w:val="27300592"/>
    <w:rsid w:val="274D4B08"/>
    <w:rsid w:val="289F35CD"/>
    <w:rsid w:val="28F15B02"/>
    <w:rsid w:val="2ABA2BBE"/>
    <w:rsid w:val="2C527DEF"/>
    <w:rsid w:val="2CA455C9"/>
    <w:rsid w:val="303C22D5"/>
    <w:rsid w:val="30697C5A"/>
    <w:rsid w:val="32C34D48"/>
    <w:rsid w:val="39A04098"/>
    <w:rsid w:val="3B72794D"/>
    <w:rsid w:val="3C081B33"/>
    <w:rsid w:val="3D13573D"/>
    <w:rsid w:val="3E4B54BF"/>
    <w:rsid w:val="42D841B8"/>
    <w:rsid w:val="48C42A3E"/>
    <w:rsid w:val="49DF7C80"/>
    <w:rsid w:val="4A5A56EA"/>
    <w:rsid w:val="4DB017E2"/>
    <w:rsid w:val="4F8D6DB3"/>
    <w:rsid w:val="50E0418D"/>
    <w:rsid w:val="51C16DB8"/>
    <w:rsid w:val="53230361"/>
    <w:rsid w:val="5359055D"/>
    <w:rsid w:val="56B87EE3"/>
    <w:rsid w:val="56DE2F1C"/>
    <w:rsid w:val="573572FC"/>
    <w:rsid w:val="5BB90387"/>
    <w:rsid w:val="5D882B80"/>
    <w:rsid w:val="5F681F1D"/>
    <w:rsid w:val="67101E22"/>
    <w:rsid w:val="69AA7576"/>
    <w:rsid w:val="6C8E6D3B"/>
    <w:rsid w:val="6CD27D15"/>
    <w:rsid w:val="70021822"/>
    <w:rsid w:val="718D5813"/>
    <w:rsid w:val="72CC4119"/>
    <w:rsid w:val="74EC05FD"/>
    <w:rsid w:val="752E0E4E"/>
    <w:rsid w:val="77EB7A4D"/>
    <w:rsid w:val="780E0771"/>
    <w:rsid w:val="797D2A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3</Pages>
  <Words>575</Words>
  <Characters>1073</Characters>
  <Lines>191</Lines>
  <Paragraphs>199</Paragraphs>
  <TotalTime>0</TotalTime>
  <ScaleCrop>false</ScaleCrop>
  <LinksUpToDate>false</LinksUpToDate>
  <CharactersWithSpaces>1113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2026-02-11T10:01:26Z</dcterms:modified>
  <dc:title>××产品质量监督抽查实施细则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CEBB383BD1F442D39251C5AA64CDA5D2_13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