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AF15298">
      <w:pPr>
        <w:snapToGrid w:val="0"/>
        <w:spacing w:line="360" w:lineRule="auto"/>
        <w:jc w:val="right"/>
        <w:rPr>
          <w:rFonts w:ascii="仿宋_GB2312" w:hAnsi="Calibri" w:eastAsia="仿宋_GB2312" w:cs="Calibri"/>
          <w:color w:val="000000"/>
          <w:sz w:val="28"/>
          <w:szCs w:val="28"/>
        </w:rPr>
      </w:pPr>
      <w:r>
        <w:rPr>
          <w:rFonts w:hint="eastAsia" w:ascii="仿宋" w:hAnsi="仿宋" w:eastAsia="仿宋" w:cs="仿宋"/>
          <w:color w:val="000000"/>
          <w:sz w:val="28"/>
          <w:szCs w:val="28"/>
        </w:rPr>
        <w:t>编号：</w:t>
      </w:r>
      <w:r>
        <w:rPr>
          <w:rFonts w:hint="eastAsia" w:ascii="仿宋" w:hAnsi="仿宋" w:eastAsia="仿宋" w:cs="仿宋"/>
          <w:color w:val="000000"/>
          <w:sz w:val="28"/>
          <w:szCs w:val="28"/>
          <w:lang w:val="en-US" w:eastAsia="zh-CN"/>
        </w:rPr>
        <w:t>SHSSXZRZ0026</w:t>
      </w:r>
      <w:bookmarkStart w:id="0" w:name="_GoBack"/>
      <w:bookmarkEnd w:id="0"/>
      <w:r>
        <w:rPr>
          <w:rFonts w:hint="eastAsia" w:ascii="仿宋" w:hAnsi="仿宋" w:eastAsia="仿宋" w:cs="仿宋"/>
          <w:color w:val="000000"/>
          <w:sz w:val="28"/>
          <w:szCs w:val="28"/>
          <w:lang w:val="en-US" w:eastAsia="zh-CN"/>
        </w:rPr>
        <w:t>-2026</w:t>
      </w:r>
    </w:p>
    <w:p w14:paraId="00CAE18A">
      <w:pPr>
        <w:snapToGrid w:val="0"/>
        <w:spacing w:line="360" w:lineRule="auto"/>
        <w:jc w:val="center"/>
        <w:rPr>
          <w:rFonts w:ascii="黑体" w:hAnsi="黑体" w:eastAsia="黑体" w:cs="Calibri"/>
          <w:color w:val="000000"/>
          <w:sz w:val="32"/>
          <w:szCs w:val="32"/>
        </w:rPr>
      </w:pPr>
      <w:r>
        <w:rPr>
          <w:rFonts w:hint="eastAsia" w:ascii="黑体" w:hAnsi="黑体" w:eastAsia="黑体" w:cs="Calibri"/>
          <w:color w:val="000000"/>
          <w:sz w:val="32"/>
          <w:szCs w:val="32"/>
        </w:rPr>
        <w:t>上海市绿色产品认证有效性抽查实施细则</w:t>
      </w:r>
    </w:p>
    <w:p w14:paraId="08E7CA84">
      <w:pPr>
        <w:snapToGrid w:val="0"/>
        <w:spacing w:line="440" w:lineRule="exact"/>
        <w:jc w:val="center"/>
        <w:rPr>
          <w:rFonts w:ascii="楷体" w:hAnsi="楷体" w:eastAsia="楷体" w:cs="微软雅黑"/>
          <w:color w:val="000000"/>
          <w:sz w:val="32"/>
          <w:szCs w:val="32"/>
        </w:rPr>
      </w:pPr>
      <w:r>
        <w:rPr>
          <w:rFonts w:hint="eastAsia" w:ascii="楷体" w:hAnsi="楷体" w:eastAsia="楷体" w:cs="微软雅黑"/>
          <w:color w:val="000000"/>
          <w:sz w:val="32"/>
          <w:szCs w:val="32"/>
        </w:rPr>
        <w:t>预拌混凝土、预拌砂浆</w:t>
      </w:r>
    </w:p>
    <w:p w14:paraId="7ACFB3F1">
      <w:pPr>
        <w:snapToGrid w:val="0"/>
        <w:spacing w:line="440" w:lineRule="exact"/>
        <w:rPr>
          <w:rFonts w:ascii="黑体" w:hAnsi="宋体" w:eastAsia="黑体"/>
          <w:color w:val="000000"/>
          <w:sz w:val="24"/>
          <w:szCs w:val="21"/>
        </w:rPr>
      </w:pPr>
      <w:r>
        <w:rPr>
          <w:rFonts w:hint="eastAsia" w:ascii="黑体" w:hAnsi="宋体" w:eastAsia="黑体"/>
          <w:color w:val="000000"/>
          <w:sz w:val="24"/>
          <w:szCs w:val="21"/>
        </w:rPr>
        <w:t>1抽样目的</w:t>
      </w:r>
    </w:p>
    <w:p w14:paraId="583404A9">
      <w:pPr>
        <w:snapToGrid w:val="0"/>
        <w:spacing w:line="440" w:lineRule="exact"/>
        <w:ind w:firstLine="480" w:firstLineChars="200"/>
        <w:rPr>
          <w:rFonts w:ascii="宋体" w:hAnsi="宋体" w:cs="Calibri"/>
          <w:color w:val="000000"/>
          <w:sz w:val="24"/>
          <w:szCs w:val="21"/>
        </w:rPr>
      </w:pPr>
      <w:r>
        <w:rPr>
          <w:rFonts w:hint="eastAsia" w:ascii="宋体" w:hAnsi="宋体" w:cs="Calibri"/>
          <w:color w:val="000000"/>
          <w:sz w:val="24"/>
          <w:szCs w:val="21"/>
        </w:rPr>
        <w:t>全面掌握上海市绿色产品认证活动有效性，及时发现和查处绿色产品认证违法违规行为，规范绿色产品市场秩序，提高绿色产品质量水平，保障消费者权益，推动绿色产业健康有序发展。</w:t>
      </w:r>
    </w:p>
    <w:p w14:paraId="31E6CEC7">
      <w:pPr>
        <w:snapToGrid w:val="0"/>
        <w:spacing w:line="440" w:lineRule="exact"/>
        <w:rPr>
          <w:rFonts w:ascii="宋体" w:hAnsi="宋体"/>
          <w:color w:val="000000"/>
          <w:sz w:val="24"/>
          <w:szCs w:val="21"/>
        </w:rPr>
      </w:pPr>
      <w:r>
        <w:rPr>
          <w:rFonts w:hint="eastAsia" w:ascii="黑体" w:hAnsi="宋体" w:eastAsia="黑体"/>
          <w:color w:val="000000"/>
          <w:sz w:val="24"/>
          <w:szCs w:val="21"/>
        </w:rPr>
        <w:t>2抽样方法</w:t>
      </w:r>
    </w:p>
    <w:p w14:paraId="7885034A">
      <w:pPr>
        <w:snapToGrid w:val="0"/>
        <w:spacing w:line="460" w:lineRule="exact"/>
        <w:rPr>
          <w:rFonts w:ascii="宋体" w:hAnsi="宋体" w:cs="Calibri"/>
          <w:color w:val="000000"/>
          <w:sz w:val="24"/>
        </w:rPr>
      </w:pPr>
      <w:r>
        <w:rPr>
          <w:rFonts w:hint="eastAsia" w:ascii="宋体" w:hAnsi="宋体" w:cs="Calibri"/>
          <w:color w:val="000000"/>
          <w:sz w:val="24"/>
        </w:rPr>
        <w:t>2</w:t>
      </w:r>
      <w:r>
        <w:rPr>
          <w:rFonts w:ascii="宋体" w:hAnsi="宋体" w:cs="Calibri"/>
          <w:color w:val="000000"/>
          <w:sz w:val="24"/>
        </w:rPr>
        <w:t xml:space="preserve">.1 </w:t>
      </w:r>
      <w:r>
        <w:rPr>
          <w:rFonts w:hint="eastAsia" w:ascii="宋体" w:hAnsi="宋体" w:cs="Calibri"/>
          <w:color w:val="000000"/>
          <w:sz w:val="24"/>
        </w:rPr>
        <w:t>预拌混凝土</w:t>
      </w:r>
      <w:r>
        <w:rPr>
          <w:rFonts w:ascii="宋体" w:hAnsi="宋体" w:cs="Calibri"/>
          <w:color w:val="000000"/>
          <w:sz w:val="24"/>
        </w:rPr>
        <w:t>绿色产品认证</w:t>
      </w:r>
      <w:r>
        <w:rPr>
          <w:rFonts w:hint="eastAsia" w:ascii="宋体" w:hAnsi="宋体" w:cs="Calibri"/>
          <w:color w:val="000000"/>
          <w:sz w:val="24"/>
        </w:rPr>
        <w:t>抽样方法</w:t>
      </w:r>
    </w:p>
    <w:p w14:paraId="1686A602">
      <w:pPr>
        <w:snapToGrid w:val="0"/>
        <w:spacing w:line="440" w:lineRule="exact"/>
        <w:ind w:firstLine="480" w:firstLineChars="200"/>
        <w:rPr>
          <w:rFonts w:ascii="宋体" w:hAnsi="宋体" w:cs="Calibri"/>
          <w:color w:val="000000"/>
          <w:sz w:val="24"/>
        </w:rPr>
      </w:pPr>
      <w:r>
        <w:rPr>
          <w:rFonts w:hint="eastAsia" w:ascii="宋体" w:hAnsi="宋体" w:cs="Calibri"/>
          <w:color w:val="000000"/>
          <w:sz w:val="24"/>
        </w:rPr>
        <w:t>预拌混凝土</w:t>
      </w:r>
      <w:r>
        <w:rPr>
          <w:rFonts w:ascii="宋体" w:hAnsi="宋体" w:cs="Calibri"/>
          <w:color w:val="000000"/>
          <w:sz w:val="24"/>
        </w:rPr>
        <w:t>绿色产品认证</w:t>
      </w:r>
      <w:r>
        <w:rPr>
          <w:rFonts w:hint="eastAsia" w:ascii="宋体" w:hAnsi="宋体" w:cs="Calibri"/>
          <w:color w:val="000000"/>
          <w:sz w:val="24"/>
        </w:rPr>
        <w:t>适用于C</w:t>
      </w:r>
      <w:r>
        <w:rPr>
          <w:rFonts w:ascii="宋体" w:hAnsi="宋体" w:cs="Calibri"/>
          <w:color w:val="000000"/>
          <w:sz w:val="24"/>
        </w:rPr>
        <w:t>20</w:t>
      </w:r>
      <w:r>
        <w:rPr>
          <w:rFonts w:hint="eastAsia" w:ascii="宋体" w:hAnsi="宋体" w:cs="Calibri"/>
          <w:color w:val="000000"/>
          <w:sz w:val="24"/>
        </w:rPr>
        <w:t>及以上强度等级的预拌混凝土。首先确认生产者获证产品的认证等级，对预拌混凝土生产者进行认证有效性抽查，宜以同一种类、同一等级产品为一批。在被抽查生产者生产并预留的混凝土试件中随机抽取不同批次试件，抽取样品数量应按表1的规定执行。</w:t>
      </w:r>
    </w:p>
    <w:p w14:paraId="5258D303">
      <w:pPr>
        <w:snapToGrid w:val="0"/>
        <w:spacing w:line="440" w:lineRule="exact"/>
        <w:ind w:firstLine="480" w:firstLineChars="200"/>
        <w:rPr>
          <w:rFonts w:ascii="宋体" w:hAnsi="宋体" w:cs="Calibri"/>
          <w:color w:val="000000"/>
          <w:sz w:val="24"/>
          <w:szCs w:val="21"/>
        </w:rPr>
      </w:pPr>
      <w:r>
        <w:rPr>
          <w:rFonts w:hint="eastAsia" w:ascii="宋体" w:hAnsi="宋体" w:cs="Calibri"/>
          <w:color w:val="000000"/>
          <w:sz w:val="24"/>
          <w:szCs w:val="21"/>
        </w:rPr>
        <w:t>当被抽查生产者中被抽型号预留的混凝土试件缺失或不足时，被抽查</w:t>
      </w:r>
      <w:r>
        <w:rPr>
          <w:rFonts w:hint="eastAsia" w:ascii="宋体" w:hAnsi="宋体" w:cs="Calibri"/>
          <w:color w:val="000000"/>
          <w:sz w:val="24"/>
        </w:rPr>
        <w:t>生产者应现场进行小批量生产或试拌，并制作符合表1要求的混凝土试件。</w:t>
      </w:r>
      <w:r>
        <w:rPr>
          <w:rFonts w:hint="eastAsia" w:ascii="宋体" w:hAnsi="宋体" w:cs="Calibri"/>
          <w:color w:val="000000"/>
          <w:sz w:val="24"/>
          <w:szCs w:val="21"/>
        </w:rPr>
        <w:t>制作好的混凝土试件表面应刻字标识，并立即放入标养室养护至20d，后由抽样单位将混凝土试件送至实验室。</w:t>
      </w:r>
    </w:p>
    <w:p w14:paraId="45E13A6C">
      <w:pPr>
        <w:snapToGrid w:val="0"/>
        <w:spacing w:line="440" w:lineRule="exact"/>
        <w:ind w:firstLine="480" w:firstLineChars="200"/>
        <w:jc w:val="center"/>
        <w:rPr>
          <w:rFonts w:hint="eastAsia" w:ascii="宋体" w:hAnsi="宋体"/>
          <w:color w:val="000000"/>
          <w:sz w:val="24"/>
          <w:szCs w:val="21"/>
        </w:rPr>
      </w:pPr>
      <w:r>
        <w:rPr>
          <w:rFonts w:hint="eastAsia" w:ascii="宋体" w:hAnsi="宋体"/>
          <w:color w:val="000000"/>
          <w:sz w:val="24"/>
          <w:szCs w:val="21"/>
        </w:rPr>
        <w:t>表1 每批预拌混凝土需抽取的样品数量</w:t>
      </w:r>
    </w:p>
    <w:tbl>
      <w:tblPr>
        <w:tblStyle w:val="8"/>
        <w:tblpPr w:leftFromText="180" w:rightFromText="180" w:vertAnchor="text" w:tblpXSpec="center" w:tblpY="1"/>
        <w:tblOverlap w:val="never"/>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427"/>
        <w:gridCol w:w="1948"/>
        <w:gridCol w:w="4111"/>
        <w:gridCol w:w="710"/>
        <w:gridCol w:w="1977"/>
      </w:tblGrid>
      <w:tr w14:paraId="0C8EF6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233" w:type="pct"/>
            <w:vAlign w:val="center"/>
          </w:tcPr>
          <w:p w14:paraId="6C8B0A10">
            <w:pPr>
              <w:snapToGrid w:val="0"/>
              <w:jc w:val="center"/>
              <w:rPr>
                <w:rFonts w:ascii="宋体" w:hAnsi="宋体" w:cs="宋体"/>
                <w:color w:val="000000"/>
                <w:szCs w:val="21"/>
              </w:rPr>
            </w:pPr>
            <w:r>
              <w:rPr>
                <w:rFonts w:hint="eastAsia" w:ascii="宋体" w:hAnsi="宋体" w:cs="宋体"/>
                <w:color w:val="000000"/>
                <w:szCs w:val="21"/>
              </w:rPr>
              <w:t>序号</w:t>
            </w:r>
          </w:p>
        </w:tc>
        <w:tc>
          <w:tcPr>
            <w:tcW w:w="1062" w:type="pct"/>
            <w:vAlign w:val="center"/>
          </w:tcPr>
          <w:p w14:paraId="0BC6F0B1">
            <w:pPr>
              <w:jc w:val="center"/>
              <w:rPr>
                <w:rFonts w:ascii="宋体" w:hAnsi="宋体" w:cs="宋体"/>
                <w:color w:val="000000"/>
                <w:szCs w:val="21"/>
              </w:rPr>
            </w:pPr>
            <w:r>
              <w:rPr>
                <w:rFonts w:hint="eastAsia" w:ascii="宋体" w:hAnsi="宋体" w:cs="宋体"/>
                <w:color w:val="000000"/>
                <w:szCs w:val="21"/>
              </w:rPr>
              <w:t>检测项目</w:t>
            </w:r>
          </w:p>
        </w:tc>
        <w:tc>
          <w:tcPr>
            <w:tcW w:w="2241" w:type="pct"/>
            <w:vAlign w:val="center"/>
          </w:tcPr>
          <w:p w14:paraId="22363425">
            <w:pPr>
              <w:tabs>
                <w:tab w:val="center" w:pos="4153"/>
                <w:tab w:val="right" w:pos="8306"/>
              </w:tabs>
              <w:jc w:val="center"/>
              <w:rPr>
                <w:rFonts w:ascii="宋体" w:hAnsi="宋体" w:cs="宋体"/>
                <w:color w:val="000000"/>
                <w:szCs w:val="21"/>
              </w:rPr>
            </w:pPr>
            <w:r>
              <w:rPr>
                <w:rFonts w:hint="eastAsia" w:ascii="宋体" w:hAnsi="宋体" w:cs="宋体"/>
                <w:color w:val="000000"/>
                <w:szCs w:val="21"/>
              </w:rPr>
              <w:t>抽样数量</w:t>
            </w:r>
          </w:p>
        </w:tc>
        <w:tc>
          <w:tcPr>
            <w:tcW w:w="387" w:type="pct"/>
            <w:vAlign w:val="center"/>
          </w:tcPr>
          <w:p w14:paraId="69D66514">
            <w:pPr>
              <w:tabs>
                <w:tab w:val="center" w:pos="4153"/>
                <w:tab w:val="right" w:pos="8306"/>
              </w:tabs>
              <w:jc w:val="center"/>
              <w:rPr>
                <w:rFonts w:ascii="宋体" w:hAnsi="宋体" w:cs="宋体"/>
                <w:color w:val="000000"/>
                <w:szCs w:val="21"/>
              </w:rPr>
            </w:pPr>
            <w:r>
              <w:rPr>
                <w:rFonts w:hint="eastAsia" w:ascii="宋体" w:hAnsi="宋体" w:cs="宋体"/>
                <w:color w:val="000000"/>
                <w:szCs w:val="21"/>
              </w:rPr>
              <w:t>检样</w:t>
            </w:r>
          </w:p>
          <w:p w14:paraId="6A0C5CD0">
            <w:pPr>
              <w:tabs>
                <w:tab w:val="center" w:pos="4153"/>
                <w:tab w:val="right" w:pos="8306"/>
              </w:tabs>
              <w:jc w:val="center"/>
              <w:rPr>
                <w:rFonts w:ascii="宋体" w:hAnsi="宋体" w:cs="宋体"/>
                <w:color w:val="000000"/>
                <w:szCs w:val="21"/>
              </w:rPr>
            </w:pPr>
            <w:r>
              <w:rPr>
                <w:rFonts w:hint="eastAsia" w:ascii="宋体" w:hAnsi="宋体" w:cs="宋体"/>
                <w:color w:val="000000"/>
                <w:szCs w:val="21"/>
              </w:rPr>
              <w:t>数量</w:t>
            </w:r>
          </w:p>
        </w:tc>
        <w:tc>
          <w:tcPr>
            <w:tcW w:w="1077" w:type="pct"/>
            <w:vAlign w:val="center"/>
          </w:tcPr>
          <w:p w14:paraId="0B1F2F3F">
            <w:pPr>
              <w:tabs>
                <w:tab w:val="center" w:pos="4153"/>
                <w:tab w:val="right" w:pos="8306"/>
              </w:tabs>
              <w:jc w:val="center"/>
              <w:rPr>
                <w:rFonts w:ascii="宋体" w:hAnsi="宋体" w:cs="宋体"/>
                <w:color w:val="000000"/>
                <w:szCs w:val="21"/>
              </w:rPr>
            </w:pPr>
            <w:r>
              <w:rPr>
                <w:rFonts w:hint="eastAsia" w:ascii="宋体" w:hAnsi="宋体" w:cs="宋体"/>
                <w:color w:val="000000"/>
                <w:szCs w:val="21"/>
              </w:rPr>
              <w:t>备样</w:t>
            </w:r>
          </w:p>
          <w:p w14:paraId="713FF1C8">
            <w:pPr>
              <w:tabs>
                <w:tab w:val="center" w:pos="4153"/>
                <w:tab w:val="right" w:pos="8306"/>
              </w:tabs>
              <w:jc w:val="center"/>
              <w:rPr>
                <w:rFonts w:ascii="宋体" w:hAnsi="宋体" w:cs="宋体"/>
                <w:color w:val="000000"/>
                <w:szCs w:val="21"/>
              </w:rPr>
            </w:pPr>
            <w:r>
              <w:rPr>
                <w:rFonts w:hint="eastAsia" w:ascii="宋体" w:hAnsi="宋体" w:cs="宋体"/>
                <w:color w:val="000000"/>
                <w:szCs w:val="21"/>
              </w:rPr>
              <w:t>数量</w:t>
            </w:r>
          </w:p>
        </w:tc>
      </w:tr>
      <w:tr w14:paraId="6FC751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233" w:type="pct"/>
            <w:vAlign w:val="center"/>
          </w:tcPr>
          <w:p w14:paraId="63819168">
            <w:pPr>
              <w:snapToGrid w:val="0"/>
              <w:jc w:val="center"/>
              <w:rPr>
                <w:rFonts w:ascii="宋体" w:hAnsi="宋体" w:cs="宋体"/>
                <w:color w:val="000000"/>
                <w:szCs w:val="21"/>
              </w:rPr>
            </w:pPr>
            <w:r>
              <w:rPr>
                <w:rFonts w:cs="Calibri" w:asciiTheme="minorEastAsia" w:hAnsiTheme="minorEastAsia" w:eastAsiaTheme="minorEastAsia"/>
                <w:color w:val="000000"/>
                <w:szCs w:val="21"/>
              </w:rPr>
              <w:t>1</w:t>
            </w:r>
          </w:p>
        </w:tc>
        <w:tc>
          <w:tcPr>
            <w:tcW w:w="1062" w:type="pct"/>
            <w:shd w:val="clear" w:color="auto" w:fill="auto"/>
            <w:vAlign w:val="center"/>
          </w:tcPr>
          <w:p w14:paraId="27AECF6C">
            <w:pPr>
              <w:snapToGrid w:val="0"/>
              <w:jc w:val="center"/>
              <w:rPr>
                <w:rFonts w:ascii="宋体" w:hAnsi="宋体" w:cs="宋体"/>
                <w:color w:val="000000"/>
                <w:szCs w:val="21"/>
              </w:rPr>
            </w:pPr>
            <w:r>
              <w:rPr>
                <w:rFonts w:hint="eastAsia" w:ascii="宋体" w:hAnsi="宋体" w:cs="宋体"/>
                <w:color w:val="000000"/>
                <w:szCs w:val="21"/>
              </w:rPr>
              <w:t>放射性比活度</w:t>
            </w:r>
          </w:p>
        </w:tc>
        <w:tc>
          <w:tcPr>
            <w:tcW w:w="2241" w:type="pct"/>
            <w:vAlign w:val="center"/>
          </w:tcPr>
          <w:p w14:paraId="5694F966">
            <w:pPr>
              <w:snapToGrid w:val="0"/>
              <w:jc w:val="center"/>
              <w:rPr>
                <w:rFonts w:ascii="宋体" w:hAnsi="宋体" w:cs="宋体"/>
                <w:color w:val="000000"/>
                <w:szCs w:val="21"/>
              </w:rPr>
            </w:pPr>
            <w:r>
              <w:rPr>
                <w:rFonts w:ascii="宋体" w:hAnsi="宋体" w:cs="宋体"/>
                <w:color w:val="000000"/>
                <w:szCs w:val="21"/>
              </w:rPr>
              <w:t>100mm×100mm×100mm</w:t>
            </w:r>
            <w:r>
              <w:rPr>
                <w:rFonts w:hint="eastAsia" w:ascii="宋体" w:hAnsi="宋体" w:cs="宋体"/>
                <w:color w:val="000000"/>
                <w:szCs w:val="21"/>
              </w:rPr>
              <w:t>立方体试块，</w:t>
            </w:r>
            <w:r>
              <w:rPr>
                <w:rFonts w:ascii="宋体" w:hAnsi="宋体" w:cs="宋体"/>
                <w:color w:val="000000"/>
                <w:szCs w:val="21"/>
              </w:rPr>
              <w:t>6</w:t>
            </w:r>
            <w:r>
              <w:rPr>
                <w:rFonts w:hint="eastAsia" w:ascii="宋体" w:hAnsi="宋体" w:cs="宋体"/>
                <w:color w:val="000000"/>
                <w:szCs w:val="21"/>
              </w:rPr>
              <w:t>块</w:t>
            </w:r>
          </w:p>
        </w:tc>
        <w:tc>
          <w:tcPr>
            <w:tcW w:w="387" w:type="pct"/>
            <w:shd w:val="clear" w:color="auto" w:fill="auto"/>
            <w:vAlign w:val="center"/>
          </w:tcPr>
          <w:p w14:paraId="78583208">
            <w:pPr>
              <w:snapToGrid w:val="0"/>
              <w:jc w:val="center"/>
              <w:rPr>
                <w:rFonts w:ascii="宋体" w:hAnsi="宋体" w:cs="宋体"/>
                <w:color w:val="000000"/>
                <w:szCs w:val="21"/>
              </w:rPr>
            </w:pPr>
            <w:r>
              <w:rPr>
                <w:rFonts w:hint="eastAsia" w:ascii="宋体" w:hAnsi="宋体" w:cs="宋体"/>
                <w:color w:val="000000"/>
                <w:szCs w:val="21"/>
              </w:rPr>
              <w:t>3块</w:t>
            </w:r>
          </w:p>
        </w:tc>
        <w:tc>
          <w:tcPr>
            <w:tcW w:w="1077" w:type="pct"/>
            <w:vAlign w:val="center"/>
          </w:tcPr>
          <w:p w14:paraId="4A4DB426">
            <w:pPr>
              <w:snapToGrid w:val="0"/>
              <w:jc w:val="center"/>
              <w:rPr>
                <w:rFonts w:ascii="宋体" w:hAnsi="宋体" w:cs="宋体"/>
                <w:color w:val="000000"/>
                <w:szCs w:val="21"/>
              </w:rPr>
            </w:pPr>
            <w:r>
              <w:rPr>
                <w:rFonts w:hint="eastAsia" w:ascii="宋体" w:hAnsi="宋体" w:cs="宋体"/>
                <w:color w:val="000000"/>
                <w:szCs w:val="21"/>
              </w:rPr>
              <w:t>3块</w:t>
            </w:r>
          </w:p>
        </w:tc>
      </w:tr>
      <w:tr w14:paraId="031BAE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233" w:type="pct"/>
            <w:vAlign w:val="center"/>
          </w:tcPr>
          <w:p w14:paraId="54AAA428">
            <w:pPr>
              <w:snapToGrid w:val="0"/>
              <w:jc w:val="center"/>
              <w:rPr>
                <w:rFonts w:ascii="宋体" w:hAnsi="宋体" w:cs="宋体"/>
                <w:color w:val="000000"/>
                <w:szCs w:val="21"/>
              </w:rPr>
            </w:pPr>
            <w:r>
              <w:rPr>
                <w:rFonts w:cs="Calibri" w:asciiTheme="minorEastAsia" w:hAnsiTheme="minorEastAsia" w:eastAsiaTheme="minorEastAsia"/>
                <w:color w:val="000000"/>
                <w:szCs w:val="21"/>
              </w:rPr>
              <w:t>2</w:t>
            </w:r>
          </w:p>
        </w:tc>
        <w:tc>
          <w:tcPr>
            <w:tcW w:w="1062" w:type="pct"/>
            <w:shd w:val="clear" w:color="auto" w:fill="auto"/>
            <w:vAlign w:val="center"/>
          </w:tcPr>
          <w:p w14:paraId="31687729">
            <w:pPr>
              <w:snapToGrid w:val="0"/>
              <w:jc w:val="center"/>
              <w:rPr>
                <w:rFonts w:ascii="宋体" w:hAnsi="宋体" w:cs="宋体"/>
                <w:color w:val="000000"/>
                <w:szCs w:val="21"/>
              </w:rPr>
            </w:pPr>
            <w:r>
              <w:rPr>
                <w:rFonts w:hint="eastAsia" w:cs="Calibri" w:asciiTheme="minorEastAsia" w:hAnsiTheme="minorEastAsia" w:eastAsiaTheme="minorEastAsia"/>
                <w:color w:val="000000"/>
                <w:szCs w:val="21"/>
              </w:rPr>
              <w:t>水溶性氯离子含量</w:t>
            </w:r>
          </w:p>
        </w:tc>
        <w:tc>
          <w:tcPr>
            <w:tcW w:w="2241" w:type="pct"/>
            <w:vAlign w:val="center"/>
          </w:tcPr>
          <w:p w14:paraId="0FB03790">
            <w:pPr>
              <w:snapToGrid w:val="0"/>
              <w:jc w:val="center"/>
              <w:rPr>
                <w:rFonts w:ascii="宋体" w:hAnsi="宋体" w:cs="宋体"/>
                <w:color w:val="000000"/>
                <w:szCs w:val="21"/>
              </w:rPr>
            </w:pPr>
            <w:r>
              <w:rPr>
                <w:rFonts w:ascii="宋体" w:hAnsi="宋体" w:cs="宋体"/>
                <w:color w:val="000000"/>
                <w:szCs w:val="21"/>
              </w:rPr>
              <w:t>100mm×100mm×100mm</w:t>
            </w:r>
            <w:r>
              <w:rPr>
                <w:rFonts w:hint="eastAsia" w:ascii="宋体" w:hAnsi="宋体" w:cs="宋体"/>
                <w:color w:val="000000"/>
                <w:szCs w:val="21"/>
              </w:rPr>
              <w:t>立方体试块，</w:t>
            </w:r>
            <w:r>
              <w:rPr>
                <w:rFonts w:ascii="宋体" w:hAnsi="宋体" w:cs="宋体"/>
                <w:color w:val="000000"/>
                <w:szCs w:val="21"/>
              </w:rPr>
              <w:t>6</w:t>
            </w:r>
            <w:r>
              <w:rPr>
                <w:rFonts w:hint="eastAsia" w:ascii="宋体" w:hAnsi="宋体" w:cs="宋体"/>
                <w:color w:val="000000"/>
                <w:szCs w:val="21"/>
              </w:rPr>
              <w:t>块</w:t>
            </w:r>
          </w:p>
        </w:tc>
        <w:tc>
          <w:tcPr>
            <w:tcW w:w="387" w:type="pct"/>
            <w:shd w:val="clear" w:color="auto" w:fill="auto"/>
            <w:vAlign w:val="center"/>
          </w:tcPr>
          <w:p w14:paraId="765056B7">
            <w:pPr>
              <w:snapToGrid w:val="0"/>
              <w:jc w:val="center"/>
              <w:rPr>
                <w:rFonts w:ascii="宋体" w:hAnsi="宋体" w:cs="宋体"/>
                <w:color w:val="000000"/>
                <w:szCs w:val="21"/>
              </w:rPr>
            </w:pPr>
            <w:r>
              <w:rPr>
                <w:rFonts w:hint="eastAsia" w:ascii="宋体" w:hAnsi="宋体" w:cs="宋体"/>
                <w:color w:val="000000"/>
                <w:szCs w:val="21"/>
              </w:rPr>
              <w:t>3块</w:t>
            </w:r>
          </w:p>
        </w:tc>
        <w:tc>
          <w:tcPr>
            <w:tcW w:w="1077" w:type="pct"/>
            <w:vAlign w:val="center"/>
          </w:tcPr>
          <w:p w14:paraId="31AF8705">
            <w:pPr>
              <w:snapToGrid w:val="0"/>
              <w:jc w:val="center"/>
              <w:rPr>
                <w:rFonts w:ascii="宋体" w:hAnsi="宋体" w:cs="宋体"/>
                <w:color w:val="000000"/>
                <w:szCs w:val="21"/>
              </w:rPr>
            </w:pPr>
            <w:r>
              <w:rPr>
                <w:rFonts w:hint="eastAsia" w:ascii="宋体" w:hAnsi="宋体" w:cs="宋体"/>
                <w:color w:val="000000"/>
                <w:szCs w:val="21"/>
              </w:rPr>
              <w:t>3块</w:t>
            </w:r>
          </w:p>
        </w:tc>
      </w:tr>
      <w:tr w14:paraId="42620B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233" w:type="pct"/>
            <w:vAlign w:val="center"/>
          </w:tcPr>
          <w:p w14:paraId="34C87C3B">
            <w:pPr>
              <w:snapToGrid w:val="0"/>
              <w:jc w:val="center"/>
              <w:rPr>
                <w:rFonts w:ascii="宋体" w:hAnsi="宋体" w:cs="宋体"/>
                <w:color w:val="000000"/>
                <w:szCs w:val="21"/>
              </w:rPr>
            </w:pPr>
            <w:r>
              <w:rPr>
                <w:rFonts w:hint="eastAsia" w:cs="Calibri" w:asciiTheme="minorEastAsia" w:hAnsiTheme="minorEastAsia" w:eastAsiaTheme="minorEastAsia"/>
                <w:color w:val="000000"/>
                <w:szCs w:val="21"/>
              </w:rPr>
              <w:t>3</w:t>
            </w:r>
          </w:p>
        </w:tc>
        <w:tc>
          <w:tcPr>
            <w:tcW w:w="1062" w:type="pct"/>
            <w:shd w:val="clear" w:color="auto" w:fill="auto"/>
            <w:vAlign w:val="center"/>
          </w:tcPr>
          <w:p w14:paraId="0A52B077">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抗渗等级</w:t>
            </w:r>
          </w:p>
        </w:tc>
        <w:tc>
          <w:tcPr>
            <w:tcW w:w="2241" w:type="pct"/>
            <w:vAlign w:val="center"/>
          </w:tcPr>
          <w:p w14:paraId="21486E38">
            <w:pPr>
              <w:snapToGrid w:val="0"/>
              <w:jc w:val="center"/>
              <w:rPr>
                <w:rFonts w:ascii="宋体" w:hAnsi="宋体" w:cs="宋体"/>
                <w:color w:val="000000"/>
                <w:szCs w:val="21"/>
              </w:rPr>
            </w:pPr>
            <w:r>
              <w:rPr>
                <w:rFonts w:hint="eastAsia" w:ascii="宋体" w:hAnsi="宋体" w:cs="宋体"/>
                <w:color w:val="000000"/>
                <w:szCs w:val="21"/>
              </w:rPr>
              <w:t>Φ</w:t>
            </w:r>
            <w:r>
              <w:rPr>
                <w:rFonts w:ascii="宋体" w:hAnsi="宋体" w:cs="宋体"/>
                <w:color w:val="000000"/>
                <w:szCs w:val="21"/>
              </w:rPr>
              <w:t>175(185)mm×150mm</w:t>
            </w:r>
            <w:r>
              <w:rPr>
                <w:rFonts w:hint="eastAsia" w:ascii="宋体" w:hAnsi="宋体" w:cs="宋体"/>
                <w:color w:val="000000"/>
                <w:szCs w:val="21"/>
              </w:rPr>
              <w:t>圆台体试块，</w:t>
            </w:r>
            <w:r>
              <w:rPr>
                <w:rFonts w:ascii="宋体" w:hAnsi="宋体" w:cs="宋体"/>
                <w:color w:val="000000"/>
                <w:szCs w:val="21"/>
              </w:rPr>
              <w:t xml:space="preserve"> 12</w:t>
            </w:r>
            <w:r>
              <w:rPr>
                <w:rFonts w:hint="eastAsia" w:ascii="宋体" w:hAnsi="宋体" w:cs="宋体"/>
                <w:color w:val="000000"/>
                <w:szCs w:val="21"/>
              </w:rPr>
              <w:t>块</w:t>
            </w:r>
          </w:p>
        </w:tc>
        <w:tc>
          <w:tcPr>
            <w:tcW w:w="387" w:type="pct"/>
            <w:shd w:val="clear" w:color="auto" w:fill="auto"/>
            <w:vAlign w:val="center"/>
          </w:tcPr>
          <w:p w14:paraId="72B91B87">
            <w:pPr>
              <w:snapToGrid w:val="0"/>
              <w:jc w:val="center"/>
              <w:rPr>
                <w:rFonts w:ascii="宋体" w:hAnsi="宋体" w:cs="宋体"/>
                <w:color w:val="000000"/>
                <w:szCs w:val="21"/>
              </w:rPr>
            </w:pPr>
            <w:r>
              <w:rPr>
                <w:rFonts w:ascii="宋体" w:hAnsi="宋体" w:cs="宋体"/>
                <w:color w:val="000000"/>
                <w:szCs w:val="21"/>
              </w:rPr>
              <w:t>6</w:t>
            </w:r>
            <w:r>
              <w:rPr>
                <w:rFonts w:hint="eastAsia" w:ascii="宋体" w:hAnsi="宋体" w:cs="宋体"/>
                <w:color w:val="000000"/>
                <w:szCs w:val="21"/>
              </w:rPr>
              <w:t>块</w:t>
            </w:r>
          </w:p>
        </w:tc>
        <w:tc>
          <w:tcPr>
            <w:tcW w:w="1077" w:type="pct"/>
            <w:vAlign w:val="center"/>
          </w:tcPr>
          <w:p w14:paraId="461D74A5">
            <w:pPr>
              <w:snapToGrid w:val="0"/>
              <w:jc w:val="center"/>
              <w:rPr>
                <w:rFonts w:ascii="宋体" w:hAnsi="宋体" w:cs="宋体"/>
                <w:color w:val="000000"/>
                <w:szCs w:val="21"/>
              </w:rPr>
            </w:pPr>
            <w:r>
              <w:rPr>
                <w:rFonts w:ascii="宋体" w:hAnsi="宋体" w:cs="宋体"/>
                <w:color w:val="000000"/>
                <w:szCs w:val="21"/>
              </w:rPr>
              <w:t>6</w:t>
            </w:r>
            <w:r>
              <w:rPr>
                <w:rFonts w:hint="eastAsia" w:ascii="宋体" w:hAnsi="宋体" w:cs="宋体"/>
                <w:color w:val="000000"/>
                <w:szCs w:val="21"/>
              </w:rPr>
              <w:t>块</w:t>
            </w:r>
          </w:p>
        </w:tc>
      </w:tr>
      <w:tr w14:paraId="72D3DF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233" w:type="pct"/>
            <w:vAlign w:val="center"/>
          </w:tcPr>
          <w:p w14:paraId="04239A4F">
            <w:pPr>
              <w:snapToGrid w:val="0"/>
              <w:jc w:val="center"/>
              <w:rPr>
                <w:rFonts w:ascii="宋体" w:hAnsi="宋体" w:cs="宋体"/>
                <w:color w:val="000000"/>
                <w:szCs w:val="21"/>
              </w:rPr>
            </w:pPr>
            <w:r>
              <w:rPr>
                <w:rFonts w:hint="eastAsia" w:cs="Calibri" w:asciiTheme="minorEastAsia" w:hAnsiTheme="minorEastAsia" w:eastAsiaTheme="minorEastAsia"/>
                <w:color w:val="000000"/>
                <w:szCs w:val="21"/>
              </w:rPr>
              <w:t>4</w:t>
            </w:r>
          </w:p>
        </w:tc>
        <w:tc>
          <w:tcPr>
            <w:tcW w:w="1062" w:type="pct"/>
            <w:shd w:val="clear" w:color="auto" w:fill="auto"/>
            <w:vAlign w:val="center"/>
          </w:tcPr>
          <w:p w14:paraId="64E37BF3">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抗氯离子渗透等级</w:t>
            </w:r>
          </w:p>
        </w:tc>
        <w:tc>
          <w:tcPr>
            <w:tcW w:w="2241" w:type="pct"/>
            <w:vAlign w:val="center"/>
          </w:tcPr>
          <w:p w14:paraId="0616FC69">
            <w:pPr>
              <w:snapToGrid w:val="0"/>
              <w:jc w:val="center"/>
              <w:rPr>
                <w:rFonts w:ascii="宋体" w:hAnsi="宋体" w:cs="宋体"/>
                <w:color w:val="000000"/>
                <w:szCs w:val="21"/>
              </w:rPr>
            </w:pPr>
            <w:r>
              <w:rPr>
                <w:rFonts w:ascii="宋体" w:hAnsi="宋体" w:cs="宋体"/>
                <w:color w:val="000000"/>
                <w:szCs w:val="21"/>
              </w:rPr>
              <w:t>100mm×100mm×100mm</w:t>
            </w:r>
            <w:r>
              <w:rPr>
                <w:rFonts w:hint="eastAsia" w:ascii="宋体" w:hAnsi="宋体" w:cs="宋体"/>
                <w:color w:val="000000"/>
                <w:szCs w:val="21"/>
              </w:rPr>
              <w:t>立方体试块，</w:t>
            </w:r>
            <w:r>
              <w:rPr>
                <w:rFonts w:ascii="宋体" w:hAnsi="宋体" w:cs="宋体"/>
                <w:color w:val="000000"/>
                <w:szCs w:val="21"/>
              </w:rPr>
              <w:t>6</w:t>
            </w:r>
            <w:r>
              <w:rPr>
                <w:rFonts w:hint="eastAsia" w:ascii="宋体" w:hAnsi="宋体" w:cs="宋体"/>
                <w:color w:val="000000"/>
                <w:szCs w:val="21"/>
              </w:rPr>
              <w:t>块</w:t>
            </w:r>
          </w:p>
        </w:tc>
        <w:tc>
          <w:tcPr>
            <w:tcW w:w="387" w:type="pct"/>
            <w:shd w:val="clear" w:color="auto" w:fill="auto"/>
            <w:vAlign w:val="center"/>
          </w:tcPr>
          <w:p w14:paraId="3ADE0789">
            <w:pPr>
              <w:snapToGrid w:val="0"/>
              <w:jc w:val="center"/>
              <w:rPr>
                <w:rFonts w:ascii="宋体" w:hAnsi="宋体" w:cs="宋体"/>
                <w:color w:val="000000"/>
                <w:szCs w:val="21"/>
              </w:rPr>
            </w:pPr>
            <w:r>
              <w:rPr>
                <w:rFonts w:ascii="宋体" w:hAnsi="宋体" w:cs="宋体"/>
                <w:color w:val="000000"/>
                <w:szCs w:val="21"/>
              </w:rPr>
              <w:t>6</w:t>
            </w:r>
            <w:r>
              <w:rPr>
                <w:rFonts w:hint="eastAsia" w:ascii="宋体" w:hAnsi="宋体" w:cs="宋体"/>
                <w:color w:val="000000"/>
                <w:szCs w:val="21"/>
              </w:rPr>
              <w:t>块</w:t>
            </w:r>
          </w:p>
        </w:tc>
        <w:tc>
          <w:tcPr>
            <w:tcW w:w="1077" w:type="pct"/>
            <w:vAlign w:val="center"/>
          </w:tcPr>
          <w:p w14:paraId="6119FFD7">
            <w:pPr>
              <w:snapToGrid w:val="0"/>
              <w:jc w:val="center"/>
              <w:rPr>
                <w:rFonts w:ascii="宋体" w:hAnsi="宋体" w:cs="宋体"/>
                <w:color w:val="000000"/>
                <w:szCs w:val="21"/>
              </w:rPr>
            </w:pPr>
            <w:r>
              <w:rPr>
                <w:rFonts w:hint="eastAsia" w:ascii="宋体" w:hAnsi="宋体" w:cs="宋体"/>
                <w:color w:val="000000"/>
                <w:szCs w:val="21"/>
              </w:rPr>
              <w:t>该项目不适用复检</w:t>
            </w:r>
          </w:p>
        </w:tc>
      </w:tr>
      <w:tr w14:paraId="549C1E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233" w:type="pct"/>
            <w:vAlign w:val="center"/>
          </w:tcPr>
          <w:p w14:paraId="67CF7B15">
            <w:pPr>
              <w:snapToGrid w:val="0"/>
              <w:jc w:val="center"/>
              <w:rPr>
                <w:rFonts w:ascii="宋体" w:hAnsi="宋体" w:cs="宋体"/>
                <w:color w:val="000000"/>
                <w:szCs w:val="21"/>
              </w:rPr>
            </w:pPr>
            <w:r>
              <w:rPr>
                <w:rFonts w:hint="eastAsia" w:cs="Calibri" w:asciiTheme="minorEastAsia" w:hAnsiTheme="minorEastAsia" w:eastAsiaTheme="minorEastAsia"/>
                <w:color w:val="000000"/>
                <w:szCs w:val="21"/>
              </w:rPr>
              <w:t>5</w:t>
            </w:r>
          </w:p>
        </w:tc>
        <w:tc>
          <w:tcPr>
            <w:tcW w:w="1062" w:type="pct"/>
            <w:shd w:val="clear" w:color="auto" w:fill="auto"/>
            <w:vAlign w:val="center"/>
          </w:tcPr>
          <w:p w14:paraId="1DB1B836">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抗碳化等级</w:t>
            </w:r>
          </w:p>
        </w:tc>
        <w:tc>
          <w:tcPr>
            <w:tcW w:w="2241" w:type="pct"/>
            <w:vAlign w:val="center"/>
          </w:tcPr>
          <w:p w14:paraId="45F4B274">
            <w:pPr>
              <w:snapToGrid w:val="0"/>
              <w:jc w:val="center"/>
              <w:rPr>
                <w:rFonts w:ascii="宋体" w:hAnsi="宋体" w:cs="宋体"/>
                <w:color w:val="000000"/>
                <w:szCs w:val="21"/>
              </w:rPr>
            </w:pPr>
            <w:r>
              <w:rPr>
                <w:rFonts w:ascii="宋体" w:hAnsi="宋体" w:cs="宋体"/>
                <w:color w:val="000000"/>
                <w:szCs w:val="21"/>
              </w:rPr>
              <w:t>100mm×100mm×100mm</w:t>
            </w:r>
            <w:r>
              <w:rPr>
                <w:rFonts w:hint="eastAsia" w:ascii="宋体" w:hAnsi="宋体" w:cs="宋体"/>
                <w:color w:val="000000"/>
                <w:szCs w:val="21"/>
              </w:rPr>
              <w:t>立方体试块，</w:t>
            </w:r>
            <w:r>
              <w:rPr>
                <w:rFonts w:ascii="宋体" w:hAnsi="宋体" w:cs="宋体"/>
                <w:color w:val="000000"/>
                <w:szCs w:val="21"/>
              </w:rPr>
              <w:t>6</w:t>
            </w:r>
            <w:r>
              <w:rPr>
                <w:rFonts w:hint="eastAsia" w:ascii="宋体" w:hAnsi="宋体" w:cs="宋体"/>
                <w:color w:val="000000"/>
                <w:szCs w:val="21"/>
              </w:rPr>
              <w:t>块</w:t>
            </w:r>
          </w:p>
        </w:tc>
        <w:tc>
          <w:tcPr>
            <w:tcW w:w="387" w:type="pct"/>
            <w:shd w:val="clear" w:color="auto" w:fill="auto"/>
            <w:vAlign w:val="center"/>
          </w:tcPr>
          <w:p w14:paraId="576EE6E1">
            <w:pPr>
              <w:snapToGrid w:val="0"/>
              <w:jc w:val="center"/>
              <w:rPr>
                <w:rFonts w:ascii="宋体" w:hAnsi="宋体" w:cs="宋体"/>
                <w:color w:val="000000"/>
                <w:szCs w:val="21"/>
              </w:rPr>
            </w:pPr>
            <w:r>
              <w:rPr>
                <w:rFonts w:ascii="宋体" w:hAnsi="宋体" w:cs="宋体"/>
                <w:color w:val="000000"/>
                <w:szCs w:val="21"/>
              </w:rPr>
              <w:t>6</w:t>
            </w:r>
            <w:r>
              <w:rPr>
                <w:rFonts w:hint="eastAsia" w:ascii="宋体" w:hAnsi="宋体" w:cs="宋体"/>
                <w:color w:val="000000"/>
                <w:szCs w:val="21"/>
              </w:rPr>
              <w:t>块</w:t>
            </w:r>
          </w:p>
        </w:tc>
        <w:tc>
          <w:tcPr>
            <w:tcW w:w="1077" w:type="pct"/>
            <w:vAlign w:val="center"/>
          </w:tcPr>
          <w:p w14:paraId="5AD3B8CF">
            <w:pPr>
              <w:snapToGrid w:val="0"/>
              <w:jc w:val="center"/>
              <w:rPr>
                <w:rFonts w:ascii="宋体" w:hAnsi="宋体" w:cs="宋体"/>
                <w:color w:val="000000"/>
                <w:szCs w:val="21"/>
              </w:rPr>
            </w:pPr>
            <w:r>
              <w:rPr>
                <w:rFonts w:hint="eastAsia" w:ascii="宋体" w:hAnsi="宋体" w:cs="宋体"/>
                <w:color w:val="000000"/>
                <w:szCs w:val="21"/>
              </w:rPr>
              <w:t>该项目不适用复检</w:t>
            </w:r>
          </w:p>
        </w:tc>
      </w:tr>
    </w:tbl>
    <w:p w14:paraId="56DD73F8">
      <w:pPr>
        <w:snapToGrid w:val="0"/>
        <w:spacing w:line="460" w:lineRule="exact"/>
        <w:rPr>
          <w:rFonts w:ascii="宋体" w:hAnsi="宋体" w:cs="Calibri"/>
          <w:color w:val="000000"/>
          <w:sz w:val="24"/>
        </w:rPr>
      </w:pPr>
      <w:r>
        <w:rPr>
          <w:rFonts w:hint="eastAsia" w:ascii="宋体" w:hAnsi="宋体" w:cs="Calibri"/>
          <w:color w:val="000000"/>
          <w:sz w:val="24"/>
        </w:rPr>
        <w:t>2</w:t>
      </w:r>
      <w:r>
        <w:rPr>
          <w:rFonts w:ascii="宋体" w:hAnsi="宋体" w:cs="Calibri"/>
          <w:color w:val="000000"/>
          <w:sz w:val="24"/>
        </w:rPr>
        <w:t xml:space="preserve">.2 </w:t>
      </w:r>
      <w:r>
        <w:rPr>
          <w:rFonts w:hint="eastAsia" w:ascii="宋体" w:hAnsi="宋体" w:cs="Calibri"/>
          <w:color w:val="000000"/>
          <w:sz w:val="24"/>
        </w:rPr>
        <w:t>预拌砂浆</w:t>
      </w:r>
      <w:r>
        <w:rPr>
          <w:rFonts w:ascii="宋体" w:hAnsi="宋体" w:cs="Calibri"/>
          <w:color w:val="000000"/>
          <w:sz w:val="24"/>
        </w:rPr>
        <w:t>绿色产品认证</w:t>
      </w:r>
      <w:r>
        <w:rPr>
          <w:rFonts w:hint="eastAsia" w:ascii="宋体" w:hAnsi="宋体" w:cs="Calibri"/>
          <w:color w:val="000000"/>
          <w:sz w:val="24"/>
        </w:rPr>
        <w:t>抽样方法</w:t>
      </w:r>
    </w:p>
    <w:p w14:paraId="4119A66D">
      <w:pPr>
        <w:snapToGrid w:val="0"/>
        <w:spacing w:line="440" w:lineRule="exact"/>
        <w:ind w:firstLine="480" w:firstLineChars="200"/>
        <w:rPr>
          <w:rFonts w:ascii="宋体" w:hAnsi="宋体" w:cs="Calibri"/>
          <w:color w:val="000000"/>
          <w:sz w:val="24"/>
        </w:rPr>
      </w:pPr>
      <w:r>
        <w:rPr>
          <w:rFonts w:hint="eastAsia" w:ascii="宋体" w:hAnsi="宋体" w:cs="Calibri"/>
          <w:color w:val="000000"/>
          <w:sz w:val="24"/>
        </w:rPr>
        <w:t>上海地区预拌砂浆认证产品为干混砂浆，种类包括干混砌筑砂浆、干混抹灰砂浆、干混地面砂浆、干混普通防水砂浆及其他干混砂浆。首先确认生产者获证产品的认证等级，对预拌砂浆生产者进行认证有效性</w:t>
      </w:r>
      <w:r>
        <w:rPr>
          <w:rFonts w:ascii="宋体" w:hAnsi="宋体" w:cs="Calibri"/>
          <w:color w:val="000000"/>
          <w:sz w:val="24"/>
          <w:szCs w:val="21"/>
        </w:rPr>
        <w:t>抽查</w:t>
      </w:r>
      <w:r>
        <w:rPr>
          <w:rFonts w:hint="eastAsia" w:ascii="宋体" w:hAnsi="宋体" w:cs="Calibri"/>
          <w:color w:val="000000"/>
          <w:sz w:val="24"/>
          <w:szCs w:val="21"/>
        </w:rPr>
        <w:t>，</w:t>
      </w:r>
      <w:r>
        <w:rPr>
          <w:rFonts w:hint="eastAsia" w:ascii="宋体" w:hAnsi="宋体" w:cs="Calibri"/>
          <w:color w:val="000000"/>
          <w:sz w:val="24"/>
        </w:rPr>
        <w:t>宜以同一种类、同一规格产品为一批。在被抽查生产者生产的合格品预拌砂浆中随机抽取不同批的预拌砂浆，抽取样品数量应按表2的规定执行</w:t>
      </w:r>
      <w:r>
        <w:rPr>
          <w:rFonts w:hint="eastAsia" w:ascii="宋体" w:hAnsi="宋体" w:cs="Calibri"/>
          <w:color w:val="000000"/>
          <w:sz w:val="24"/>
          <w:szCs w:val="21"/>
        </w:rPr>
        <w:t>。</w:t>
      </w:r>
    </w:p>
    <w:p w14:paraId="74A6CC9C">
      <w:pPr>
        <w:snapToGrid w:val="0"/>
        <w:spacing w:line="440" w:lineRule="exact"/>
        <w:ind w:firstLine="480" w:firstLineChars="200"/>
        <w:jc w:val="center"/>
        <w:rPr>
          <w:rFonts w:ascii="宋体" w:hAnsi="宋体" w:cs="Calibri"/>
          <w:color w:val="000000"/>
          <w:sz w:val="24"/>
          <w:szCs w:val="21"/>
        </w:rPr>
      </w:pPr>
      <w:r>
        <w:rPr>
          <w:rFonts w:hint="eastAsia" w:ascii="宋体" w:hAnsi="宋体"/>
          <w:color w:val="000000"/>
          <w:sz w:val="24"/>
          <w:szCs w:val="21"/>
        </w:rPr>
        <w:t>表</w:t>
      </w:r>
      <w:r>
        <w:rPr>
          <w:rFonts w:ascii="宋体" w:hAnsi="宋体"/>
          <w:color w:val="000000"/>
          <w:sz w:val="24"/>
          <w:szCs w:val="21"/>
        </w:rPr>
        <w:t>2</w:t>
      </w:r>
      <w:r>
        <w:rPr>
          <w:rFonts w:hint="eastAsia" w:ascii="宋体" w:hAnsi="宋体"/>
          <w:color w:val="000000"/>
          <w:sz w:val="24"/>
          <w:szCs w:val="21"/>
        </w:rPr>
        <w:t xml:space="preserve"> 每批</w:t>
      </w:r>
      <w:r>
        <w:rPr>
          <w:rFonts w:hint="eastAsia" w:ascii="宋体" w:hAnsi="宋体" w:cs="Calibri"/>
          <w:color w:val="000000"/>
          <w:sz w:val="24"/>
        </w:rPr>
        <w:t>预拌砂浆需</w:t>
      </w:r>
      <w:r>
        <w:rPr>
          <w:rFonts w:hint="eastAsia" w:ascii="宋体" w:hAnsi="宋体"/>
          <w:color w:val="000000"/>
          <w:sz w:val="24"/>
          <w:szCs w:val="21"/>
        </w:rPr>
        <w:t>抽取的样品数量</w:t>
      </w:r>
    </w:p>
    <w:tbl>
      <w:tblPr>
        <w:tblStyle w:val="8"/>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23"/>
        <w:gridCol w:w="4064"/>
        <w:gridCol w:w="1462"/>
        <w:gridCol w:w="1462"/>
        <w:gridCol w:w="1462"/>
      </w:tblGrid>
      <w:tr w14:paraId="7A2080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394" w:type="pct"/>
            <w:vAlign w:val="center"/>
          </w:tcPr>
          <w:p w14:paraId="3E046832">
            <w:pPr>
              <w:snapToGrid w:val="0"/>
              <w:jc w:val="center"/>
              <w:rPr>
                <w:rFonts w:ascii="宋体" w:hAnsi="宋体" w:cs="宋体"/>
                <w:color w:val="000000"/>
                <w:szCs w:val="21"/>
              </w:rPr>
            </w:pPr>
            <w:r>
              <w:rPr>
                <w:rFonts w:hint="eastAsia" w:ascii="宋体" w:hAnsi="宋体" w:cs="宋体"/>
                <w:color w:val="000000"/>
                <w:szCs w:val="21"/>
              </w:rPr>
              <w:t>序号</w:t>
            </w:r>
          </w:p>
        </w:tc>
        <w:tc>
          <w:tcPr>
            <w:tcW w:w="2215" w:type="pct"/>
            <w:vAlign w:val="center"/>
          </w:tcPr>
          <w:p w14:paraId="4A1E12D1">
            <w:pPr>
              <w:jc w:val="center"/>
              <w:rPr>
                <w:rFonts w:ascii="宋体" w:hAnsi="宋体" w:cs="宋体"/>
                <w:color w:val="000000"/>
                <w:szCs w:val="21"/>
              </w:rPr>
            </w:pPr>
            <w:r>
              <w:rPr>
                <w:rFonts w:hint="eastAsia" w:ascii="宋体" w:hAnsi="宋体" w:cs="宋体"/>
                <w:color w:val="000000"/>
                <w:szCs w:val="21"/>
              </w:rPr>
              <w:t>检测项目</w:t>
            </w:r>
          </w:p>
        </w:tc>
        <w:tc>
          <w:tcPr>
            <w:tcW w:w="797" w:type="pct"/>
            <w:vAlign w:val="center"/>
          </w:tcPr>
          <w:p w14:paraId="3A68FC34">
            <w:pPr>
              <w:tabs>
                <w:tab w:val="center" w:pos="4153"/>
                <w:tab w:val="right" w:pos="8306"/>
              </w:tabs>
              <w:jc w:val="center"/>
              <w:rPr>
                <w:rFonts w:ascii="宋体" w:hAnsi="宋体" w:cs="宋体"/>
                <w:color w:val="000000"/>
                <w:szCs w:val="21"/>
              </w:rPr>
            </w:pPr>
            <w:r>
              <w:rPr>
                <w:rFonts w:hint="eastAsia" w:ascii="宋体" w:hAnsi="宋体" w:cs="宋体"/>
                <w:color w:val="000000"/>
                <w:szCs w:val="21"/>
              </w:rPr>
              <w:t>抽样数量</w:t>
            </w:r>
          </w:p>
        </w:tc>
        <w:tc>
          <w:tcPr>
            <w:tcW w:w="797" w:type="pct"/>
            <w:vAlign w:val="center"/>
          </w:tcPr>
          <w:p w14:paraId="7EC4AECB">
            <w:pPr>
              <w:tabs>
                <w:tab w:val="center" w:pos="4153"/>
                <w:tab w:val="right" w:pos="8306"/>
              </w:tabs>
              <w:jc w:val="center"/>
              <w:rPr>
                <w:rFonts w:ascii="宋体" w:hAnsi="宋体" w:cs="宋体"/>
                <w:color w:val="000000"/>
                <w:szCs w:val="21"/>
              </w:rPr>
            </w:pPr>
            <w:r>
              <w:rPr>
                <w:rFonts w:hint="eastAsia" w:ascii="宋体" w:hAnsi="宋体" w:cs="宋体"/>
                <w:color w:val="000000"/>
                <w:szCs w:val="21"/>
              </w:rPr>
              <w:t>检样数量</w:t>
            </w:r>
          </w:p>
        </w:tc>
        <w:tc>
          <w:tcPr>
            <w:tcW w:w="797" w:type="pct"/>
            <w:vAlign w:val="center"/>
          </w:tcPr>
          <w:p w14:paraId="5A729DE7">
            <w:pPr>
              <w:tabs>
                <w:tab w:val="center" w:pos="4153"/>
                <w:tab w:val="right" w:pos="8306"/>
              </w:tabs>
              <w:jc w:val="center"/>
              <w:rPr>
                <w:rFonts w:ascii="宋体" w:hAnsi="宋体" w:cs="宋体"/>
                <w:color w:val="000000"/>
                <w:szCs w:val="21"/>
              </w:rPr>
            </w:pPr>
            <w:r>
              <w:rPr>
                <w:rFonts w:hint="eastAsia" w:ascii="宋体" w:hAnsi="宋体" w:cs="宋体"/>
                <w:color w:val="000000"/>
                <w:szCs w:val="21"/>
              </w:rPr>
              <w:t>备样数量</w:t>
            </w:r>
          </w:p>
        </w:tc>
      </w:tr>
      <w:tr w14:paraId="3DDF03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394" w:type="pct"/>
            <w:vAlign w:val="center"/>
          </w:tcPr>
          <w:p w14:paraId="4BDBA571">
            <w:pPr>
              <w:snapToGrid w:val="0"/>
              <w:jc w:val="center"/>
              <w:rPr>
                <w:rFonts w:ascii="宋体" w:hAnsi="宋体" w:cs="宋体"/>
                <w:color w:val="000000"/>
                <w:szCs w:val="21"/>
              </w:rPr>
            </w:pPr>
            <w:r>
              <w:rPr>
                <w:rFonts w:cs="Calibri" w:asciiTheme="minorEastAsia" w:hAnsiTheme="minorEastAsia" w:eastAsiaTheme="minorEastAsia"/>
                <w:color w:val="000000"/>
                <w:szCs w:val="21"/>
              </w:rPr>
              <w:t>1</w:t>
            </w:r>
          </w:p>
        </w:tc>
        <w:tc>
          <w:tcPr>
            <w:tcW w:w="2215" w:type="pct"/>
            <w:shd w:val="clear" w:color="auto" w:fill="auto"/>
            <w:vAlign w:val="center"/>
          </w:tcPr>
          <w:p w14:paraId="4466BC4A">
            <w:pPr>
              <w:snapToGrid w:val="0"/>
              <w:jc w:val="center"/>
              <w:rPr>
                <w:rFonts w:ascii="宋体" w:hAnsi="宋体" w:cs="宋体"/>
                <w:color w:val="000000"/>
                <w:szCs w:val="21"/>
              </w:rPr>
            </w:pPr>
            <w:r>
              <w:rPr>
                <w:rFonts w:hint="eastAsia" w:cs="Calibri" w:asciiTheme="minorEastAsia" w:hAnsiTheme="minorEastAsia" w:eastAsiaTheme="minorEastAsia"/>
                <w:color w:val="000000"/>
                <w:szCs w:val="21"/>
              </w:rPr>
              <w:t>放射性比活度</w:t>
            </w:r>
          </w:p>
        </w:tc>
        <w:tc>
          <w:tcPr>
            <w:tcW w:w="797" w:type="pct"/>
            <w:vAlign w:val="center"/>
          </w:tcPr>
          <w:p w14:paraId="65323F54">
            <w:pPr>
              <w:snapToGrid w:val="0"/>
              <w:jc w:val="center"/>
              <w:rPr>
                <w:rFonts w:ascii="宋体" w:hAnsi="宋体" w:cs="宋体"/>
                <w:color w:val="000000"/>
                <w:szCs w:val="21"/>
              </w:rPr>
            </w:pPr>
            <w:r>
              <w:rPr>
                <w:rFonts w:hint="eastAsia" w:ascii="宋体" w:hAnsi="宋体" w:cs="宋体"/>
                <w:color w:val="000000"/>
                <w:szCs w:val="21"/>
              </w:rPr>
              <w:t>1</w:t>
            </w:r>
            <w:r>
              <w:rPr>
                <w:rFonts w:ascii="宋体" w:hAnsi="宋体" w:cs="宋体"/>
                <w:color w:val="000000"/>
                <w:szCs w:val="21"/>
              </w:rPr>
              <w:t>0</w:t>
            </w:r>
            <w:r>
              <w:rPr>
                <w:rFonts w:hint="eastAsia" w:ascii="宋体" w:hAnsi="宋体" w:cs="宋体"/>
                <w:color w:val="000000"/>
                <w:szCs w:val="21"/>
              </w:rPr>
              <w:t>kg</w:t>
            </w:r>
          </w:p>
        </w:tc>
        <w:tc>
          <w:tcPr>
            <w:tcW w:w="797" w:type="pct"/>
            <w:vAlign w:val="center"/>
          </w:tcPr>
          <w:p w14:paraId="34522D5D">
            <w:pPr>
              <w:snapToGrid w:val="0"/>
              <w:jc w:val="center"/>
              <w:rPr>
                <w:rFonts w:ascii="宋体" w:hAnsi="宋体" w:cs="宋体"/>
                <w:color w:val="000000"/>
                <w:szCs w:val="21"/>
              </w:rPr>
            </w:pPr>
            <w:r>
              <w:rPr>
                <w:rFonts w:ascii="宋体" w:hAnsi="宋体" w:cs="宋体"/>
                <w:color w:val="000000"/>
                <w:szCs w:val="21"/>
              </w:rPr>
              <w:t>5</w:t>
            </w:r>
            <w:r>
              <w:rPr>
                <w:rFonts w:hint="eastAsia" w:ascii="宋体" w:hAnsi="宋体" w:cs="宋体"/>
                <w:color w:val="000000"/>
                <w:szCs w:val="21"/>
              </w:rPr>
              <w:t>kg</w:t>
            </w:r>
          </w:p>
        </w:tc>
        <w:tc>
          <w:tcPr>
            <w:tcW w:w="797" w:type="pct"/>
            <w:shd w:val="clear" w:color="auto" w:fill="auto"/>
            <w:vAlign w:val="center"/>
          </w:tcPr>
          <w:p w14:paraId="4FA31164">
            <w:pPr>
              <w:snapToGrid w:val="0"/>
              <w:jc w:val="center"/>
              <w:rPr>
                <w:rFonts w:ascii="宋体" w:hAnsi="宋体" w:cs="宋体"/>
                <w:color w:val="000000"/>
                <w:szCs w:val="21"/>
              </w:rPr>
            </w:pPr>
            <w:r>
              <w:rPr>
                <w:rFonts w:hint="eastAsia" w:ascii="宋体" w:hAnsi="宋体" w:cs="宋体"/>
                <w:color w:val="000000"/>
                <w:szCs w:val="21"/>
              </w:rPr>
              <w:t>5kg</w:t>
            </w:r>
          </w:p>
        </w:tc>
      </w:tr>
      <w:tr w14:paraId="675EC6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394" w:type="pct"/>
            <w:vAlign w:val="center"/>
          </w:tcPr>
          <w:p w14:paraId="2F97B9A6">
            <w:pPr>
              <w:snapToGrid w:val="0"/>
              <w:jc w:val="center"/>
              <w:rPr>
                <w:rFonts w:ascii="宋体" w:hAnsi="宋体" w:cs="宋体"/>
                <w:color w:val="000000"/>
                <w:szCs w:val="21"/>
              </w:rPr>
            </w:pPr>
            <w:r>
              <w:rPr>
                <w:rFonts w:cs="Calibri" w:asciiTheme="minorEastAsia" w:hAnsiTheme="minorEastAsia" w:eastAsiaTheme="minorEastAsia"/>
                <w:color w:val="000000"/>
                <w:szCs w:val="21"/>
              </w:rPr>
              <w:t>2</w:t>
            </w:r>
          </w:p>
        </w:tc>
        <w:tc>
          <w:tcPr>
            <w:tcW w:w="2215" w:type="pct"/>
            <w:shd w:val="clear" w:color="auto" w:fill="auto"/>
            <w:vAlign w:val="center"/>
          </w:tcPr>
          <w:p w14:paraId="6AB9DA16">
            <w:pPr>
              <w:snapToGrid w:val="0"/>
              <w:jc w:val="center"/>
              <w:rPr>
                <w:rFonts w:ascii="宋体" w:hAnsi="宋体" w:cs="宋体"/>
                <w:color w:val="000000"/>
                <w:szCs w:val="21"/>
              </w:rPr>
            </w:pPr>
            <w:r>
              <w:rPr>
                <w:rFonts w:hint="eastAsia" w:cs="Calibri" w:asciiTheme="minorEastAsia" w:hAnsiTheme="minorEastAsia" w:eastAsiaTheme="minorEastAsia"/>
                <w:color w:val="000000"/>
                <w:szCs w:val="21"/>
              </w:rPr>
              <w:t>拉伸粘结强度实测值与设计值的比值</w:t>
            </w:r>
          </w:p>
        </w:tc>
        <w:tc>
          <w:tcPr>
            <w:tcW w:w="797" w:type="pct"/>
            <w:vMerge w:val="restart"/>
            <w:vAlign w:val="center"/>
          </w:tcPr>
          <w:p w14:paraId="4895543B">
            <w:pPr>
              <w:snapToGrid w:val="0"/>
              <w:jc w:val="center"/>
              <w:rPr>
                <w:rFonts w:ascii="宋体" w:hAnsi="宋体" w:cs="宋体"/>
                <w:color w:val="000000"/>
                <w:szCs w:val="21"/>
              </w:rPr>
            </w:pPr>
            <w:r>
              <w:rPr>
                <w:rFonts w:hint="eastAsia" w:ascii="宋体" w:hAnsi="宋体" w:cs="宋体"/>
                <w:color w:val="000000"/>
                <w:szCs w:val="21"/>
              </w:rPr>
              <w:t>3</w:t>
            </w:r>
            <w:r>
              <w:rPr>
                <w:rFonts w:ascii="宋体" w:hAnsi="宋体" w:cs="宋体"/>
                <w:color w:val="000000"/>
                <w:szCs w:val="21"/>
              </w:rPr>
              <w:t>0</w:t>
            </w:r>
            <w:r>
              <w:rPr>
                <w:rFonts w:hint="eastAsia" w:ascii="宋体" w:hAnsi="宋体" w:cs="宋体"/>
                <w:color w:val="000000"/>
                <w:szCs w:val="21"/>
              </w:rPr>
              <w:t>kg</w:t>
            </w:r>
          </w:p>
        </w:tc>
        <w:tc>
          <w:tcPr>
            <w:tcW w:w="797" w:type="pct"/>
            <w:vMerge w:val="restart"/>
            <w:vAlign w:val="center"/>
          </w:tcPr>
          <w:p w14:paraId="76F07473">
            <w:pPr>
              <w:snapToGrid w:val="0"/>
              <w:jc w:val="center"/>
              <w:rPr>
                <w:rFonts w:ascii="宋体" w:hAnsi="宋体" w:cs="宋体"/>
                <w:color w:val="000000"/>
                <w:szCs w:val="21"/>
              </w:rPr>
            </w:pPr>
            <w:r>
              <w:rPr>
                <w:rFonts w:ascii="宋体" w:hAnsi="宋体" w:cs="宋体"/>
                <w:color w:val="000000"/>
                <w:szCs w:val="21"/>
              </w:rPr>
              <w:t>15</w:t>
            </w:r>
            <w:r>
              <w:rPr>
                <w:rFonts w:hint="eastAsia" w:ascii="宋体" w:hAnsi="宋体" w:cs="宋体"/>
                <w:color w:val="000000"/>
                <w:szCs w:val="21"/>
              </w:rPr>
              <w:t>kg</w:t>
            </w:r>
          </w:p>
        </w:tc>
        <w:tc>
          <w:tcPr>
            <w:tcW w:w="797" w:type="pct"/>
            <w:vMerge w:val="restart"/>
            <w:shd w:val="clear" w:color="auto" w:fill="auto"/>
            <w:vAlign w:val="center"/>
          </w:tcPr>
          <w:p w14:paraId="16F208AA">
            <w:pPr>
              <w:snapToGrid w:val="0"/>
              <w:jc w:val="center"/>
              <w:rPr>
                <w:rFonts w:ascii="宋体" w:hAnsi="宋体" w:cs="宋体"/>
                <w:color w:val="000000"/>
                <w:szCs w:val="21"/>
              </w:rPr>
            </w:pPr>
            <w:r>
              <w:rPr>
                <w:rFonts w:ascii="宋体" w:hAnsi="宋体" w:cs="宋体"/>
                <w:color w:val="000000"/>
                <w:szCs w:val="21"/>
              </w:rPr>
              <w:t>1</w:t>
            </w:r>
            <w:r>
              <w:rPr>
                <w:rFonts w:hint="eastAsia" w:ascii="宋体" w:hAnsi="宋体" w:cs="宋体"/>
                <w:color w:val="000000"/>
                <w:szCs w:val="21"/>
              </w:rPr>
              <w:t>5kg</w:t>
            </w:r>
          </w:p>
        </w:tc>
      </w:tr>
      <w:tr w14:paraId="442A53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394" w:type="pct"/>
            <w:vAlign w:val="center"/>
          </w:tcPr>
          <w:p w14:paraId="39EC0838">
            <w:pPr>
              <w:snapToGrid w:val="0"/>
              <w:jc w:val="center"/>
              <w:rPr>
                <w:rFonts w:ascii="宋体" w:hAnsi="宋体" w:cs="宋体"/>
                <w:color w:val="000000"/>
                <w:szCs w:val="21"/>
              </w:rPr>
            </w:pPr>
            <w:r>
              <w:rPr>
                <w:rFonts w:hint="eastAsia" w:cs="Calibri" w:asciiTheme="minorEastAsia" w:hAnsiTheme="minorEastAsia" w:eastAsiaTheme="minorEastAsia"/>
                <w:color w:val="000000"/>
                <w:szCs w:val="21"/>
              </w:rPr>
              <w:t>3</w:t>
            </w:r>
          </w:p>
        </w:tc>
        <w:tc>
          <w:tcPr>
            <w:tcW w:w="2215" w:type="pct"/>
            <w:shd w:val="clear" w:color="auto" w:fill="auto"/>
            <w:vAlign w:val="center"/>
          </w:tcPr>
          <w:p w14:paraId="2F042C8E">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抗压强度实测值与设计值的比值</w:t>
            </w:r>
          </w:p>
        </w:tc>
        <w:tc>
          <w:tcPr>
            <w:tcW w:w="797" w:type="pct"/>
            <w:vMerge w:val="continue"/>
            <w:vAlign w:val="center"/>
          </w:tcPr>
          <w:p w14:paraId="111D2024">
            <w:pPr>
              <w:snapToGrid w:val="0"/>
              <w:jc w:val="center"/>
              <w:rPr>
                <w:rFonts w:ascii="宋体" w:hAnsi="宋体" w:cs="宋体"/>
                <w:color w:val="000000"/>
                <w:szCs w:val="21"/>
              </w:rPr>
            </w:pPr>
          </w:p>
        </w:tc>
        <w:tc>
          <w:tcPr>
            <w:tcW w:w="797" w:type="pct"/>
            <w:vMerge w:val="continue"/>
            <w:vAlign w:val="center"/>
          </w:tcPr>
          <w:p w14:paraId="4E2DFFC1">
            <w:pPr>
              <w:snapToGrid w:val="0"/>
              <w:jc w:val="center"/>
              <w:rPr>
                <w:rFonts w:ascii="宋体" w:hAnsi="宋体" w:cs="宋体"/>
                <w:color w:val="000000"/>
                <w:szCs w:val="21"/>
              </w:rPr>
            </w:pPr>
          </w:p>
        </w:tc>
        <w:tc>
          <w:tcPr>
            <w:tcW w:w="797" w:type="pct"/>
            <w:vMerge w:val="continue"/>
            <w:shd w:val="clear" w:color="auto" w:fill="auto"/>
            <w:vAlign w:val="center"/>
          </w:tcPr>
          <w:p w14:paraId="55B9637B">
            <w:pPr>
              <w:snapToGrid w:val="0"/>
              <w:jc w:val="center"/>
              <w:rPr>
                <w:rFonts w:ascii="宋体" w:hAnsi="宋体" w:cs="宋体"/>
                <w:color w:val="000000"/>
                <w:szCs w:val="21"/>
              </w:rPr>
            </w:pPr>
          </w:p>
        </w:tc>
      </w:tr>
    </w:tbl>
    <w:p w14:paraId="2BFE9D00">
      <w:pPr>
        <w:spacing w:line="460" w:lineRule="exact"/>
        <w:rPr>
          <w:rFonts w:ascii="黑体" w:hAnsi="黑体" w:eastAsia="黑体" w:cs="Calibri"/>
          <w:color w:val="000000"/>
          <w:sz w:val="24"/>
          <w:szCs w:val="21"/>
        </w:rPr>
      </w:pPr>
      <w:r>
        <w:rPr>
          <w:rFonts w:hint="eastAsia" w:ascii="黑体" w:hAnsi="黑体" w:eastAsia="黑体" w:cs="Calibri"/>
          <w:color w:val="000000"/>
          <w:sz w:val="24"/>
          <w:szCs w:val="21"/>
        </w:rPr>
        <w:t>3检验项目和依据</w:t>
      </w:r>
    </w:p>
    <w:p w14:paraId="691B36D6">
      <w:pPr>
        <w:snapToGrid w:val="0"/>
        <w:spacing w:line="440" w:lineRule="exact"/>
        <w:jc w:val="center"/>
        <w:rPr>
          <w:rFonts w:ascii="宋体" w:hAnsi="宋体"/>
          <w:color w:val="000000"/>
          <w:sz w:val="24"/>
          <w:szCs w:val="21"/>
        </w:rPr>
      </w:pPr>
      <w:r>
        <w:rPr>
          <w:rFonts w:hint="eastAsia" w:ascii="宋体" w:hAnsi="宋体"/>
          <w:color w:val="000000"/>
          <w:sz w:val="24"/>
          <w:szCs w:val="21"/>
        </w:rPr>
        <w:t>表</w:t>
      </w:r>
      <w:r>
        <w:rPr>
          <w:rFonts w:ascii="宋体" w:hAnsi="宋体"/>
          <w:color w:val="000000"/>
          <w:szCs w:val="21"/>
        </w:rPr>
        <w:t>3</w:t>
      </w:r>
      <w:r>
        <w:rPr>
          <w:rFonts w:hint="eastAsia" w:ascii="宋体" w:hAnsi="宋体"/>
          <w:color w:val="000000"/>
          <w:szCs w:val="21"/>
        </w:rPr>
        <w:t xml:space="preserve"> </w:t>
      </w:r>
      <w:r>
        <w:rPr>
          <w:rFonts w:hint="eastAsia" w:ascii="宋体" w:hAnsi="宋体"/>
          <w:color w:val="000000"/>
          <w:sz w:val="24"/>
        </w:rPr>
        <w:t>预拌混凝土</w:t>
      </w:r>
      <w:r>
        <w:rPr>
          <w:rFonts w:hint="eastAsia" w:ascii="宋体" w:hAnsi="宋体"/>
          <w:color w:val="000000"/>
          <w:sz w:val="24"/>
          <w:szCs w:val="21"/>
        </w:rPr>
        <w:t>产品检验项目</w:t>
      </w:r>
    </w:p>
    <w:tbl>
      <w:tblPr>
        <w:tblStyle w:val="7"/>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70"/>
        <w:gridCol w:w="2556"/>
        <w:gridCol w:w="2979"/>
        <w:gridCol w:w="2968"/>
      </w:tblGrid>
      <w:tr w14:paraId="30E713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blHeader/>
        </w:trPr>
        <w:tc>
          <w:tcPr>
            <w:tcW w:w="365" w:type="pct"/>
            <w:vAlign w:val="center"/>
          </w:tcPr>
          <w:p w14:paraId="50504ED4">
            <w:pPr>
              <w:jc w:val="center"/>
              <w:rPr>
                <w:rFonts w:cs="Calibri" w:asciiTheme="minorEastAsia" w:hAnsiTheme="minorEastAsia" w:eastAsiaTheme="minorEastAsia"/>
                <w:color w:val="000000"/>
                <w:szCs w:val="21"/>
              </w:rPr>
            </w:pPr>
            <w:r>
              <w:rPr>
                <w:rFonts w:cs="Calibri" w:asciiTheme="minorEastAsia" w:hAnsiTheme="minorEastAsia" w:eastAsiaTheme="minorEastAsia"/>
                <w:color w:val="000000"/>
                <w:szCs w:val="21"/>
              </w:rPr>
              <w:t>序号</w:t>
            </w:r>
          </w:p>
        </w:tc>
        <w:tc>
          <w:tcPr>
            <w:tcW w:w="1393" w:type="pct"/>
            <w:vAlign w:val="center"/>
          </w:tcPr>
          <w:p w14:paraId="3F12E4B1">
            <w:pPr>
              <w:jc w:val="center"/>
              <w:rPr>
                <w:rFonts w:cs="Calibri" w:asciiTheme="minorEastAsia" w:hAnsiTheme="minorEastAsia" w:eastAsiaTheme="minorEastAsia"/>
                <w:color w:val="000000"/>
                <w:szCs w:val="21"/>
              </w:rPr>
            </w:pPr>
            <w:r>
              <w:rPr>
                <w:rFonts w:cs="Calibri" w:asciiTheme="minorEastAsia" w:hAnsiTheme="minorEastAsia" w:eastAsiaTheme="minorEastAsia"/>
                <w:color w:val="000000"/>
                <w:szCs w:val="21"/>
              </w:rPr>
              <w:t>检</w:t>
            </w:r>
            <w:r>
              <w:rPr>
                <w:rFonts w:hint="eastAsia" w:cs="Calibri" w:asciiTheme="minorEastAsia" w:hAnsiTheme="minorEastAsia" w:eastAsiaTheme="minorEastAsia"/>
                <w:color w:val="000000"/>
                <w:szCs w:val="21"/>
              </w:rPr>
              <w:t>验</w:t>
            </w:r>
            <w:r>
              <w:rPr>
                <w:rFonts w:cs="Calibri" w:asciiTheme="minorEastAsia" w:hAnsiTheme="minorEastAsia" w:eastAsiaTheme="minorEastAsia"/>
                <w:color w:val="000000"/>
                <w:szCs w:val="21"/>
              </w:rPr>
              <w:t>项目</w:t>
            </w:r>
          </w:p>
        </w:tc>
        <w:tc>
          <w:tcPr>
            <w:tcW w:w="1624" w:type="pct"/>
            <w:vAlign w:val="center"/>
          </w:tcPr>
          <w:p w14:paraId="59B30AE1">
            <w:pPr>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检验方法</w:t>
            </w:r>
          </w:p>
        </w:tc>
        <w:tc>
          <w:tcPr>
            <w:tcW w:w="1618" w:type="pct"/>
            <w:vAlign w:val="center"/>
          </w:tcPr>
          <w:p w14:paraId="434D001A">
            <w:pPr>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绿色标准要求</w:t>
            </w:r>
          </w:p>
        </w:tc>
      </w:tr>
      <w:tr w14:paraId="47D21A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365" w:type="pct"/>
            <w:vAlign w:val="center"/>
          </w:tcPr>
          <w:p w14:paraId="5836D0E1">
            <w:pPr>
              <w:jc w:val="center"/>
              <w:rPr>
                <w:rFonts w:cs="Calibri" w:asciiTheme="minorEastAsia" w:hAnsiTheme="minorEastAsia" w:eastAsiaTheme="minorEastAsia"/>
                <w:color w:val="000000"/>
                <w:szCs w:val="21"/>
              </w:rPr>
            </w:pPr>
            <w:r>
              <w:rPr>
                <w:rFonts w:cs="Calibri" w:asciiTheme="minorEastAsia" w:hAnsiTheme="minorEastAsia" w:eastAsiaTheme="minorEastAsia"/>
                <w:color w:val="000000"/>
                <w:szCs w:val="21"/>
              </w:rPr>
              <w:t>1</w:t>
            </w:r>
          </w:p>
        </w:tc>
        <w:tc>
          <w:tcPr>
            <w:tcW w:w="1393" w:type="pct"/>
            <w:vAlign w:val="center"/>
          </w:tcPr>
          <w:p w14:paraId="583DCEB8">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放射性比活度</w:t>
            </w:r>
          </w:p>
        </w:tc>
        <w:tc>
          <w:tcPr>
            <w:tcW w:w="1624" w:type="pct"/>
            <w:vAlign w:val="center"/>
          </w:tcPr>
          <w:p w14:paraId="312FD5A4">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G</w:t>
            </w:r>
            <w:r>
              <w:rPr>
                <w:rFonts w:cs="Calibri" w:asciiTheme="minorEastAsia" w:hAnsiTheme="minorEastAsia" w:eastAsiaTheme="minorEastAsia"/>
                <w:color w:val="000000"/>
                <w:szCs w:val="21"/>
              </w:rPr>
              <w:t>B 6566-2010/4</w:t>
            </w:r>
          </w:p>
        </w:tc>
        <w:tc>
          <w:tcPr>
            <w:tcW w:w="1618" w:type="pct"/>
            <w:vAlign w:val="center"/>
          </w:tcPr>
          <w:p w14:paraId="2642B8B4">
            <w:pPr>
              <w:snapToGrid w:val="0"/>
              <w:jc w:val="center"/>
              <w:rPr>
                <w:rFonts w:cs="Calibri" w:asciiTheme="minorEastAsia" w:hAnsiTheme="minorEastAsia" w:eastAsiaTheme="minorEastAsia"/>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47</w:t>
            </w:r>
            <w:r>
              <w:rPr>
                <w:rFonts w:hint="eastAsia" w:cs="Calibri" w:asciiTheme="minorEastAsia" w:hAnsiTheme="minorEastAsia" w:eastAsiaTheme="minorEastAsia"/>
                <w:szCs w:val="21"/>
              </w:rPr>
              <w:t>-20</w:t>
            </w:r>
            <w:r>
              <w:rPr>
                <w:rFonts w:cs="Calibri" w:asciiTheme="minorEastAsia" w:hAnsiTheme="minorEastAsia" w:eastAsiaTheme="minorEastAsia"/>
                <w:szCs w:val="21"/>
              </w:rPr>
              <w:t>19</w:t>
            </w:r>
            <w:r>
              <w:rPr>
                <w:rFonts w:hint="eastAsia" w:cs="Calibri" w:asciiTheme="minorEastAsia" w:hAnsiTheme="minorEastAsia" w:eastAsiaTheme="minorEastAsia"/>
                <w:szCs w:val="21"/>
              </w:rPr>
              <w:t>/</w:t>
            </w:r>
            <w:r>
              <w:rPr>
                <w:rFonts w:cs="Calibri" w:asciiTheme="minorEastAsia" w:hAnsiTheme="minorEastAsia" w:eastAsiaTheme="minorEastAsia"/>
                <w:szCs w:val="21"/>
              </w:rPr>
              <w:t>4.2</w:t>
            </w:r>
          </w:p>
          <w:p w14:paraId="1D2EE922">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47</w:t>
            </w:r>
            <w:r>
              <w:rPr>
                <w:rFonts w:hint="eastAsia" w:cs="Calibri" w:asciiTheme="minorEastAsia" w:hAnsiTheme="minorEastAsia" w:eastAsiaTheme="minorEastAsia"/>
                <w:szCs w:val="21"/>
              </w:rPr>
              <w:t>-2025/</w:t>
            </w:r>
            <w:r>
              <w:rPr>
                <w:rFonts w:cs="Calibri" w:asciiTheme="minorEastAsia" w:hAnsiTheme="minorEastAsia" w:eastAsiaTheme="minorEastAsia"/>
                <w:szCs w:val="21"/>
              </w:rPr>
              <w:t>4.2</w:t>
            </w:r>
          </w:p>
        </w:tc>
      </w:tr>
      <w:tr w14:paraId="502B00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365" w:type="pct"/>
            <w:vAlign w:val="center"/>
          </w:tcPr>
          <w:p w14:paraId="548FF51E">
            <w:pPr>
              <w:jc w:val="center"/>
              <w:rPr>
                <w:rFonts w:cs="Calibri" w:asciiTheme="minorEastAsia" w:hAnsiTheme="minorEastAsia" w:eastAsiaTheme="minorEastAsia"/>
                <w:color w:val="000000"/>
                <w:szCs w:val="21"/>
              </w:rPr>
            </w:pPr>
            <w:r>
              <w:rPr>
                <w:rFonts w:cs="Calibri" w:asciiTheme="minorEastAsia" w:hAnsiTheme="minorEastAsia" w:eastAsiaTheme="minorEastAsia"/>
                <w:color w:val="000000"/>
                <w:szCs w:val="21"/>
              </w:rPr>
              <w:t>2</w:t>
            </w:r>
          </w:p>
        </w:tc>
        <w:tc>
          <w:tcPr>
            <w:tcW w:w="1393" w:type="pct"/>
            <w:vAlign w:val="center"/>
          </w:tcPr>
          <w:p w14:paraId="31BB602F">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水溶性氯离子含量</w:t>
            </w:r>
          </w:p>
        </w:tc>
        <w:tc>
          <w:tcPr>
            <w:tcW w:w="1624" w:type="pct"/>
            <w:vAlign w:val="center"/>
          </w:tcPr>
          <w:p w14:paraId="7C65BC98">
            <w:pPr>
              <w:snapToGrid w:val="0"/>
              <w:jc w:val="center"/>
              <w:rPr>
                <w:rFonts w:cs="Calibri" w:asciiTheme="minorEastAsia" w:hAnsiTheme="minorEastAsia" w:eastAsiaTheme="minorEastAsia"/>
                <w:color w:val="000000"/>
                <w:szCs w:val="21"/>
              </w:rPr>
            </w:pPr>
            <w:r>
              <w:rPr>
                <w:rFonts w:cs="Calibri" w:asciiTheme="minorEastAsia" w:hAnsiTheme="minorEastAsia" w:eastAsiaTheme="minorEastAsia"/>
                <w:color w:val="000000"/>
                <w:szCs w:val="21"/>
              </w:rPr>
              <w:t>JTS/T 236-2018</w:t>
            </w:r>
            <w:r>
              <w:rPr>
                <w:rFonts w:hint="eastAsia" w:cs="Calibri" w:asciiTheme="minorEastAsia" w:hAnsiTheme="minorEastAsia" w:eastAsiaTheme="minorEastAsia"/>
                <w:color w:val="000000"/>
                <w:szCs w:val="21"/>
              </w:rPr>
              <w:t>/</w:t>
            </w:r>
            <w:r>
              <w:rPr>
                <w:rFonts w:cs="Calibri" w:asciiTheme="minorEastAsia" w:hAnsiTheme="minorEastAsia" w:eastAsiaTheme="minorEastAsia"/>
                <w:color w:val="000000"/>
                <w:szCs w:val="21"/>
              </w:rPr>
              <w:t>13.14</w:t>
            </w:r>
          </w:p>
        </w:tc>
        <w:tc>
          <w:tcPr>
            <w:tcW w:w="1618" w:type="pct"/>
            <w:vAlign w:val="center"/>
          </w:tcPr>
          <w:p w14:paraId="07BBC19E">
            <w:pPr>
              <w:snapToGrid w:val="0"/>
              <w:jc w:val="center"/>
              <w:rPr>
                <w:rFonts w:cs="Calibri" w:asciiTheme="minorEastAsia" w:hAnsiTheme="minorEastAsia" w:eastAsiaTheme="minorEastAsia"/>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47</w:t>
            </w:r>
            <w:r>
              <w:rPr>
                <w:rFonts w:hint="eastAsia" w:cs="Calibri" w:asciiTheme="minorEastAsia" w:hAnsiTheme="minorEastAsia" w:eastAsiaTheme="minorEastAsia"/>
                <w:szCs w:val="21"/>
              </w:rPr>
              <w:t>-20</w:t>
            </w:r>
            <w:r>
              <w:rPr>
                <w:rFonts w:cs="Calibri" w:asciiTheme="minorEastAsia" w:hAnsiTheme="minorEastAsia" w:eastAsiaTheme="minorEastAsia"/>
                <w:szCs w:val="21"/>
              </w:rPr>
              <w:t>19</w:t>
            </w:r>
            <w:r>
              <w:rPr>
                <w:rFonts w:hint="eastAsia" w:cs="Calibri" w:asciiTheme="minorEastAsia" w:hAnsiTheme="minorEastAsia" w:eastAsiaTheme="minorEastAsia"/>
                <w:szCs w:val="21"/>
              </w:rPr>
              <w:t>/</w:t>
            </w:r>
            <w:r>
              <w:rPr>
                <w:rFonts w:cs="Calibri" w:asciiTheme="minorEastAsia" w:hAnsiTheme="minorEastAsia" w:eastAsiaTheme="minorEastAsia"/>
                <w:szCs w:val="21"/>
              </w:rPr>
              <w:t>4.2</w:t>
            </w:r>
          </w:p>
          <w:p w14:paraId="66010508">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47</w:t>
            </w:r>
            <w:r>
              <w:rPr>
                <w:rFonts w:hint="eastAsia" w:cs="Calibri" w:asciiTheme="minorEastAsia" w:hAnsiTheme="minorEastAsia" w:eastAsiaTheme="minorEastAsia"/>
                <w:szCs w:val="21"/>
              </w:rPr>
              <w:t>-2025/</w:t>
            </w:r>
            <w:r>
              <w:rPr>
                <w:rFonts w:cs="Calibri" w:asciiTheme="minorEastAsia" w:hAnsiTheme="minorEastAsia" w:eastAsiaTheme="minorEastAsia"/>
                <w:szCs w:val="21"/>
              </w:rPr>
              <w:t>4.2</w:t>
            </w:r>
          </w:p>
        </w:tc>
      </w:tr>
      <w:tr w14:paraId="2AD3C5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365" w:type="pct"/>
            <w:vAlign w:val="center"/>
          </w:tcPr>
          <w:p w14:paraId="6AEB30E2">
            <w:pPr>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3</w:t>
            </w:r>
          </w:p>
        </w:tc>
        <w:tc>
          <w:tcPr>
            <w:tcW w:w="1393" w:type="pct"/>
            <w:vAlign w:val="center"/>
          </w:tcPr>
          <w:p w14:paraId="5BBF355B">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抗渗等级</w:t>
            </w:r>
          </w:p>
        </w:tc>
        <w:tc>
          <w:tcPr>
            <w:tcW w:w="1624" w:type="pct"/>
            <w:vAlign w:val="center"/>
          </w:tcPr>
          <w:p w14:paraId="516EBA27">
            <w:pPr>
              <w:snapToGrid w:val="0"/>
              <w:jc w:val="center"/>
              <w:rPr>
                <w:rFonts w:cs="Calibri" w:asciiTheme="minorEastAsia" w:hAnsiTheme="minorEastAsia" w:eastAsiaTheme="minorEastAsia"/>
                <w:color w:val="000000"/>
                <w:szCs w:val="21"/>
              </w:rPr>
            </w:pPr>
            <w:r>
              <w:rPr>
                <w:rFonts w:cs="Calibri" w:asciiTheme="minorEastAsia" w:hAnsiTheme="minorEastAsia" w:eastAsiaTheme="minorEastAsia"/>
                <w:color w:val="000000"/>
                <w:szCs w:val="21"/>
              </w:rPr>
              <w:t>GB/T 50082-2024</w:t>
            </w:r>
            <w:r>
              <w:rPr>
                <w:rFonts w:hint="eastAsia" w:cs="Calibri" w:asciiTheme="minorEastAsia" w:hAnsiTheme="minorEastAsia" w:eastAsiaTheme="minorEastAsia"/>
                <w:color w:val="000000"/>
                <w:szCs w:val="21"/>
              </w:rPr>
              <w:t>/</w:t>
            </w:r>
            <w:r>
              <w:rPr>
                <w:rFonts w:cs="Calibri" w:asciiTheme="minorEastAsia" w:hAnsiTheme="minorEastAsia" w:eastAsiaTheme="minorEastAsia"/>
                <w:color w:val="000000"/>
                <w:szCs w:val="21"/>
              </w:rPr>
              <w:t>6.2</w:t>
            </w:r>
          </w:p>
        </w:tc>
        <w:tc>
          <w:tcPr>
            <w:tcW w:w="1618" w:type="pct"/>
            <w:vAlign w:val="center"/>
          </w:tcPr>
          <w:p w14:paraId="5D943ACE">
            <w:pPr>
              <w:snapToGrid w:val="0"/>
              <w:jc w:val="center"/>
              <w:rPr>
                <w:rFonts w:cs="Calibri" w:asciiTheme="minorEastAsia" w:hAnsiTheme="minorEastAsia" w:eastAsiaTheme="minorEastAsia"/>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47</w:t>
            </w:r>
            <w:r>
              <w:rPr>
                <w:rFonts w:hint="eastAsia" w:cs="Calibri" w:asciiTheme="minorEastAsia" w:hAnsiTheme="minorEastAsia" w:eastAsiaTheme="minorEastAsia"/>
                <w:szCs w:val="21"/>
              </w:rPr>
              <w:t>-20</w:t>
            </w:r>
            <w:r>
              <w:rPr>
                <w:rFonts w:cs="Calibri" w:asciiTheme="minorEastAsia" w:hAnsiTheme="minorEastAsia" w:eastAsiaTheme="minorEastAsia"/>
                <w:szCs w:val="21"/>
              </w:rPr>
              <w:t>19</w:t>
            </w:r>
            <w:r>
              <w:rPr>
                <w:rFonts w:hint="eastAsia" w:cs="Calibri" w:asciiTheme="minorEastAsia" w:hAnsiTheme="minorEastAsia" w:eastAsiaTheme="minorEastAsia"/>
                <w:szCs w:val="21"/>
              </w:rPr>
              <w:t>/</w:t>
            </w:r>
            <w:r>
              <w:rPr>
                <w:rFonts w:cs="Calibri" w:asciiTheme="minorEastAsia" w:hAnsiTheme="minorEastAsia" w:eastAsiaTheme="minorEastAsia"/>
                <w:szCs w:val="21"/>
              </w:rPr>
              <w:t>4.2</w:t>
            </w:r>
          </w:p>
          <w:p w14:paraId="1FE838B2">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47</w:t>
            </w:r>
            <w:r>
              <w:rPr>
                <w:rFonts w:hint="eastAsia" w:cs="Calibri" w:asciiTheme="minorEastAsia" w:hAnsiTheme="minorEastAsia" w:eastAsiaTheme="minorEastAsia"/>
                <w:szCs w:val="21"/>
              </w:rPr>
              <w:t>-2025/</w:t>
            </w:r>
            <w:r>
              <w:rPr>
                <w:rFonts w:cs="Calibri" w:asciiTheme="minorEastAsia" w:hAnsiTheme="minorEastAsia" w:eastAsiaTheme="minorEastAsia"/>
                <w:szCs w:val="21"/>
              </w:rPr>
              <w:t>4.2</w:t>
            </w:r>
          </w:p>
        </w:tc>
      </w:tr>
      <w:tr w14:paraId="3CB5AC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365" w:type="pct"/>
            <w:vAlign w:val="center"/>
          </w:tcPr>
          <w:p w14:paraId="0CFDAF76">
            <w:pPr>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4</w:t>
            </w:r>
          </w:p>
        </w:tc>
        <w:tc>
          <w:tcPr>
            <w:tcW w:w="1393" w:type="pct"/>
            <w:vAlign w:val="center"/>
          </w:tcPr>
          <w:p w14:paraId="7B40EC0C">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抗氯离子渗透等级</w:t>
            </w:r>
          </w:p>
        </w:tc>
        <w:tc>
          <w:tcPr>
            <w:tcW w:w="1624" w:type="pct"/>
            <w:vAlign w:val="center"/>
          </w:tcPr>
          <w:p w14:paraId="04AC92AE">
            <w:pPr>
              <w:snapToGrid w:val="0"/>
              <w:jc w:val="center"/>
              <w:rPr>
                <w:rFonts w:cs="Calibri" w:asciiTheme="minorEastAsia" w:hAnsiTheme="minorEastAsia" w:eastAsiaTheme="minorEastAsia"/>
                <w:color w:val="000000"/>
                <w:szCs w:val="21"/>
              </w:rPr>
            </w:pPr>
            <w:r>
              <w:rPr>
                <w:rFonts w:cs="Calibri" w:asciiTheme="minorEastAsia" w:hAnsiTheme="minorEastAsia" w:eastAsiaTheme="minorEastAsia"/>
                <w:color w:val="000000"/>
                <w:szCs w:val="21"/>
              </w:rPr>
              <w:t>GB/T 50082-2024</w:t>
            </w:r>
            <w:r>
              <w:rPr>
                <w:rFonts w:hint="eastAsia" w:cs="Calibri" w:asciiTheme="minorEastAsia" w:hAnsiTheme="minorEastAsia" w:eastAsiaTheme="minorEastAsia"/>
                <w:color w:val="000000"/>
                <w:szCs w:val="21"/>
              </w:rPr>
              <w:t>/</w:t>
            </w:r>
            <w:r>
              <w:rPr>
                <w:rFonts w:cs="Calibri" w:asciiTheme="minorEastAsia" w:hAnsiTheme="minorEastAsia" w:eastAsiaTheme="minorEastAsia"/>
                <w:color w:val="000000"/>
                <w:szCs w:val="21"/>
              </w:rPr>
              <w:t>7.2</w:t>
            </w:r>
          </w:p>
        </w:tc>
        <w:tc>
          <w:tcPr>
            <w:tcW w:w="1618" w:type="pct"/>
            <w:vAlign w:val="center"/>
          </w:tcPr>
          <w:p w14:paraId="624337F9">
            <w:pPr>
              <w:snapToGrid w:val="0"/>
              <w:jc w:val="center"/>
              <w:rPr>
                <w:rFonts w:cs="Calibri" w:asciiTheme="minorEastAsia" w:hAnsiTheme="minorEastAsia" w:eastAsiaTheme="minorEastAsia"/>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47</w:t>
            </w:r>
            <w:r>
              <w:rPr>
                <w:rFonts w:hint="eastAsia" w:cs="Calibri" w:asciiTheme="minorEastAsia" w:hAnsiTheme="minorEastAsia" w:eastAsiaTheme="minorEastAsia"/>
                <w:szCs w:val="21"/>
              </w:rPr>
              <w:t>-20</w:t>
            </w:r>
            <w:r>
              <w:rPr>
                <w:rFonts w:cs="Calibri" w:asciiTheme="minorEastAsia" w:hAnsiTheme="minorEastAsia" w:eastAsiaTheme="minorEastAsia"/>
                <w:szCs w:val="21"/>
              </w:rPr>
              <w:t>19</w:t>
            </w:r>
            <w:r>
              <w:rPr>
                <w:rFonts w:hint="eastAsia" w:cs="Calibri" w:asciiTheme="minorEastAsia" w:hAnsiTheme="minorEastAsia" w:eastAsiaTheme="minorEastAsia"/>
                <w:szCs w:val="21"/>
              </w:rPr>
              <w:t>/</w:t>
            </w:r>
            <w:r>
              <w:rPr>
                <w:rFonts w:cs="Calibri" w:asciiTheme="minorEastAsia" w:hAnsiTheme="minorEastAsia" w:eastAsiaTheme="minorEastAsia"/>
                <w:szCs w:val="21"/>
              </w:rPr>
              <w:t>4.2</w:t>
            </w:r>
          </w:p>
          <w:p w14:paraId="6B83DCAC">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47</w:t>
            </w:r>
            <w:r>
              <w:rPr>
                <w:rFonts w:hint="eastAsia" w:cs="Calibri" w:asciiTheme="minorEastAsia" w:hAnsiTheme="minorEastAsia" w:eastAsiaTheme="minorEastAsia"/>
                <w:szCs w:val="21"/>
              </w:rPr>
              <w:t>-2025/</w:t>
            </w:r>
            <w:r>
              <w:rPr>
                <w:rFonts w:cs="Calibri" w:asciiTheme="minorEastAsia" w:hAnsiTheme="minorEastAsia" w:eastAsiaTheme="minorEastAsia"/>
                <w:szCs w:val="21"/>
              </w:rPr>
              <w:t>4.2</w:t>
            </w:r>
          </w:p>
        </w:tc>
      </w:tr>
      <w:tr w14:paraId="2E8798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365" w:type="pct"/>
            <w:vAlign w:val="center"/>
          </w:tcPr>
          <w:p w14:paraId="5BD59CD3">
            <w:pPr>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5</w:t>
            </w:r>
          </w:p>
        </w:tc>
        <w:tc>
          <w:tcPr>
            <w:tcW w:w="1393" w:type="pct"/>
            <w:vAlign w:val="center"/>
          </w:tcPr>
          <w:p w14:paraId="2CEE32A8">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抗碳化等级</w:t>
            </w:r>
          </w:p>
        </w:tc>
        <w:tc>
          <w:tcPr>
            <w:tcW w:w="1624" w:type="pct"/>
            <w:vAlign w:val="center"/>
          </w:tcPr>
          <w:p w14:paraId="491A0F01">
            <w:pPr>
              <w:snapToGrid w:val="0"/>
              <w:jc w:val="center"/>
              <w:rPr>
                <w:rFonts w:cs="Calibri" w:asciiTheme="minorEastAsia" w:hAnsiTheme="minorEastAsia" w:eastAsiaTheme="minorEastAsia"/>
                <w:color w:val="000000"/>
                <w:szCs w:val="21"/>
              </w:rPr>
            </w:pPr>
            <w:r>
              <w:rPr>
                <w:rFonts w:cs="Calibri" w:asciiTheme="minorEastAsia" w:hAnsiTheme="minorEastAsia" w:eastAsiaTheme="minorEastAsia"/>
                <w:color w:val="000000"/>
                <w:szCs w:val="21"/>
              </w:rPr>
              <w:t>GB/T 50082-2024</w:t>
            </w:r>
            <w:r>
              <w:rPr>
                <w:rFonts w:hint="eastAsia" w:cs="Calibri" w:asciiTheme="minorEastAsia" w:hAnsiTheme="minorEastAsia" w:eastAsiaTheme="minorEastAsia"/>
                <w:color w:val="000000"/>
                <w:szCs w:val="21"/>
              </w:rPr>
              <w:t>/</w:t>
            </w:r>
            <w:r>
              <w:rPr>
                <w:rFonts w:cs="Calibri" w:asciiTheme="minorEastAsia" w:hAnsiTheme="minorEastAsia" w:eastAsiaTheme="minorEastAsia"/>
                <w:color w:val="000000"/>
                <w:szCs w:val="21"/>
              </w:rPr>
              <w:t>11</w:t>
            </w:r>
          </w:p>
        </w:tc>
        <w:tc>
          <w:tcPr>
            <w:tcW w:w="1618" w:type="pct"/>
            <w:vAlign w:val="center"/>
          </w:tcPr>
          <w:p w14:paraId="7331E5D6">
            <w:pPr>
              <w:snapToGrid w:val="0"/>
              <w:jc w:val="center"/>
              <w:rPr>
                <w:rFonts w:cs="Calibri" w:asciiTheme="minorEastAsia" w:hAnsiTheme="minorEastAsia" w:eastAsiaTheme="minorEastAsia"/>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47</w:t>
            </w:r>
            <w:r>
              <w:rPr>
                <w:rFonts w:hint="eastAsia" w:cs="Calibri" w:asciiTheme="minorEastAsia" w:hAnsiTheme="minorEastAsia" w:eastAsiaTheme="minorEastAsia"/>
                <w:szCs w:val="21"/>
              </w:rPr>
              <w:t>-20</w:t>
            </w:r>
            <w:r>
              <w:rPr>
                <w:rFonts w:cs="Calibri" w:asciiTheme="minorEastAsia" w:hAnsiTheme="minorEastAsia" w:eastAsiaTheme="minorEastAsia"/>
                <w:szCs w:val="21"/>
              </w:rPr>
              <w:t>19</w:t>
            </w:r>
            <w:r>
              <w:rPr>
                <w:rFonts w:hint="eastAsia" w:cs="Calibri" w:asciiTheme="minorEastAsia" w:hAnsiTheme="minorEastAsia" w:eastAsiaTheme="minorEastAsia"/>
                <w:szCs w:val="21"/>
              </w:rPr>
              <w:t>/</w:t>
            </w:r>
            <w:r>
              <w:rPr>
                <w:rFonts w:cs="Calibri" w:asciiTheme="minorEastAsia" w:hAnsiTheme="minorEastAsia" w:eastAsiaTheme="minorEastAsia"/>
                <w:szCs w:val="21"/>
              </w:rPr>
              <w:t>4.2</w:t>
            </w:r>
          </w:p>
          <w:p w14:paraId="07BE6725">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47</w:t>
            </w:r>
            <w:r>
              <w:rPr>
                <w:rFonts w:hint="eastAsia" w:cs="Calibri" w:asciiTheme="minorEastAsia" w:hAnsiTheme="minorEastAsia" w:eastAsiaTheme="minorEastAsia"/>
                <w:szCs w:val="21"/>
              </w:rPr>
              <w:t>-2025/</w:t>
            </w:r>
            <w:r>
              <w:rPr>
                <w:rFonts w:cs="Calibri" w:asciiTheme="minorEastAsia" w:hAnsiTheme="minorEastAsia" w:eastAsiaTheme="minorEastAsia"/>
                <w:szCs w:val="21"/>
              </w:rPr>
              <w:t>4.2</w:t>
            </w:r>
          </w:p>
        </w:tc>
      </w:tr>
    </w:tbl>
    <w:p w14:paraId="6B778CBC">
      <w:pPr>
        <w:snapToGrid w:val="0"/>
        <w:spacing w:line="440" w:lineRule="exact"/>
        <w:jc w:val="center"/>
        <w:rPr>
          <w:rFonts w:ascii="宋体" w:hAnsi="宋体"/>
          <w:color w:val="000000"/>
          <w:sz w:val="24"/>
          <w:szCs w:val="21"/>
        </w:rPr>
      </w:pPr>
    </w:p>
    <w:p w14:paraId="2A2D9B2B">
      <w:pPr>
        <w:snapToGrid w:val="0"/>
        <w:spacing w:line="440" w:lineRule="exact"/>
        <w:jc w:val="center"/>
        <w:rPr>
          <w:rFonts w:ascii="宋体" w:hAnsi="宋体"/>
          <w:color w:val="000000"/>
          <w:sz w:val="24"/>
          <w:szCs w:val="21"/>
        </w:rPr>
      </w:pPr>
      <w:r>
        <w:rPr>
          <w:rFonts w:hint="eastAsia" w:ascii="宋体" w:hAnsi="宋体"/>
          <w:color w:val="000000"/>
          <w:sz w:val="24"/>
          <w:szCs w:val="21"/>
        </w:rPr>
        <w:t>表</w:t>
      </w:r>
      <w:r>
        <w:rPr>
          <w:rFonts w:ascii="宋体" w:hAnsi="宋体"/>
          <w:color w:val="000000"/>
          <w:szCs w:val="21"/>
        </w:rPr>
        <w:t>4</w:t>
      </w:r>
      <w:r>
        <w:rPr>
          <w:rFonts w:hint="eastAsia" w:ascii="宋体" w:hAnsi="宋体"/>
          <w:color w:val="000000"/>
          <w:szCs w:val="21"/>
        </w:rPr>
        <w:t xml:space="preserve"> </w:t>
      </w:r>
      <w:r>
        <w:rPr>
          <w:rFonts w:hint="eastAsia" w:ascii="宋体" w:hAnsi="宋体"/>
          <w:color w:val="000000"/>
          <w:sz w:val="24"/>
        </w:rPr>
        <w:t>预拌砂浆</w:t>
      </w:r>
      <w:r>
        <w:rPr>
          <w:rFonts w:hint="eastAsia" w:ascii="宋体" w:hAnsi="宋体"/>
          <w:color w:val="000000"/>
          <w:sz w:val="24"/>
          <w:szCs w:val="21"/>
        </w:rPr>
        <w:t>产品检验项目</w:t>
      </w:r>
    </w:p>
    <w:tbl>
      <w:tblPr>
        <w:tblStyle w:val="7"/>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70"/>
        <w:gridCol w:w="2556"/>
        <w:gridCol w:w="2979"/>
        <w:gridCol w:w="2968"/>
      </w:tblGrid>
      <w:tr w14:paraId="61C4BD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blHeader/>
        </w:trPr>
        <w:tc>
          <w:tcPr>
            <w:tcW w:w="365" w:type="pct"/>
            <w:vAlign w:val="center"/>
          </w:tcPr>
          <w:p w14:paraId="32A68FAC">
            <w:pPr>
              <w:jc w:val="center"/>
              <w:rPr>
                <w:rFonts w:cs="Calibri" w:asciiTheme="minorEastAsia" w:hAnsiTheme="minorEastAsia" w:eastAsiaTheme="minorEastAsia"/>
                <w:color w:val="000000"/>
                <w:szCs w:val="21"/>
              </w:rPr>
            </w:pPr>
            <w:r>
              <w:rPr>
                <w:rFonts w:cs="Calibri" w:asciiTheme="minorEastAsia" w:hAnsiTheme="minorEastAsia" w:eastAsiaTheme="minorEastAsia"/>
                <w:color w:val="000000"/>
                <w:szCs w:val="21"/>
              </w:rPr>
              <w:t>序号</w:t>
            </w:r>
          </w:p>
        </w:tc>
        <w:tc>
          <w:tcPr>
            <w:tcW w:w="1393" w:type="pct"/>
            <w:vAlign w:val="center"/>
          </w:tcPr>
          <w:p w14:paraId="3AE2852A">
            <w:pPr>
              <w:jc w:val="center"/>
              <w:rPr>
                <w:rFonts w:cs="Calibri" w:asciiTheme="minorEastAsia" w:hAnsiTheme="minorEastAsia" w:eastAsiaTheme="minorEastAsia"/>
                <w:color w:val="000000"/>
                <w:szCs w:val="21"/>
              </w:rPr>
            </w:pPr>
            <w:r>
              <w:rPr>
                <w:rFonts w:cs="Calibri" w:asciiTheme="minorEastAsia" w:hAnsiTheme="minorEastAsia" w:eastAsiaTheme="minorEastAsia"/>
                <w:color w:val="000000"/>
                <w:szCs w:val="21"/>
              </w:rPr>
              <w:t>检</w:t>
            </w:r>
            <w:r>
              <w:rPr>
                <w:rFonts w:hint="eastAsia" w:cs="Calibri" w:asciiTheme="minorEastAsia" w:hAnsiTheme="minorEastAsia" w:eastAsiaTheme="minorEastAsia"/>
                <w:color w:val="000000"/>
                <w:szCs w:val="21"/>
              </w:rPr>
              <w:t>验</w:t>
            </w:r>
            <w:r>
              <w:rPr>
                <w:rFonts w:cs="Calibri" w:asciiTheme="minorEastAsia" w:hAnsiTheme="minorEastAsia" w:eastAsiaTheme="minorEastAsia"/>
                <w:color w:val="000000"/>
                <w:szCs w:val="21"/>
              </w:rPr>
              <w:t>项目</w:t>
            </w:r>
          </w:p>
        </w:tc>
        <w:tc>
          <w:tcPr>
            <w:tcW w:w="1624" w:type="pct"/>
            <w:vAlign w:val="center"/>
          </w:tcPr>
          <w:p w14:paraId="1F1B6145">
            <w:pPr>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检验方法</w:t>
            </w:r>
          </w:p>
        </w:tc>
        <w:tc>
          <w:tcPr>
            <w:tcW w:w="1618" w:type="pct"/>
            <w:vAlign w:val="center"/>
          </w:tcPr>
          <w:p w14:paraId="786F52B4">
            <w:pPr>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绿色标准要求</w:t>
            </w:r>
          </w:p>
        </w:tc>
      </w:tr>
      <w:tr w14:paraId="71BDA3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365" w:type="pct"/>
            <w:vAlign w:val="center"/>
          </w:tcPr>
          <w:p w14:paraId="53B5F9CB">
            <w:pPr>
              <w:jc w:val="center"/>
              <w:rPr>
                <w:rFonts w:cs="Calibri" w:asciiTheme="minorEastAsia" w:hAnsiTheme="minorEastAsia" w:eastAsiaTheme="minorEastAsia"/>
                <w:color w:val="000000"/>
                <w:szCs w:val="21"/>
              </w:rPr>
            </w:pPr>
            <w:r>
              <w:rPr>
                <w:rFonts w:cs="Calibri" w:asciiTheme="minorEastAsia" w:hAnsiTheme="minorEastAsia" w:eastAsiaTheme="minorEastAsia"/>
                <w:color w:val="000000"/>
                <w:szCs w:val="21"/>
              </w:rPr>
              <w:t>1</w:t>
            </w:r>
          </w:p>
        </w:tc>
        <w:tc>
          <w:tcPr>
            <w:tcW w:w="1393" w:type="pct"/>
            <w:vAlign w:val="center"/>
          </w:tcPr>
          <w:p w14:paraId="073CC767">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放射性比活度</w:t>
            </w:r>
          </w:p>
        </w:tc>
        <w:tc>
          <w:tcPr>
            <w:tcW w:w="1624" w:type="pct"/>
            <w:vAlign w:val="center"/>
          </w:tcPr>
          <w:p w14:paraId="41BA680D">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G</w:t>
            </w:r>
            <w:r>
              <w:rPr>
                <w:rFonts w:cs="Calibri" w:asciiTheme="minorEastAsia" w:hAnsiTheme="minorEastAsia" w:eastAsiaTheme="minorEastAsia"/>
                <w:color w:val="000000"/>
                <w:szCs w:val="21"/>
              </w:rPr>
              <w:t>B 6566-2010/4</w:t>
            </w:r>
          </w:p>
        </w:tc>
        <w:tc>
          <w:tcPr>
            <w:tcW w:w="1618" w:type="pct"/>
            <w:vAlign w:val="center"/>
          </w:tcPr>
          <w:p w14:paraId="489A0EDD">
            <w:pPr>
              <w:snapToGrid w:val="0"/>
              <w:jc w:val="center"/>
              <w:rPr>
                <w:rFonts w:cs="Calibri" w:asciiTheme="minorEastAsia" w:hAnsiTheme="minorEastAsia" w:eastAsiaTheme="minorEastAsia"/>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48</w:t>
            </w:r>
            <w:r>
              <w:rPr>
                <w:rFonts w:hint="eastAsia" w:cs="Calibri" w:asciiTheme="minorEastAsia" w:hAnsiTheme="minorEastAsia" w:eastAsiaTheme="minorEastAsia"/>
                <w:szCs w:val="21"/>
              </w:rPr>
              <w:t>-20</w:t>
            </w:r>
            <w:r>
              <w:rPr>
                <w:rFonts w:cs="Calibri" w:asciiTheme="minorEastAsia" w:hAnsiTheme="minorEastAsia" w:eastAsiaTheme="minorEastAsia"/>
                <w:szCs w:val="21"/>
              </w:rPr>
              <w:t>19</w:t>
            </w:r>
            <w:r>
              <w:rPr>
                <w:rFonts w:hint="eastAsia" w:cs="Calibri" w:asciiTheme="minorEastAsia" w:hAnsiTheme="minorEastAsia" w:eastAsiaTheme="minorEastAsia"/>
                <w:szCs w:val="21"/>
              </w:rPr>
              <w:t>/</w:t>
            </w:r>
            <w:r>
              <w:rPr>
                <w:rFonts w:cs="Calibri" w:asciiTheme="minorEastAsia" w:hAnsiTheme="minorEastAsia" w:eastAsiaTheme="minorEastAsia"/>
                <w:szCs w:val="21"/>
              </w:rPr>
              <w:t>4.2</w:t>
            </w:r>
          </w:p>
          <w:p w14:paraId="273685F4">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48</w:t>
            </w:r>
            <w:r>
              <w:rPr>
                <w:rFonts w:hint="eastAsia" w:cs="Calibri" w:asciiTheme="minorEastAsia" w:hAnsiTheme="minorEastAsia" w:eastAsiaTheme="minorEastAsia"/>
                <w:szCs w:val="21"/>
              </w:rPr>
              <w:t>-2025/</w:t>
            </w:r>
            <w:r>
              <w:rPr>
                <w:rFonts w:cs="Calibri" w:asciiTheme="minorEastAsia" w:hAnsiTheme="minorEastAsia" w:eastAsiaTheme="minorEastAsia"/>
                <w:szCs w:val="21"/>
              </w:rPr>
              <w:t>4.2</w:t>
            </w:r>
          </w:p>
        </w:tc>
      </w:tr>
      <w:tr w14:paraId="3D47B2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365" w:type="pct"/>
            <w:vAlign w:val="center"/>
          </w:tcPr>
          <w:p w14:paraId="23807DB9">
            <w:pPr>
              <w:jc w:val="center"/>
              <w:rPr>
                <w:rFonts w:cs="Calibri" w:asciiTheme="minorEastAsia" w:hAnsiTheme="minorEastAsia" w:eastAsiaTheme="minorEastAsia"/>
                <w:color w:val="000000"/>
                <w:szCs w:val="21"/>
              </w:rPr>
            </w:pPr>
            <w:r>
              <w:rPr>
                <w:rFonts w:cs="Calibri" w:asciiTheme="minorEastAsia" w:hAnsiTheme="minorEastAsia" w:eastAsiaTheme="minorEastAsia"/>
                <w:color w:val="000000"/>
                <w:szCs w:val="21"/>
              </w:rPr>
              <w:t>2</w:t>
            </w:r>
          </w:p>
        </w:tc>
        <w:tc>
          <w:tcPr>
            <w:tcW w:w="1393" w:type="pct"/>
            <w:vAlign w:val="center"/>
          </w:tcPr>
          <w:p w14:paraId="1363E280">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抗压强度实测值与设计值的比值</w:t>
            </w:r>
            <w:r>
              <w:rPr>
                <w:rFonts w:hint="eastAsia" w:cs="Calibri" w:asciiTheme="minorEastAsia" w:hAnsiTheme="minorEastAsia" w:eastAsiaTheme="minorEastAsia"/>
                <w:color w:val="000000"/>
                <w:szCs w:val="21"/>
                <w:vertAlign w:val="superscript"/>
              </w:rPr>
              <w:t>a</w:t>
            </w:r>
          </w:p>
        </w:tc>
        <w:tc>
          <w:tcPr>
            <w:tcW w:w="1624" w:type="pct"/>
            <w:vAlign w:val="center"/>
          </w:tcPr>
          <w:p w14:paraId="79F4F621">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J</w:t>
            </w:r>
            <w:r>
              <w:rPr>
                <w:rFonts w:cs="Calibri" w:asciiTheme="minorEastAsia" w:hAnsiTheme="minorEastAsia" w:eastAsiaTheme="minorEastAsia"/>
                <w:color w:val="000000"/>
                <w:szCs w:val="21"/>
              </w:rPr>
              <w:t>GJ/T 70-2009/9</w:t>
            </w:r>
          </w:p>
        </w:tc>
        <w:tc>
          <w:tcPr>
            <w:tcW w:w="1618" w:type="pct"/>
            <w:vAlign w:val="center"/>
          </w:tcPr>
          <w:p w14:paraId="133BC651">
            <w:pPr>
              <w:snapToGrid w:val="0"/>
              <w:jc w:val="center"/>
              <w:rPr>
                <w:rFonts w:cs="Calibri" w:asciiTheme="minorEastAsia" w:hAnsiTheme="minorEastAsia" w:eastAsiaTheme="minorEastAsia"/>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48</w:t>
            </w:r>
            <w:r>
              <w:rPr>
                <w:rFonts w:hint="eastAsia" w:cs="Calibri" w:asciiTheme="minorEastAsia" w:hAnsiTheme="minorEastAsia" w:eastAsiaTheme="minorEastAsia"/>
                <w:szCs w:val="21"/>
              </w:rPr>
              <w:t>-20</w:t>
            </w:r>
            <w:r>
              <w:rPr>
                <w:rFonts w:cs="Calibri" w:asciiTheme="minorEastAsia" w:hAnsiTheme="minorEastAsia" w:eastAsiaTheme="minorEastAsia"/>
                <w:szCs w:val="21"/>
              </w:rPr>
              <w:t>19</w:t>
            </w:r>
            <w:r>
              <w:rPr>
                <w:rFonts w:hint="eastAsia" w:cs="Calibri" w:asciiTheme="minorEastAsia" w:hAnsiTheme="minorEastAsia" w:eastAsiaTheme="minorEastAsia"/>
                <w:szCs w:val="21"/>
              </w:rPr>
              <w:t>/</w:t>
            </w:r>
            <w:r>
              <w:rPr>
                <w:rFonts w:cs="Calibri" w:asciiTheme="minorEastAsia" w:hAnsiTheme="minorEastAsia" w:eastAsiaTheme="minorEastAsia"/>
                <w:szCs w:val="21"/>
              </w:rPr>
              <w:t>4.2</w:t>
            </w:r>
          </w:p>
          <w:p w14:paraId="45934194">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48</w:t>
            </w:r>
            <w:r>
              <w:rPr>
                <w:rFonts w:hint="eastAsia" w:cs="Calibri" w:asciiTheme="minorEastAsia" w:hAnsiTheme="minorEastAsia" w:eastAsiaTheme="minorEastAsia"/>
                <w:szCs w:val="21"/>
              </w:rPr>
              <w:t>-2025/</w:t>
            </w:r>
            <w:r>
              <w:rPr>
                <w:rFonts w:cs="Calibri" w:asciiTheme="minorEastAsia" w:hAnsiTheme="minorEastAsia" w:eastAsiaTheme="minorEastAsia"/>
                <w:szCs w:val="21"/>
              </w:rPr>
              <w:t>4.2</w:t>
            </w:r>
          </w:p>
        </w:tc>
      </w:tr>
      <w:tr w14:paraId="0EB98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365" w:type="pct"/>
            <w:vAlign w:val="center"/>
          </w:tcPr>
          <w:p w14:paraId="11869246">
            <w:pPr>
              <w:jc w:val="center"/>
              <w:rPr>
                <w:rFonts w:cs="Calibri" w:asciiTheme="minorEastAsia" w:hAnsiTheme="minorEastAsia" w:eastAsiaTheme="minorEastAsia"/>
                <w:color w:val="000000"/>
                <w:szCs w:val="21"/>
              </w:rPr>
            </w:pPr>
            <w:r>
              <w:rPr>
                <w:rFonts w:cs="Calibri" w:asciiTheme="minorEastAsia" w:hAnsiTheme="minorEastAsia" w:eastAsiaTheme="minorEastAsia"/>
                <w:color w:val="000000"/>
                <w:szCs w:val="21"/>
              </w:rPr>
              <w:t>3</w:t>
            </w:r>
          </w:p>
        </w:tc>
        <w:tc>
          <w:tcPr>
            <w:tcW w:w="1393" w:type="pct"/>
            <w:vAlign w:val="center"/>
          </w:tcPr>
          <w:p w14:paraId="72A644B8">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拉伸粘结强度实测值与设计值的比值</w:t>
            </w:r>
            <w:r>
              <w:rPr>
                <w:rFonts w:hint="eastAsia" w:cs="Calibri" w:asciiTheme="minorEastAsia" w:hAnsiTheme="minorEastAsia" w:eastAsiaTheme="minorEastAsia"/>
                <w:color w:val="000000"/>
                <w:szCs w:val="21"/>
                <w:vertAlign w:val="superscript"/>
              </w:rPr>
              <w:t>a，b</w:t>
            </w:r>
          </w:p>
        </w:tc>
        <w:tc>
          <w:tcPr>
            <w:tcW w:w="1624" w:type="pct"/>
            <w:vAlign w:val="center"/>
          </w:tcPr>
          <w:p w14:paraId="6FA73702">
            <w:pPr>
              <w:snapToGrid w:val="0"/>
              <w:jc w:val="center"/>
              <w:rPr>
                <w:rFonts w:cs="Calibri" w:asciiTheme="minorEastAsia" w:hAnsiTheme="minorEastAsia" w:eastAsiaTheme="minorEastAsia"/>
                <w:color w:val="000000"/>
                <w:szCs w:val="21"/>
              </w:rPr>
            </w:pPr>
            <w:r>
              <w:rPr>
                <w:rFonts w:hint="eastAsia" w:cs="Calibri" w:asciiTheme="minorEastAsia" w:hAnsiTheme="minorEastAsia" w:eastAsiaTheme="minorEastAsia"/>
                <w:color w:val="000000"/>
                <w:szCs w:val="21"/>
              </w:rPr>
              <w:t>J</w:t>
            </w:r>
            <w:r>
              <w:rPr>
                <w:rFonts w:cs="Calibri" w:asciiTheme="minorEastAsia" w:hAnsiTheme="minorEastAsia" w:eastAsiaTheme="minorEastAsia"/>
                <w:color w:val="000000"/>
                <w:szCs w:val="21"/>
              </w:rPr>
              <w:t>GJ/T 70-2009/10</w:t>
            </w:r>
          </w:p>
        </w:tc>
        <w:tc>
          <w:tcPr>
            <w:tcW w:w="1618" w:type="pct"/>
            <w:vAlign w:val="center"/>
          </w:tcPr>
          <w:p w14:paraId="3A5989A8">
            <w:pPr>
              <w:snapToGrid w:val="0"/>
              <w:jc w:val="center"/>
              <w:rPr>
                <w:rFonts w:cs="Calibri" w:asciiTheme="minorEastAsia" w:hAnsiTheme="minorEastAsia" w:eastAsiaTheme="minorEastAsia"/>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48</w:t>
            </w:r>
            <w:r>
              <w:rPr>
                <w:rFonts w:hint="eastAsia" w:cs="Calibri" w:asciiTheme="minorEastAsia" w:hAnsiTheme="minorEastAsia" w:eastAsiaTheme="minorEastAsia"/>
                <w:szCs w:val="21"/>
              </w:rPr>
              <w:t>-20</w:t>
            </w:r>
            <w:r>
              <w:rPr>
                <w:rFonts w:cs="Calibri" w:asciiTheme="minorEastAsia" w:hAnsiTheme="minorEastAsia" w:eastAsiaTheme="minorEastAsia"/>
                <w:szCs w:val="21"/>
              </w:rPr>
              <w:t>19</w:t>
            </w:r>
            <w:r>
              <w:rPr>
                <w:rFonts w:hint="eastAsia" w:cs="Calibri" w:asciiTheme="minorEastAsia" w:hAnsiTheme="minorEastAsia" w:eastAsiaTheme="minorEastAsia"/>
                <w:szCs w:val="21"/>
              </w:rPr>
              <w:t>/</w:t>
            </w:r>
            <w:r>
              <w:rPr>
                <w:rFonts w:cs="Calibri" w:asciiTheme="minorEastAsia" w:hAnsiTheme="minorEastAsia" w:eastAsiaTheme="minorEastAsia"/>
                <w:szCs w:val="21"/>
              </w:rPr>
              <w:t>4.2</w:t>
            </w:r>
          </w:p>
          <w:p w14:paraId="7CF644C7">
            <w:pPr>
              <w:snapToGrid w:val="0"/>
              <w:jc w:val="center"/>
              <w:rPr>
                <w:rFonts w:cs="Calibri" w:asciiTheme="minorEastAsia" w:hAnsiTheme="minorEastAsia" w:eastAsiaTheme="minorEastAsia"/>
                <w:szCs w:val="21"/>
              </w:rPr>
            </w:pPr>
            <w:r>
              <w:rPr>
                <w:rFonts w:hint="eastAsia" w:cs="Calibri" w:asciiTheme="minorEastAsia" w:hAnsiTheme="minorEastAsia" w:eastAsiaTheme="minorEastAsia"/>
                <w:szCs w:val="21"/>
              </w:rPr>
              <w:t>T/CECS 100</w:t>
            </w:r>
            <w:r>
              <w:rPr>
                <w:rFonts w:cs="Calibri" w:asciiTheme="minorEastAsia" w:hAnsiTheme="minorEastAsia" w:eastAsiaTheme="minorEastAsia"/>
                <w:szCs w:val="21"/>
              </w:rPr>
              <w:t>48</w:t>
            </w:r>
            <w:r>
              <w:rPr>
                <w:rFonts w:hint="eastAsia" w:cs="Calibri" w:asciiTheme="minorEastAsia" w:hAnsiTheme="minorEastAsia" w:eastAsiaTheme="minorEastAsia"/>
                <w:szCs w:val="21"/>
              </w:rPr>
              <w:t>-2025/</w:t>
            </w:r>
            <w:r>
              <w:rPr>
                <w:rFonts w:cs="Calibri" w:asciiTheme="minorEastAsia" w:hAnsiTheme="minorEastAsia" w:eastAsiaTheme="minorEastAsia"/>
                <w:szCs w:val="21"/>
              </w:rPr>
              <w:t>4.2</w:t>
            </w:r>
          </w:p>
        </w:tc>
      </w:tr>
    </w:tbl>
    <w:p w14:paraId="0711C1D5">
      <w:pPr>
        <w:spacing w:line="460" w:lineRule="exact"/>
        <w:rPr>
          <w:rFonts w:ascii="宋体" w:hAnsi="宋体" w:cs="Calibri"/>
          <w:color w:val="000000"/>
          <w:szCs w:val="21"/>
        </w:rPr>
      </w:pPr>
      <w:r>
        <w:rPr>
          <w:rFonts w:hint="eastAsia" w:ascii="宋体" w:hAnsi="宋体" w:cs="Calibri"/>
          <w:color w:val="000000"/>
          <w:szCs w:val="21"/>
        </w:rPr>
        <w:t>注：a</w:t>
      </w:r>
      <w:r>
        <w:rPr>
          <w:rFonts w:ascii="宋体" w:hAnsi="宋体" w:cs="Calibri"/>
          <w:color w:val="000000"/>
          <w:szCs w:val="21"/>
        </w:rPr>
        <w:t>.</w:t>
      </w:r>
      <w:r>
        <w:rPr>
          <w:rFonts w:hint="eastAsia" w:ascii="宋体" w:hAnsi="宋体" w:cs="Calibri"/>
          <w:color w:val="000000"/>
          <w:szCs w:val="21"/>
        </w:rPr>
        <w:t>本检测项目适用于产品标准规定相关指标要求的产品，设计值为产品标准中规定的抗压强度、拉伸粘结强度强度指标值。</w:t>
      </w:r>
    </w:p>
    <w:p w14:paraId="26DA8A2B">
      <w:pPr>
        <w:spacing w:line="460" w:lineRule="exact"/>
        <w:ind w:firstLine="420" w:firstLineChars="200"/>
        <w:rPr>
          <w:rFonts w:ascii="宋体" w:hAnsi="宋体" w:cs="Calibri"/>
          <w:color w:val="000000"/>
          <w:szCs w:val="21"/>
        </w:rPr>
      </w:pPr>
      <w:r>
        <w:rPr>
          <w:rFonts w:hint="eastAsia" w:ascii="宋体" w:hAnsi="宋体" w:cs="Calibri"/>
          <w:color w:val="000000"/>
          <w:szCs w:val="21"/>
        </w:rPr>
        <w:t>b</w:t>
      </w:r>
      <w:r>
        <w:rPr>
          <w:rFonts w:ascii="宋体" w:hAnsi="宋体" w:cs="Calibri"/>
          <w:color w:val="000000"/>
          <w:szCs w:val="21"/>
        </w:rPr>
        <w:t>.</w:t>
      </w:r>
      <w:r>
        <w:rPr>
          <w:rFonts w:hint="eastAsia" w:ascii="宋体" w:hAnsi="宋体" w:cs="Calibri"/>
          <w:color w:val="000000"/>
          <w:szCs w:val="21"/>
        </w:rPr>
        <w:t>当所抽取预拌砂浆产品标准无此指标要求时，该产品不作抽样及检验要求。</w:t>
      </w:r>
    </w:p>
    <w:p w14:paraId="13F7B4A2">
      <w:pPr>
        <w:spacing w:line="460" w:lineRule="exact"/>
        <w:rPr>
          <w:rFonts w:ascii="宋体" w:hAnsi="宋体" w:cs="Calibri"/>
          <w:color w:val="000000"/>
          <w:sz w:val="24"/>
        </w:rPr>
      </w:pPr>
      <w:r>
        <w:rPr>
          <w:rFonts w:hint="eastAsia" w:ascii="黑体" w:hAnsi="黑体" w:eastAsia="黑体" w:cs="Calibri"/>
          <w:color w:val="000000"/>
          <w:sz w:val="24"/>
        </w:rPr>
        <w:t>4</w:t>
      </w:r>
      <w:r>
        <w:rPr>
          <w:rFonts w:ascii="黑体" w:hAnsi="黑体" w:eastAsia="黑体" w:cs="Calibri"/>
          <w:color w:val="000000"/>
          <w:sz w:val="24"/>
        </w:rPr>
        <w:t xml:space="preserve"> </w:t>
      </w:r>
      <w:r>
        <w:rPr>
          <w:rFonts w:hint="eastAsia" w:ascii="黑体" w:hAnsi="黑体" w:eastAsia="黑体" w:cs="Calibri"/>
          <w:color w:val="000000"/>
          <w:sz w:val="24"/>
        </w:rPr>
        <w:t>检验结果判定</w:t>
      </w:r>
    </w:p>
    <w:p w14:paraId="5E932BF4">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ascii="宋体" w:hAnsi="宋体" w:cs="Calibri"/>
          <w:color w:val="000000"/>
          <w:sz w:val="24"/>
        </w:rPr>
      </w:pPr>
      <w:r>
        <w:rPr>
          <w:rFonts w:hint="eastAsia" w:ascii="宋体" w:hAnsi="宋体" w:cs="Calibri"/>
          <w:color w:val="000000"/>
          <w:sz w:val="24"/>
        </w:rPr>
        <w:t>4.1 经抽样检测，所检项目符合 “T/CECS 10047-2019《绿色建材评价</w:t>
      </w:r>
      <w:r>
        <w:rPr>
          <w:rFonts w:ascii="宋体" w:hAnsi="宋体" w:cs="Calibri"/>
          <w:color w:val="000000"/>
          <w:sz w:val="24"/>
        </w:rPr>
        <w:t xml:space="preserve"> </w:t>
      </w:r>
      <w:r>
        <w:rPr>
          <w:rFonts w:hint="eastAsia" w:ascii="宋体" w:hAnsi="宋体" w:cs="Calibri"/>
          <w:color w:val="000000"/>
          <w:sz w:val="24"/>
        </w:rPr>
        <w:t>预拌混凝土》”/“T/CECS 10047-2025《绿色建材评价</w:t>
      </w:r>
      <w:r>
        <w:rPr>
          <w:rFonts w:ascii="宋体" w:hAnsi="宋体" w:cs="Calibri"/>
          <w:color w:val="000000"/>
          <w:sz w:val="24"/>
        </w:rPr>
        <w:t xml:space="preserve"> </w:t>
      </w:r>
      <w:r>
        <w:rPr>
          <w:rFonts w:hint="eastAsia" w:ascii="宋体" w:hAnsi="宋体" w:cs="Calibri"/>
          <w:color w:val="000000"/>
          <w:sz w:val="24"/>
        </w:rPr>
        <w:t>预拌混凝土》”</w:t>
      </w:r>
      <w:r>
        <w:rPr>
          <w:rFonts w:hint="eastAsia" w:ascii="宋体" w:hAnsi="宋体" w:cs="Calibri"/>
          <w:color w:val="000000"/>
          <w:sz w:val="24"/>
          <w:lang w:val="en-US" w:eastAsia="zh-CN"/>
        </w:rPr>
        <w:t>/</w:t>
      </w:r>
      <w:r>
        <w:rPr>
          <w:rFonts w:hint="eastAsia" w:ascii="宋体" w:hAnsi="宋体" w:cs="Calibri"/>
          <w:color w:val="000000"/>
          <w:sz w:val="24"/>
        </w:rPr>
        <w:t>“T/CECS 10048-2019《绿色建材评价</w:t>
      </w:r>
      <w:r>
        <w:rPr>
          <w:rFonts w:ascii="宋体" w:hAnsi="宋体" w:cs="Calibri"/>
          <w:color w:val="000000"/>
          <w:sz w:val="24"/>
        </w:rPr>
        <w:t xml:space="preserve"> </w:t>
      </w:r>
      <w:r>
        <w:rPr>
          <w:rFonts w:hint="eastAsia" w:ascii="宋体" w:hAnsi="宋体" w:cs="Calibri"/>
          <w:color w:val="000000"/>
          <w:sz w:val="24"/>
        </w:rPr>
        <w:t>预拌砂浆》”/“T/CECS 10048-2025《绿色建材评价</w:t>
      </w:r>
      <w:r>
        <w:rPr>
          <w:rFonts w:ascii="宋体" w:hAnsi="宋体" w:cs="Calibri"/>
          <w:color w:val="000000"/>
          <w:sz w:val="24"/>
        </w:rPr>
        <w:t xml:space="preserve"> </w:t>
      </w:r>
      <w:r>
        <w:rPr>
          <w:rFonts w:hint="eastAsia" w:ascii="宋体" w:hAnsi="宋体" w:cs="Calibri"/>
          <w:color w:val="000000"/>
          <w:sz w:val="24"/>
        </w:rPr>
        <w:t>预拌砂浆》”标准，依据《2026年度上海市绿色产品认证有效性抽查实施细则—预拌混凝土、预拌砂浆》，判定为合格。</w:t>
      </w:r>
    </w:p>
    <w:p w14:paraId="623B573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textAlignment w:val="auto"/>
        <w:rPr>
          <w:rFonts w:ascii="宋体" w:hAnsi="宋体" w:cs="Calibri"/>
          <w:color w:val="000000"/>
          <w:sz w:val="24"/>
        </w:rPr>
      </w:pPr>
      <w:r>
        <w:rPr>
          <w:rFonts w:hint="eastAsia" w:ascii="宋体" w:hAnsi="宋体" w:cs="Calibri"/>
          <w:color w:val="000000"/>
          <w:sz w:val="24"/>
        </w:rPr>
        <w:t>4.2 经抽样检测，xxx项目不符合“T/CECS 10047-2019《绿色建材评价</w:t>
      </w:r>
      <w:r>
        <w:rPr>
          <w:rFonts w:ascii="宋体" w:hAnsi="宋体" w:cs="Calibri"/>
          <w:color w:val="000000"/>
          <w:sz w:val="24"/>
        </w:rPr>
        <w:t xml:space="preserve"> </w:t>
      </w:r>
      <w:r>
        <w:rPr>
          <w:rFonts w:hint="eastAsia" w:ascii="宋体" w:hAnsi="宋体" w:cs="Calibri"/>
          <w:color w:val="000000"/>
          <w:sz w:val="24"/>
        </w:rPr>
        <w:t>预拌混凝土》”/“T/CECS 10047-2025《绿色建材评价</w:t>
      </w:r>
      <w:r>
        <w:rPr>
          <w:rFonts w:ascii="宋体" w:hAnsi="宋体" w:cs="Calibri"/>
          <w:color w:val="000000"/>
          <w:sz w:val="24"/>
        </w:rPr>
        <w:t xml:space="preserve"> </w:t>
      </w:r>
      <w:r>
        <w:rPr>
          <w:rFonts w:hint="eastAsia" w:ascii="宋体" w:hAnsi="宋体" w:cs="Calibri"/>
          <w:color w:val="000000"/>
          <w:sz w:val="24"/>
        </w:rPr>
        <w:t>预拌混凝土》”</w:t>
      </w:r>
      <w:r>
        <w:rPr>
          <w:rFonts w:hint="eastAsia" w:ascii="宋体" w:hAnsi="宋体" w:cs="Calibri"/>
          <w:color w:val="000000"/>
          <w:sz w:val="24"/>
          <w:lang w:val="en-US" w:eastAsia="zh-CN"/>
        </w:rPr>
        <w:t>/</w:t>
      </w:r>
      <w:r>
        <w:rPr>
          <w:rFonts w:hint="eastAsia" w:ascii="宋体" w:hAnsi="宋体" w:cs="Calibri"/>
          <w:color w:val="000000"/>
          <w:sz w:val="24"/>
        </w:rPr>
        <w:t>“T/CECS 10048-2019《绿色建材评价</w:t>
      </w:r>
      <w:r>
        <w:rPr>
          <w:rFonts w:ascii="宋体" w:hAnsi="宋体" w:cs="Calibri"/>
          <w:color w:val="000000"/>
          <w:sz w:val="24"/>
        </w:rPr>
        <w:t xml:space="preserve"> </w:t>
      </w:r>
      <w:r>
        <w:rPr>
          <w:rFonts w:hint="eastAsia" w:ascii="宋体" w:hAnsi="宋体" w:cs="Calibri"/>
          <w:color w:val="000000"/>
          <w:sz w:val="24"/>
        </w:rPr>
        <w:t>预拌砂浆》”/“T/CECS 10048-2025《绿色建材评价</w:t>
      </w:r>
      <w:r>
        <w:rPr>
          <w:rFonts w:ascii="宋体" w:hAnsi="宋体" w:cs="Calibri"/>
          <w:color w:val="000000"/>
          <w:sz w:val="24"/>
        </w:rPr>
        <w:t xml:space="preserve"> </w:t>
      </w:r>
      <w:r>
        <w:rPr>
          <w:rFonts w:hint="eastAsia" w:ascii="宋体" w:hAnsi="宋体" w:cs="Calibri"/>
          <w:color w:val="000000"/>
          <w:sz w:val="24"/>
        </w:rPr>
        <w:t>预拌砂浆》”标准，依据《2026年度上海市绿色产品认证有效性抽查实施细则—预拌混凝土、预拌砂浆》，判定为不合格。</w:t>
      </w:r>
    </w:p>
    <w:sectPr>
      <w:headerReference r:id="rId3" w:type="default"/>
      <w:footerReference r:id="rId4" w:type="default"/>
      <w:footerReference r:id="rId5" w:type="even"/>
      <w:pgSz w:w="11906" w:h="16838"/>
      <w:pgMar w:top="1928" w:right="1361" w:bottom="1304" w:left="158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668BC">
    <w:pPr>
      <w:pStyle w:val="4"/>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113CD69B">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5D66C">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14:paraId="48DFD2C3">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42F69">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0ODNhYTdlYTM4MTc5NTk3MWQzZTA5N2RkZjc1M2YifQ=="/>
  </w:docVars>
  <w:rsids>
    <w:rsidRoot w:val="00172A27"/>
    <w:rsid w:val="0001696F"/>
    <w:rsid w:val="00022582"/>
    <w:rsid w:val="00024E9C"/>
    <w:rsid w:val="00044EF2"/>
    <w:rsid w:val="00052216"/>
    <w:rsid w:val="00054E02"/>
    <w:rsid w:val="00074373"/>
    <w:rsid w:val="00081702"/>
    <w:rsid w:val="000827A6"/>
    <w:rsid w:val="00084C8E"/>
    <w:rsid w:val="000A71D0"/>
    <w:rsid w:val="000B2D0E"/>
    <w:rsid w:val="000B5959"/>
    <w:rsid w:val="000C4683"/>
    <w:rsid w:val="000C5FB2"/>
    <w:rsid w:val="000D7C8C"/>
    <w:rsid w:val="000E5A29"/>
    <w:rsid w:val="000F70E5"/>
    <w:rsid w:val="00100AE3"/>
    <w:rsid w:val="00102F36"/>
    <w:rsid w:val="001050BA"/>
    <w:rsid w:val="00110883"/>
    <w:rsid w:val="001400FE"/>
    <w:rsid w:val="00143232"/>
    <w:rsid w:val="00157706"/>
    <w:rsid w:val="001638C4"/>
    <w:rsid w:val="0017210E"/>
    <w:rsid w:val="00172A27"/>
    <w:rsid w:val="001A1209"/>
    <w:rsid w:val="001C3621"/>
    <w:rsid w:val="001D11FB"/>
    <w:rsid w:val="001D558F"/>
    <w:rsid w:val="001F6938"/>
    <w:rsid w:val="00205167"/>
    <w:rsid w:val="0021089A"/>
    <w:rsid w:val="0021429D"/>
    <w:rsid w:val="002145C0"/>
    <w:rsid w:val="00215ADC"/>
    <w:rsid w:val="002377BE"/>
    <w:rsid w:val="002468FF"/>
    <w:rsid w:val="0025042C"/>
    <w:rsid w:val="00260744"/>
    <w:rsid w:val="002721D1"/>
    <w:rsid w:val="00287C7A"/>
    <w:rsid w:val="002A0D73"/>
    <w:rsid w:val="002A11F0"/>
    <w:rsid w:val="002A302E"/>
    <w:rsid w:val="002B5BAA"/>
    <w:rsid w:val="002B6B44"/>
    <w:rsid w:val="002D3978"/>
    <w:rsid w:val="002E4641"/>
    <w:rsid w:val="002F6324"/>
    <w:rsid w:val="003042E1"/>
    <w:rsid w:val="00312064"/>
    <w:rsid w:val="003347A7"/>
    <w:rsid w:val="00356E50"/>
    <w:rsid w:val="0036068B"/>
    <w:rsid w:val="0036316B"/>
    <w:rsid w:val="00364E2C"/>
    <w:rsid w:val="003670AD"/>
    <w:rsid w:val="00367139"/>
    <w:rsid w:val="00372CCF"/>
    <w:rsid w:val="00375CB5"/>
    <w:rsid w:val="00386305"/>
    <w:rsid w:val="003864D9"/>
    <w:rsid w:val="00390A64"/>
    <w:rsid w:val="003B1766"/>
    <w:rsid w:val="003C0BB7"/>
    <w:rsid w:val="003C4D1D"/>
    <w:rsid w:val="003F3FFB"/>
    <w:rsid w:val="004048BA"/>
    <w:rsid w:val="00427B0A"/>
    <w:rsid w:val="00435B80"/>
    <w:rsid w:val="0046249F"/>
    <w:rsid w:val="00464364"/>
    <w:rsid w:val="0046695B"/>
    <w:rsid w:val="00474B05"/>
    <w:rsid w:val="004754B8"/>
    <w:rsid w:val="00496333"/>
    <w:rsid w:val="004B5C76"/>
    <w:rsid w:val="00522A8A"/>
    <w:rsid w:val="00532B56"/>
    <w:rsid w:val="00545330"/>
    <w:rsid w:val="00545602"/>
    <w:rsid w:val="00552C9E"/>
    <w:rsid w:val="00563E5E"/>
    <w:rsid w:val="00565009"/>
    <w:rsid w:val="00590443"/>
    <w:rsid w:val="00593F7E"/>
    <w:rsid w:val="005961A0"/>
    <w:rsid w:val="00597004"/>
    <w:rsid w:val="005A0697"/>
    <w:rsid w:val="005B679F"/>
    <w:rsid w:val="005C10AF"/>
    <w:rsid w:val="005C2A55"/>
    <w:rsid w:val="005C2C36"/>
    <w:rsid w:val="005C667F"/>
    <w:rsid w:val="005D152A"/>
    <w:rsid w:val="005E49F9"/>
    <w:rsid w:val="00601FE4"/>
    <w:rsid w:val="00610D86"/>
    <w:rsid w:val="00616277"/>
    <w:rsid w:val="0061706F"/>
    <w:rsid w:val="006208E2"/>
    <w:rsid w:val="0062102C"/>
    <w:rsid w:val="00634372"/>
    <w:rsid w:val="00640C75"/>
    <w:rsid w:val="0066214D"/>
    <w:rsid w:val="00672E4F"/>
    <w:rsid w:val="006770A9"/>
    <w:rsid w:val="006A2136"/>
    <w:rsid w:val="006A43C8"/>
    <w:rsid w:val="006B6636"/>
    <w:rsid w:val="006D1CF4"/>
    <w:rsid w:val="00706B17"/>
    <w:rsid w:val="00707561"/>
    <w:rsid w:val="00715324"/>
    <w:rsid w:val="00730C62"/>
    <w:rsid w:val="00733FCB"/>
    <w:rsid w:val="0074469C"/>
    <w:rsid w:val="007656D3"/>
    <w:rsid w:val="0077397C"/>
    <w:rsid w:val="007869C0"/>
    <w:rsid w:val="00796781"/>
    <w:rsid w:val="007A5C3A"/>
    <w:rsid w:val="007A653B"/>
    <w:rsid w:val="007A655B"/>
    <w:rsid w:val="007B2145"/>
    <w:rsid w:val="007B2AF8"/>
    <w:rsid w:val="007B608E"/>
    <w:rsid w:val="007F1A38"/>
    <w:rsid w:val="008138F8"/>
    <w:rsid w:val="00820A75"/>
    <w:rsid w:val="00825BFE"/>
    <w:rsid w:val="00845CD0"/>
    <w:rsid w:val="00865437"/>
    <w:rsid w:val="00866888"/>
    <w:rsid w:val="00880F39"/>
    <w:rsid w:val="008818DE"/>
    <w:rsid w:val="008914CE"/>
    <w:rsid w:val="0089293A"/>
    <w:rsid w:val="008948E6"/>
    <w:rsid w:val="008A657D"/>
    <w:rsid w:val="008C2411"/>
    <w:rsid w:val="008D506F"/>
    <w:rsid w:val="008E1421"/>
    <w:rsid w:val="008F1FD4"/>
    <w:rsid w:val="008F7B7F"/>
    <w:rsid w:val="00901D6C"/>
    <w:rsid w:val="0090513C"/>
    <w:rsid w:val="00912469"/>
    <w:rsid w:val="00925C06"/>
    <w:rsid w:val="0093348D"/>
    <w:rsid w:val="00936339"/>
    <w:rsid w:val="00936731"/>
    <w:rsid w:val="00937100"/>
    <w:rsid w:val="00970207"/>
    <w:rsid w:val="00971237"/>
    <w:rsid w:val="009734AA"/>
    <w:rsid w:val="0099061C"/>
    <w:rsid w:val="009D6603"/>
    <w:rsid w:val="009F3C13"/>
    <w:rsid w:val="00A044DF"/>
    <w:rsid w:val="00A1737E"/>
    <w:rsid w:val="00A40DB9"/>
    <w:rsid w:val="00A656CB"/>
    <w:rsid w:val="00A67A4A"/>
    <w:rsid w:val="00AA216F"/>
    <w:rsid w:val="00AB0483"/>
    <w:rsid w:val="00AB570A"/>
    <w:rsid w:val="00AC0658"/>
    <w:rsid w:val="00AC2437"/>
    <w:rsid w:val="00AF107E"/>
    <w:rsid w:val="00AF5CE6"/>
    <w:rsid w:val="00AF700A"/>
    <w:rsid w:val="00B04FC5"/>
    <w:rsid w:val="00B052B1"/>
    <w:rsid w:val="00B07AD5"/>
    <w:rsid w:val="00B11170"/>
    <w:rsid w:val="00B359CB"/>
    <w:rsid w:val="00B365D5"/>
    <w:rsid w:val="00B46FAA"/>
    <w:rsid w:val="00B525EF"/>
    <w:rsid w:val="00B56EC9"/>
    <w:rsid w:val="00B71D10"/>
    <w:rsid w:val="00B7234C"/>
    <w:rsid w:val="00B84E1D"/>
    <w:rsid w:val="00BD5DF7"/>
    <w:rsid w:val="00BE2DD3"/>
    <w:rsid w:val="00BE3130"/>
    <w:rsid w:val="00BE6064"/>
    <w:rsid w:val="00BF62D8"/>
    <w:rsid w:val="00BF7644"/>
    <w:rsid w:val="00C04892"/>
    <w:rsid w:val="00C1010A"/>
    <w:rsid w:val="00C10E67"/>
    <w:rsid w:val="00C53409"/>
    <w:rsid w:val="00C6168F"/>
    <w:rsid w:val="00C72B4F"/>
    <w:rsid w:val="00C755B5"/>
    <w:rsid w:val="00C77519"/>
    <w:rsid w:val="00CD0CBC"/>
    <w:rsid w:val="00CD0F7A"/>
    <w:rsid w:val="00CD2212"/>
    <w:rsid w:val="00CD3B9E"/>
    <w:rsid w:val="00CF096B"/>
    <w:rsid w:val="00CF51B8"/>
    <w:rsid w:val="00D0561F"/>
    <w:rsid w:val="00D25728"/>
    <w:rsid w:val="00D307B8"/>
    <w:rsid w:val="00D41DDE"/>
    <w:rsid w:val="00D76D39"/>
    <w:rsid w:val="00D913BE"/>
    <w:rsid w:val="00D93ED3"/>
    <w:rsid w:val="00DA7E9F"/>
    <w:rsid w:val="00DB6E47"/>
    <w:rsid w:val="00DC0F2C"/>
    <w:rsid w:val="00DC175D"/>
    <w:rsid w:val="00DC513C"/>
    <w:rsid w:val="00DE1372"/>
    <w:rsid w:val="00DE2355"/>
    <w:rsid w:val="00E02411"/>
    <w:rsid w:val="00E331EC"/>
    <w:rsid w:val="00E51C02"/>
    <w:rsid w:val="00E73515"/>
    <w:rsid w:val="00E73CE5"/>
    <w:rsid w:val="00E87338"/>
    <w:rsid w:val="00E908BA"/>
    <w:rsid w:val="00E96570"/>
    <w:rsid w:val="00EB7C90"/>
    <w:rsid w:val="00EE2887"/>
    <w:rsid w:val="00EE5463"/>
    <w:rsid w:val="00F013D4"/>
    <w:rsid w:val="00F07DE3"/>
    <w:rsid w:val="00F1091D"/>
    <w:rsid w:val="00F10B93"/>
    <w:rsid w:val="00F1672B"/>
    <w:rsid w:val="00F1679A"/>
    <w:rsid w:val="00F217EE"/>
    <w:rsid w:val="00F332CA"/>
    <w:rsid w:val="00F44A6F"/>
    <w:rsid w:val="00F57ACD"/>
    <w:rsid w:val="00F66B29"/>
    <w:rsid w:val="00F82506"/>
    <w:rsid w:val="00FA21B0"/>
    <w:rsid w:val="00FB139B"/>
    <w:rsid w:val="00FC7D33"/>
    <w:rsid w:val="00FD6425"/>
    <w:rsid w:val="00FE462B"/>
    <w:rsid w:val="00FE7C85"/>
    <w:rsid w:val="00FF22FF"/>
    <w:rsid w:val="0A1E63D6"/>
    <w:rsid w:val="0AA925B8"/>
    <w:rsid w:val="0B1F7084"/>
    <w:rsid w:val="0BD6768B"/>
    <w:rsid w:val="0D3F756A"/>
    <w:rsid w:val="0E2D1AB8"/>
    <w:rsid w:val="0F1D5756"/>
    <w:rsid w:val="0F6C009E"/>
    <w:rsid w:val="0F7F6343"/>
    <w:rsid w:val="10E723F2"/>
    <w:rsid w:val="16FE2244"/>
    <w:rsid w:val="197D7D98"/>
    <w:rsid w:val="1A0B1A98"/>
    <w:rsid w:val="1C273FEB"/>
    <w:rsid w:val="209B6D55"/>
    <w:rsid w:val="26153106"/>
    <w:rsid w:val="26995AE5"/>
    <w:rsid w:val="27300592"/>
    <w:rsid w:val="274D4B08"/>
    <w:rsid w:val="28F15B02"/>
    <w:rsid w:val="2AA66A22"/>
    <w:rsid w:val="2B9262EA"/>
    <w:rsid w:val="2C0559CB"/>
    <w:rsid w:val="2C527DEF"/>
    <w:rsid w:val="2CAD5E46"/>
    <w:rsid w:val="2CF25F4F"/>
    <w:rsid w:val="2D045C82"/>
    <w:rsid w:val="2D76092E"/>
    <w:rsid w:val="2E3A7BAD"/>
    <w:rsid w:val="2E7806D6"/>
    <w:rsid w:val="321E1594"/>
    <w:rsid w:val="32FE389F"/>
    <w:rsid w:val="34180991"/>
    <w:rsid w:val="353141EE"/>
    <w:rsid w:val="35D5640E"/>
    <w:rsid w:val="35F745D6"/>
    <w:rsid w:val="39A04098"/>
    <w:rsid w:val="3C081B33"/>
    <w:rsid w:val="3D6407A3"/>
    <w:rsid w:val="3E4B54BF"/>
    <w:rsid w:val="3E5E3444"/>
    <w:rsid w:val="3E7C1B1C"/>
    <w:rsid w:val="401D2127"/>
    <w:rsid w:val="413761CE"/>
    <w:rsid w:val="42C159A0"/>
    <w:rsid w:val="42D841B8"/>
    <w:rsid w:val="473236C0"/>
    <w:rsid w:val="488C32A4"/>
    <w:rsid w:val="48C42A3E"/>
    <w:rsid w:val="49C01457"/>
    <w:rsid w:val="4C4023DB"/>
    <w:rsid w:val="4DB017E2"/>
    <w:rsid w:val="4E962786"/>
    <w:rsid w:val="4EF456FF"/>
    <w:rsid w:val="50E0418D"/>
    <w:rsid w:val="53057EDB"/>
    <w:rsid w:val="530A729F"/>
    <w:rsid w:val="53230361"/>
    <w:rsid w:val="534529CD"/>
    <w:rsid w:val="5359055D"/>
    <w:rsid w:val="53E75832"/>
    <w:rsid w:val="56DE2F1C"/>
    <w:rsid w:val="573572FC"/>
    <w:rsid w:val="58D2260D"/>
    <w:rsid w:val="59710078"/>
    <w:rsid w:val="5A89319F"/>
    <w:rsid w:val="5B922527"/>
    <w:rsid w:val="5BB90387"/>
    <w:rsid w:val="5D812854"/>
    <w:rsid w:val="5D882B80"/>
    <w:rsid w:val="5DC6470A"/>
    <w:rsid w:val="5DF11787"/>
    <w:rsid w:val="5F681F1D"/>
    <w:rsid w:val="61BE5E24"/>
    <w:rsid w:val="65E816C2"/>
    <w:rsid w:val="663A5C95"/>
    <w:rsid w:val="67917B37"/>
    <w:rsid w:val="68152516"/>
    <w:rsid w:val="69872FA0"/>
    <w:rsid w:val="69AA7576"/>
    <w:rsid w:val="6A1D56B2"/>
    <w:rsid w:val="6C007039"/>
    <w:rsid w:val="6C8E6D3B"/>
    <w:rsid w:val="6CD27D15"/>
    <w:rsid w:val="6DB4457F"/>
    <w:rsid w:val="718D5813"/>
    <w:rsid w:val="72CC4119"/>
    <w:rsid w:val="73221F8B"/>
    <w:rsid w:val="74D07EF1"/>
    <w:rsid w:val="752E0E4E"/>
    <w:rsid w:val="77EB7A4D"/>
    <w:rsid w:val="780E0771"/>
    <w:rsid w:val="78BD078C"/>
    <w:rsid w:val="79FE1404"/>
    <w:rsid w:val="7D0050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Balloon Text"/>
    <w:basedOn w:val="1"/>
    <w:link w:val="15"/>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9"/>
    <w:semiHidden/>
    <w:unhideWhenUsed/>
    <w:qFormat/>
    <w:uiPriority w:val="99"/>
    <w:rPr>
      <w:b/>
      <w:bCs/>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paragraph" w:customStyle="1" w:styleId="12">
    <w:name w:val="列出段落1"/>
    <w:basedOn w:val="1"/>
    <w:qFormat/>
    <w:uiPriority w:val="34"/>
    <w:pPr>
      <w:ind w:firstLine="420" w:firstLineChars="200"/>
    </w:pPr>
    <w:rPr>
      <w:rFonts w:ascii="Calibri" w:hAnsi="Calibri"/>
      <w:szCs w:val="22"/>
    </w:rPr>
  </w:style>
  <w:style w:type="character" w:customStyle="1" w:styleId="13">
    <w:name w:val="页脚 字符"/>
    <w:basedOn w:val="9"/>
    <w:link w:val="4"/>
    <w:autoRedefine/>
    <w:qFormat/>
    <w:uiPriority w:val="99"/>
    <w:rPr>
      <w:kern w:val="2"/>
      <w:sz w:val="18"/>
      <w:szCs w:val="18"/>
    </w:rPr>
  </w:style>
  <w:style w:type="character" w:customStyle="1" w:styleId="14">
    <w:name w:val="页眉 字符"/>
    <w:basedOn w:val="9"/>
    <w:link w:val="5"/>
    <w:autoRedefine/>
    <w:semiHidden/>
    <w:qFormat/>
    <w:uiPriority w:val="99"/>
    <w:rPr>
      <w:kern w:val="2"/>
      <w:sz w:val="18"/>
      <w:szCs w:val="18"/>
    </w:rPr>
  </w:style>
  <w:style w:type="character" w:customStyle="1" w:styleId="15">
    <w:name w:val="批注框文本 字符"/>
    <w:basedOn w:val="9"/>
    <w:link w:val="3"/>
    <w:autoRedefine/>
    <w:semiHidden/>
    <w:qFormat/>
    <w:uiPriority w:val="99"/>
    <w:rPr>
      <w:kern w:val="2"/>
      <w:sz w:val="18"/>
      <w:szCs w:val="18"/>
    </w:rPr>
  </w:style>
  <w:style w:type="paragraph" w:styleId="16">
    <w:name w:val="List Paragraph"/>
    <w:basedOn w:val="1"/>
    <w:autoRedefine/>
    <w:qFormat/>
    <w:uiPriority w:val="99"/>
    <w:pPr>
      <w:ind w:firstLine="420" w:firstLineChars="200"/>
    </w:pPr>
  </w:style>
  <w:style w:type="paragraph" w:customStyle="1" w:styleId="1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18">
    <w:name w:val="批注文字 字符"/>
    <w:basedOn w:val="9"/>
    <w:link w:val="2"/>
    <w:semiHidden/>
    <w:qFormat/>
    <w:uiPriority w:val="99"/>
    <w:rPr>
      <w:kern w:val="2"/>
      <w:sz w:val="21"/>
      <w:szCs w:val="24"/>
    </w:rPr>
  </w:style>
  <w:style w:type="character" w:customStyle="1" w:styleId="19">
    <w:name w:val="批注主题 字符"/>
    <w:basedOn w:val="18"/>
    <w:link w:val="6"/>
    <w:semiHidden/>
    <w:qFormat/>
    <w:uiPriority w:val="99"/>
    <w:rPr>
      <w:b/>
      <w:bCs/>
      <w:kern w:val="2"/>
      <w:sz w:val="21"/>
      <w:szCs w:val="24"/>
    </w:rPr>
  </w:style>
  <w:style w:type="paragraph" w:customStyle="1" w:styleId="20">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1">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461172-AD7E-4B06-BFD7-7BF74688490D}">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3</Pages>
  <Words>1343</Words>
  <Characters>1960</Characters>
  <Lines>15</Lines>
  <Paragraphs>4</Paragraphs>
  <TotalTime>0</TotalTime>
  <ScaleCrop>false</ScaleCrop>
  <LinksUpToDate>false</LinksUpToDate>
  <CharactersWithSpaces>2011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2026-01-14T02:54:00Z</dcterms:created>
  <dc:creator>Legend User</dc:creator>
  <cp:lastModifiedBy>琴</cp:lastModifiedBy>
  <cp:lastPrinted>2026-01-28T03:38:00Z</cp:lastPrinted>
  <dcterms:modified xsi:type="dcterms:W3CDTF">2026-02-11T10:05:28Z</dcterms:modified>
  <dc:title>××产品质量监督抽查实施细则</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1B28D07C3FD148469E52FCD52C44CAEC_13</vt:lpwstr>
  </property>
  <property fmtid="{D5CDD505-2E9C-101B-9397-08002B2CF9AE}" pid="4" name="KSOTemplateDocerSaveRecord">
    <vt:lpwstr>eyJoZGlkIjoiZjFmZWIzNDg2MmIzZjExOTIzMmViNTBmYTMwYTk0ZWYiLCJ1c2VySWQiOiIxMDUxNDUxMzYyIn0=</vt:lpwstr>
  </property>
</Properties>
</file>