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 w14:paraId="65063E99">
      <w:pPr>
        <w:snapToGrid w:val="0"/>
        <w:spacing w:line="360" w:lineRule="auto"/>
        <w:jc w:val="right"/>
        <w:rPr>
          <w:rFonts w:hint="default" w:ascii="仿宋_GB2312" w:hAnsi="Calibri" w:eastAsia="仿宋_GB2312" w:cs="Calibri"/>
          <w:color w:val="000000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000000"/>
          <w:sz w:val="28"/>
          <w:szCs w:val="28"/>
        </w:rPr>
        <w:t>编号：</w:t>
      </w:r>
      <w:r>
        <w:rPr>
          <w:rFonts w:hint="eastAsia" w:ascii="仿宋" w:hAnsi="仿宋" w:eastAsia="仿宋" w:cs="仿宋"/>
          <w:color w:val="000000"/>
          <w:sz w:val="28"/>
          <w:szCs w:val="28"/>
          <w:lang w:val="en-US" w:eastAsia="zh-CN"/>
        </w:rPr>
        <w:t>SHSSXZRZ0034-2026</w:t>
      </w:r>
    </w:p>
    <w:p w14:paraId="4B173453">
      <w:pPr>
        <w:snapToGrid w:val="0"/>
        <w:spacing w:line="360" w:lineRule="auto"/>
        <w:jc w:val="center"/>
        <w:rPr>
          <w:rFonts w:ascii="黑体" w:hAnsi="黑体" w:eastAsia="黑体" w:cs="Calibri"/>
          <w:color w:val="000000"/>
          <w:sz w:val="32"/>
          <w:szCs w:val="32"/>
        </w:rPr>
      </w:pPr>
      <w:r>
        <w:rPr>
          <w:rFonts w:hint="eastAsia" w:ascii="黑体" w:hAnsi="黑体" w:eastAsia="黑体" w:cs="Calibri"/>
          <w:color w:val="000000"/>
          <w:sz w:val="32"/>
          <w:szCs w:val="32"/>
        </w:rPr>
        <w:t>上海市绿色产品认证有效性抽查实施细则</w:t>
      </w:r>
    </w:p>
    <w:p w14:paraId="699DEA8E">
      <w:pPr>
        <w:snapToGrid w:val="0"/>
        <w:spacing w:line="440" w:lineRule="exact"/>
        <w:jc w:val="center"/>
        <w:rPr>
          <w:rFonts w:hint="eastAsia" w:ascii="楷体" w:hAnsi="楷体" w:eastAsia="楷体" w:cs="微软雅黑"/>
          <w:color w:val="000000"/>
          <w:sz w:val="32"/>
          <w:szCs w:val="32"/>
          <w:lang w:val="en-US" w:eastAsia="zh-CN"/>
        </w:rPr>
      </w:pPr>
      <w:r>
        <w:rPr>
          <w:rFonts w:hint="eastAsia" w:ascii="楷体" w:hAnsi="楷体" w:eastAsia="楷体" w:cs="微软雅黑"/>
          <w:color w:val="000000"/>
          <w:sz w:val="32"/>
          <w:szCs w:val="32"/>
          <w:lang w:eastAsia="zh-CN"/>
        </w:rPr>
        <w:t>电冰箱</w:t>
      </w:r>
    </w:p>
    <w:p w14:paraId="600A0477">
      <w:pPr>
        <w:snapToGrid w:val="0"/>
        <w:spacing w:line="440" w:lineRule="exact"/>
        <w:rPr>
          <w:rFonts w:ascii="黑体" w:hAnsi="宋体" w:eastAsia="黑体"/>
          <w:color w:val="000000"/>
          <w:sz w:val="24"/>
          <w:szCs w:val="21"/>
        </w:rPr>
      </w:pPr>
      <w:r>
        <w:rPr>
          <w:rFonts w:hint="eastAsia" w:ascii="黑体" w:hAnsi="宋体" w:eastAsia="黑体"/>
          <w:color w:val="000000"/>
          <w:sz w:val="24"/>
          <w:szCs w:val="21"/>
        </w:rPr>
        <w:t>1 抽样目的</w:t>
      </w:r>
    </w:p>
    <w:p w14:paraId="04C4FC8E">
      <w:pPr>
        <w:snapToGrid w:val="0"/>
        <w:spacing w:line="440" w:lineRule="exact"/>
        <w:ind w:firstLine="480" w:firstLineChars="200"/>
        <w:rPr>
          <w:rFonts w:ascii="宋体" w:hAnsi="宋体" w:cs="Calibri"/>
          <w:color w:val="000000" w:themeColor="text1"/>
          <w:sz w:val="24"/>
          <w:szCs w:val="21"/>
          <w14:textFill>
            <w14:solidFill>
              <w14:schemeClr w14:val="tx1"/>
            </w14:solidFill>
          </w14:textFill>
        </w:rPr>
      </w:pPr>
      <w:r>
        <w:rPr>
          <w:rFonts w:ascii="宋体" w:hAnsi="宋体" w:cs="Calibri"/>
          <w:color w:val="000000" w:themeColor="text1"/>
          <w:sz w:val="24"/>
          <w:szCs w:val="21"/>
          <w14:textFill>
            <w14:solidFill>
              <w14:schemeClr w14:val="tx1"/>
            </w14:solidFill>
          </w14:textFill>
        </w:rPr>
        <w:t>全面掌握上海市绿色产品认证活动有效性，及时发现和查处绿色产品认证违法违规行为，规范绿色产品市场秩序，提高绿色产品质量水平，保障消费者权益，推动绿色产业健康有序发展</w:t>
      </w:r>
      <w:r>
        <w:rPr>
          <w:rFonts w:hint="eastAsia" w:ascii="宋体" w:hAnsi="宋体" w:cs="Calibri"/>
          <w:color w:val="000000" w:themeColor="text1"/>
          <w:sz w:val="24"/>
          <w:szCs w:val="21"/>
          <w14:textFill>
            <w14:solidFill>
              <w14:schemeClr w14:val="tx1"/>
            </w14:solidFill>
          </w14:textFill>
        </w:rPr>
        <w:t>。</w:t>
      </w:r>
    </w:p>
    <w:p w14:paraId="21E2F385">
      <w:pPr>
        <w:snapToGrid w:val="0"/>
        <w:spacing w:line="440" w:lineRule="exact"/>
        <w:rPr>
          <w:rFonts w:ascii="宋体" w:hAnsi="宋体"/>
          <w:color w:val="000000"/>
          <w:sz w:val="24"/>
          <w:szCs w:val="21"/>
        </w:rPr>
      </w:pPr>
      <w:r>
        <w:rPr>
          <w:rFonts w:hint="eastAsia" w:ascii="黑体" w:hAnsi="宋体" w:eastAsia="黑体"/>
          <w:color w:val="000000"/>
          <w:sz w:val="24"/>
          <w:szCs w:val="21"/>
        </w:rPr>
        <w:t>2 抽样方法</w:t>
      </w:r>
    </w:p>
    <w:p w14:paraId="24701734">
      <w:pPr>
        <w:snapToGrid w:val="0"/>
        <w:spacing w:line="440" w:lineRule="exact"/>
        <w:ind w:firstLine="480" w:firstLineChars="200"/>
        <w:rPr>
          <w:rFonts w:hint="eastAsia" w:ascii="宋体" w:hAnsi="宋体" w:eastAsia="宋体" w:cs="Calibri"/>
          <w:color w:val="000000" w:themeColor="text1"/>
          <w:sz w:val="24"/>
          <w:szCs w:val="21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Calibri"/>
          <w:color w:val="000000" w:themeColor="text1"/>
          <w:sz w:val="24"/>
          <w:szCs w:val="21"/>
          <w14:textFill>
            <w14:solidFill>
              <w14:schemeClr w14:val="tx1"/>
            </w14:solidFill>
          </w14:textFill>
        </w:rPr>
        <w:t>以随机方式在被抽样生产者、销售者的待销产品中抽取样品。每批次样品抽取2台，其中1台作为检验样品，1台作为备用样品</w:t>
      </w:r>
      <w:r>
        <w:rPr>
          <w:rFonts w:hint="eastAsia" w:ascii="宋体" w:hAnsi="宋体" w:cs="Calibri"/>
          <w:color w:val="000000" w:themeColor="text1"/>
          <w:sz w:val="24"/>
          <w:szCs w:val="21"/>
          <w:lang w:eastAsia="zh-CN"/>
          <w14:textFill>
            <w14:solidFill>
              <w14:schemeClr w14:val="tx1"/>
            </w14:solidFill>
          </w14:textFill>
        </w:rPr>
        <w:t>。</w:t>
      </w:r>
    </w:p>
    <w:p w14:paraId="63891F66">
      <w:pPr>
        <w:spacing w:line="460" w:lineRule="exact"/>
        <w:rPr>
          <w:rFonts w:ascii="黑体" w:hAnsi="黑体" w:eastAsia="黑体" w:cs="Calibri"/>
          <w:color w:val="000000"/>
          <w:sz w:val="24"/>
          <w:szCs w:val="21"/>
        </w:rPr>
      </w:pPr>
      <w:r>
        <w:rPr>
          <w:rFonts w:hint="eastAsia" w:ascii="黑体" w:hAnsi="黑体" w:eastAsia="黑体" w:cs="Calibri"/>
          <w:color w:val="000000"/>
          <w:sz w:val="24"/>
          <w:szCs w:val="21"/>
        </w:rPr>
        <w:t>3 检验项目和依据</w:t>
      </w:r>
    </w:p>
    <w:p w14:paraId="3E545548">
      <w:pPr>
        <w:snapToGrid w:val="0"/>
        <w:spacing w:line="440" w:lineRule="exact"/>
        <w:jc w:val="center"/>
        <w:rPr>
          <w:rFonts w:ascii="宋体" w:hAnsi="宋体"/>
          <w:color w:val="000000"/>
          <w:sz w:val="24"/>
          <w:szCs w:val="21"/>
        </w:rPr>
      </w:pPr>
      <w:r>
        <w:rPr>
          <w:rFonts w:hint="eastAsia" w:ascii="宋体" w:hAnsi="宋体"/>
          <w:color w:val="000000"/>
          <w:sz w:val="24"/>
          <w:szCs w:val="21"/>
        </w:rPr>
        <w:t xml:space="preserve">表1 </w:t>
      </w:r>
      <w:r>
        <w:rPr>
          <w:rFonts w:hint="eastAsia" w:ascii="宋体" w:hAnsi="宋体"/>
          <w:color w:val="000000"/>
          <w:sz w:val="24"/>
          <w:szCs w:val="21"/>
          <w:lang w:eastAsia="zh-CN"/>
        </w:rPr>
        <w:t>电冰箱</w:t>
      </w:r>
      <w:r>
        <w:rPr>
          <w:rFonts w:hint="eastAsia" w:ascii="宋体" w:hAnsi="宋体"/>
          <w:color w:val="000000"/>
          <w:sz w:val="24"/>
          <w:szCs w:val="21"/>
        </w:rPr>
        <w:t>产品检验项目</w:t>
      </w:r>
    </w:p>
    <w:tbl>
      <w:tblPr>
        <w:tblStyle w:val="9"/>
        <w:tblW w:w="946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2"/>
        <w:gridCol w:w="1444"/>
        <w:gridCol w:w="2682"/>
        <w:gridCol w:w="4850"/>
      </w:tblGrid>
      <w:tr w14:paraId="10DA0F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4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B1A671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序号</w:t>
            </w:r>
          </w:p>
        </w:tc>
        <w:tc>
          <w:tcPr>
            <w:tcW w:w="144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AF747B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检验项目</w:t>
            </w:r>
          </w:p>
        </w:tc>
        <w:tc>
          <w:tcPr>
            <w:tcW w:w="268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D8D9C2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检验方法</w:t>
            </w:r>
          </w:p>
        </w:tc>
        <w:tc>
          <w:tcPr>
            <w:tcW w:w="485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F93CF0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强制性质量要求</w:t>
            </w:r>
          </w:p>
        </w:tc>
      </w:tr>
      <w:tr w14:paraId="3B85DA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13" w:hRule="atLeast"/>
        </w:trPr>
        <w:tc>
          <w:tcPr>
            <w:tcW w:w="49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ED1236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1</w:t>
            </w:r>
          </w:p>
        </w:tc>
        <w:tc>
          <w:tcPr>
            <w:tcW w:w="14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1EB5A7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铅</w:t>
            </w:r>
          </w:p>
        </w:tc>
        <w:tc>
          <w:tcPr>
            <w:tcW w:w="268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EF0465E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GB/T 39560.2-2024</w:t>
            </w:r>
          </w:p>
          <w:p w14:paraId="14878CA9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GB/T 39560.5-2021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GB/T 39560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.1-2020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*</w:t>
            </w:r>
          </w:p>
          <w:p w14:paraId="7F380C44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GB/T 39560.301-2020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*</w:t>
            </w:r>
          </w:p>
        </w:tc>
        <w:tc>
          <w:tcPr>
            <w:tcW w:w="4850" w:type="dxa"/>
            <w:tcBorders>
              <w:top w:val="nil"/>
              <w:left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1AADD0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GB/T 26572-2011 《电子电气产品中限用物质的限量要求》及国家标准第1号修改单或GB 26572-2025《电器电子产品有害物质限制使用要求》、《达标管理目录限用物质应用例外清单》</w:t>
            </w:r>
          </w:p>
        </w:tc>
      </w:tr>
      <w:tr w14:paraId="52611C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49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95B601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2</w:t>
            </w:r>
          </w:p>
        </w:tc>
        <w:tc>
          <w:tcPr>
            <w:tcW w:w="14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A8FACC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汞</w:t>
            </w:r>
          </w:p>
        </w:tc>
        <w:tc>
          <w:tcPr>
            <w:tcW w:w="268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C7BEBB2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GB/T 39560.2-2024</w:t>
            </w:r>
          </w:p>
          <w:p w14:paraId="4028D640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GB/T 39560.4-2021</w:t>
            </w:r>
          </w:p>
          <w:p w14:paraId="69605D74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GB/T 39560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.1-2020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*</w:t>
            </w:r>
          </w:p>
          <w:p w14:paraId="7AE349D1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GB/T 39560.301-2020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*</w:t>
            </w:r>
          </w:p>
        </w:tc>
        <w:tc>
          <w:tcPr>
            <w:tcW w:w="485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9D7269D"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GB/T 26572-2011《电子电气产品中限用物质的限量要求》及国家标准第1号修改单或 GB 26572-2025《电器电子产品有害物质限制使用要求》、《达标管理目录限用物质应用例外清单》</w:t>
            </w:r>
          </w:p>
        </w:tc>
      </w:tr>
      <w:tr w14:paraId="78EFE9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49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21976F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3</w:t>
            </w:r>
          </w:p>
        </w:tc>
        <w:tc>
          <w:tcPr>
            <w:tcW w:w="14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22BE51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镉</w:t>
            </w:r>
          </w:p>
        </w:tc>
        <w:tc>
          <w:tcPr>
            <w:tcW w:w="268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C1FDE9E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GB/T 39560.2-2024</w:t>
            </w:r>
          </w:p>
          <w:p w14:paraId="27B2DBCC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GB/T 39560.5-2021</w:t>
            </w:r>
          </w:p>
          <w:p w14:paraId="31262D35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GB/T 39560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.1-2020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*</w:t>
            </w:r>
          </w:p>
          <w:p w14:paraId="0E43EF7C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GB/T 39560.301-2020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*</w:t>
            </w:r>
          </w:p>
        </w:tc>
        <w:tc>
          <w:tcPr>
            <w:tcW w:w="485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9AF7D27"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GB/T 26572-2011《电子电气产品中限用物质的限量要求》及国家标准第1号修改单或GB 26572-2025《电器电子产品有害物质限制使用要求》、《达标管理目录限用物质应用例外清单》</w:t>
            </w:r>
          </w:p>
        </w:tc>
      </w:tr>
      <w:tr w14:paraId="384234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49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96A6CC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4</w:t>
            </w:r>
          </w:p>
        </w:tc>
        <w:tc>
          <w:tcPr>
            <w:tcW w:w="14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D7B808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六价铬</w:t>
            </w:r>
          </w:p>
        </w:tc>
        <w:tc>
          <w:tcPr>
            <w:tcW w:w="268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F735C36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GB/T 39560.2-2024</w:t>
            </w:r>
          </w:p>
          <w:p w14:paraId="582B79DD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GB/T 39560.701-2020</w:t>
            </w:r>
          </w:p>
          <w:p w14:paraId="681204F2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GB/T 39560.702-2021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GB/T 39560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.1-2020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*</w:t>
            </w:r>
          </w:p>
          <w:p w14:paraId="560838AD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GB/T 39560.5-2021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*或</w:t>
            </w:r>
          </w:p>
          <w:p w14:paraId="4EA13556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GB/T 39560.301-2020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*</w:t>
            </w:r>
          </w:p>
        </w:tc>
        <w:tc>
          <w:tcPr>
            <w:tcW w:w="485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BB96EE3"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GB/T 26572-2011《电子电气产品中限用物质的限量要求》及国家标准第1号修改单或GB 26572-2025《电器电子产品有害物质限制使用要求》、《达标管理目录限用物质应用例外清单》</w:t>
            </w:r>
          </w:p>
        </w:tc>
      </w:tr>
      <w:tr w14:paraId="1A128C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49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DFC52F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5</w:t>
            </w:r>
          </w:p>
        </w:tc>
        <w:tc>
          <w:tcPr>
            <w:tcW w:w="14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D36431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多溴联苯</w:t>
            </w:r>
          </w:p>
        </w:tc>
        <w:tc>
          <w:tcPr>
            <w:tcW w:w="268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B7A9DC6">
            <w:pPr>
              <w:widowControl/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GB/T 39560.2-2024</w:t>
            </w:r>
          </w:p>
          <w:p w14:paraId="340AD459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GB/T 39560.6-2020或</w:t>
            </w:r>
          </w:p>
          <w:p w14:paraId="49D63D21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GB/T 39560.12-2024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GB/T 39560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.1-2020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*</w:t>
            </w:r>
          </w:p>
          <w:p w14:paraId="0B6E2675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GB/T 39560.301-2020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*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或</w:t>
            </w:r>
          </w:p>
          <w:p w14:paraId="617354E6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GB/T 39560.302-2024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*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或</w:t>
            </w:r>
          </w:p>
          <w:p w14:paraId="3FAB868D"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GB/T 39560.303-2024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*</w:t>
            </w:r>
          </w:p>
        </w:tc>
        <w:tc>
          <w:tcPr>
            <w:tcW w:w="485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FA0A0AC"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GB/T 26572-2011《电子电气产品中限用物质的限量要求》及国家标准第1号修改单或GB 26572-2025《电器电子产品有害物质限制使用要求》、《达标管理目录限用物质应用例外清单》</w:t>
            </w:r>
          </w:p>
        </w:tc>
      </w:tr>
      <w:tr w14:paraId="6079F2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</w:trPr>
        <w:tc>
          <w:tcPr>
            <w:tcW w:w="49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EDA501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6</w:t>
            </w:r>
          </w:p>
        </w:tc>
        <w:tc>
          <w:tcPr>
            <w:tcW w:w="14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FB9718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多溴二苯醚</w:t>
            </w:r>
          </w:p>
        </w:tc>
        <w:tc>
          <w:tcPr>
            <w:tcW w:w="268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BC29BA6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GB/T 39560.2-2024</w:t>
            </w:r>
          </w:p>
          <w:p w14:paraId="183E1DE3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GB/T 39560.6-2020或</w:t>
            </w:r>
          </w:p>
          <w:p w14:paraId="2AF9B994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GB/T 39560.12-2024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GB/T 39560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.1-2020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*</w:t>
            </w:r>
          </w:p>
          <w:p w14:paraId="6BF64A12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GB/T 39560.301-2020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*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或</w:t>
            </w:r>
          </w:p>
          <w:p w14:paraId="09491B7A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GB/T 39560.302-2024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*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或</w:t>
            </w:r>
          </w:p>
          <w:p w14:paraId="6A647CB8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GB/T 39560.303-2024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*</w:t>
            </w:r>
          </w:p>
        </w:tc>
        <w:tc>
          <w:tcPr>
            <w:tcW w:w="485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A6DEAF7"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GB/T 26572-2011《电子电气产品中限用物质的限量要求》及国家标准第1号修改单或GB 26572-2025《电器电子产品有害物质限制使用要求》、《达标管理目录限用物质应用例外清单》</w:t>
            </w:r>
          </w:p>
        </w:tc>
      </w:tr>
      <w:tr w14:paraId="22160D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</w:trPr>
        <w:tc>
          <w:tcPr>
            <w:tcW w:w="49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154AFF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7</w:t>
            </w:r>
          </w:p>
        </w:tc>
        <w:tc>
          <w:tcPr>
            <w:tcW w:w="14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7AFE3F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邻苯二甲酸二正丁酯</w:t>
            </w:r>
          </w:p>
        </w:tc>
        <w:tc>
          <w:tcPr>
            <w:tcW w:w="268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460FCA0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GB/T 39560.2-2024</w:t>
            </w:r>
          </w:p>
          <w:p w14:paraId="325F61A7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GB/T 39560.8-2021或</w:t>
            </w:r>
          </w:p>
          <w:p w14:paraId="5738252B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GB/T 39560.12-2024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GB/T 39560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.1-2020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*</w:t>
            </w:r>
          </w:p>
          <w:p w14:paraId="1421DEF0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GB/T 39560.303-2024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*</w:t>
            </w:r>
          </w:p>
        </w:tc>
        <w:tc>
          <w:tcPr>
            <w:tcW w:w="485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ECD50CE"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GB/T 26572-2011《电子电气产品中限用物质的限量要求》及国家标准第1号修改单或GB 26572-2025《电器电子产品有害物质限制使用要求》、《达标管理目录限用物质应用例外清单》</w:t>
            </w:r>
          </w:p>
        </w:tc>
      </w:tr>
      <w:tr w14:paraId="78BF07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</w:trPr>
        <w:tc>
          <w:tcPr>
            <w:tcW w:w="49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8BACA1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8</w:t>
            </w:r>
          </w:p>
        </w:tc>
        <w:tc>
          <w:tcPr>
            <w:tcW w:w="14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464F0A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邻苯二甲酸二异丁酯</w:t>
            </w:r>
          </w:p>
        </w:tc>
        <w:tc>
          <w:tcPr>
            <w:tcW w:w="268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248F8B9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GB/T 39560.2-2024</w:t>
            </w:r>
          </w:p>
          <w:p w14:paraId="1BA1453F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GB/T 39560.8-2021或</w:t>
            </w:r>
          </w:p>
          <w:p w14:paraId="413C84D2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GB/T 39560.12-2024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GB/T 39560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.1-2020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*</w:t>
            </w:r>
          </w:p>
          <w:p w14:paraId="5E0F8979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GB/T 39560.303-2024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*</w:t>
            </w:r>
          </w:p>
        </w:tc>
        <w:tc>
          <w:tcPr>
            <w:tcW w:w="485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1B0DA02"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GB/T 26572-2011《电子电气产品中限用物质的限量要求》及国家标准第1号修改单或GB 26572-2025《电器电子产品有害物质限制使用要求》、《达标管理目录限用物质应用例外清单》</w:t>
            </w:r>
          </w:p>
        </w:tc>
      </w:tr>
      <w:tr w14:paraId="2B4124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</w:trPr>
        <w:tc>
          <w:tcPr>
            <w:tcW w:w="49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E229CC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9</w:t>
            </w:r>
          </w:p>
        </w:tc>
        <w:tc>
          <w:tcPr>
            <w:tcW w:w="14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F6D651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邻苯二甲酸丁基苄酯</w:t>
            </w:r>
          </w:p>
        </w:tc>
        <w:tc>
          <w:tcPr>
            <w:tcW w:w="268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E87E7F7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GB/T 39560.2-2024</w:t>
            </w:r>
          </w:p>
          <w:p w14:paraId="3D7A9804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GB/T 39560.8-2021或</w:t>
            </w:r>
          </w:p>
          <w:p w14:paraId="14E73106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GB/T 39560.12-2024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GB/T 39560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.1-2020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*</w:t>
            </w:r>
          </w:p>
          <w:p w14:paraId="398F1598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GB/T 39560.303-2024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*</w:t>
            </w:r>
          </w:p>
        </w:tc>
        <w:tc>
          <w:tcPr>
            <w:tcW w:w="485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5EAA40C"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GB/T 26572-2011《电子电气产品中限用物质的限量要求》及国家标准第1号修改单或GB 26572-2025《电器电子产品有害物质限制使用要求》、《达标管理目录限用物质应用例外清单》</w:t>
            </w:r>
          </w:p>
        </w:tc>
      </w:tr>
      <w:tr w14:paraId="5DC034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atLeast"/>
        </w:trPr>
        <w:tc>
          <w:tcPr>
            <w:tcW w:w="49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3BC0A7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10</w:t>
            </w:r>
          </w:p>
        </w:tc>
        <w:tc>
          <w:tcPr>
            <w:tcW w:w="14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47BAB9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邻苯二甲酸二（2-乙基）己酯</w:t>
            </w:r>
          </w:p>
        </w:tc>
        <w:tc>
          <w:tcPr>
            <w:tcW w:w="268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E00177F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GB/T 39560.2-2024</w:t>
            </w:r>
          </w:p>
          <w:p w14:paraId="6AAE8701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GB/T 39560.8-2021或</w:t>
            </w:r>
          </w:p>
          <w:p w14:paraId="3A77A1E3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GB/T 39560.12-2024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GB/T 39560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.1-2020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*</w:t>
            </w:r>
          </w:p>
          <w:p w14:paraId="081D7389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GB/T 39560.303-2024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*</w:t>
            </w:r>
          </w:p>
        </w:tc>
        <w:tc>
          <w:tcPr>
            <w:tcW w:w="485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4D345710"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GB/T 26572-2011《电子电气产品中限用物质的限量要求》及国家标准第1号修改单或GB 26572-2025《电器电子产品有害物质限制使用要求》、《达标管理目录限用物质应用例外清单》</w:t>
            </w:r>
          </w:p>
        </w:tc>
      </w:tr>
    </w:tbl>
    <w:p w14:paraId="6B7FCCE9">
      <w:pPr>
        <w:snapToGrid w:val="0"/>
        <w:spacing w:line="440" w:lineRule="exact"/>
        <w:ind w:firstLine="480" w:firstLineChars="200"/>
        <w:rPr>
          <w:rFonts w:hint="eastAsia" w:ascii="宋体" w:hAnsi="宋体" w:cs="Calibri"/>
          <w:color w:val="000000" w:themeColor="text1"/>
          <w:sz w:val="24"/>
          <w:szCs w:val="21"/>
          <w:lang w:val="en-US" w:eastAsia="zh-CN"/>
          <w14:textFill>
            <w14:solidFill>
              <w14:schemeClr w14:val="tx1"/>
            </w14:solidFill>
          </w14:textFill>
        </w:rPr>
      </w:pPr>
      <w:bookmarkStart w:id="0" w:name="_GoBack"/>
      <w:bookmarkEnd w:id="0"/>
      <w:r>
        <w:rPr>
          <w:rFonts w:hint="eastAsia" w:ascii="宋体" w:hAnsi="宋体" w:cs="Calibri"/>
          <w:color w:val="000000" w:themeColor="text1"/>
          <w:sz w:val="24"/>
          <w:szCs w:val="21"/>
          <w:lang w:val="en-US" w:eastAsia="zh-CN"/>
          <w14:textFill>
            <w14:solidFill>
              <w14:schemeClr w14:val="tx1"/>
            </w14:solidFill>
          </w14:textFill>
        </w:rPr>
        <w:t>备注：</w:t>
      </w:r>
    </w:p>
    <w:p w14:paraId="373FE100">
      <w:pPr>
        <w:snapToGrid w:val="0"/>
        <w:spacing w:line="440" w:lineRule="exact"/>
        <w:ind w:firstLine="480" w:firstLineChars="200"/>
        <w:rPr>
          <w:rFonts w:hint="eastAsia" w:ascii="宋体" w:hAnsi="宋体" w:cs="Calibri"/>
          <w:color w:val="000000" w:themeColor="text1"/>
          <w:sz w:val="24"/>
          <w:szCs w:val="2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Calibri"/>
          <w:color w:val="000000" w:themeColor="text1"/>
          <w:sz w:val="24"/>
          <w:szCs w:val="21"/>
          <w:lang w:val="en-US" w:eastAsia="zh-CN"/>
          <w14:textFill>
            <w14:solidFill>
              <w14:schemeClr w14:val="tx1"/>
            </w14:solidFill>
          </w14:textFill>
        </w:rPr>
        <w:t>1.检验方法中带“*”标准为可选用方法，不作为检测机构CMA资质能力的必要要求。</w:t>
      </w:r>
    </w:p>
    <w:p w14:paraId="6B23F276">
      <w:pPr>
        <w:snapToGrid w:val="0"/>
        <w:spacing w:line="440" w:lineRule="exact"/>
        <w:ind w:firstLine="480" w:firstLineChars="200"/>
        <w:rPr>
          <w:rFonts w:hint="eastAsia" w:ascii="宋体" w:hAnsi="宋体" w:cs="Calibri"/>
          <w:color w:val="000000" w:themeColor="text1"/>
          <w:sz w:val="24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Calibri"/>
          <w:color w:val="000000" w:themeColor="text1"/>
          <w:sz w:val="24"/>
          <w:szCs w:val="21"/>
          <w:lang w:val="en-US" w:eastAsia="zh-CN"/>
          <w14:textFill>
            <w14:solidFill>
              <w14:schemeClr w14:val="tx1"/>
            </w14:solidFill>
          </w14:textFill>
        </w:rPr>
        <w:t>2.</w:t>
      </w:r>
      <w:r>
        <w:rPr>
          <w:rFonts w:hint="eastAsia" w:ascii="宋体" w:hAnsi="宋体" w:cs="Calibri"/>
          <w:color w:val="000000" w:themeColor="text1"/>
          <w:sz w:val="24"/>
          <w:szCs w:val="21"/>
          <w14:textFill>
            <w14:solidFill>
              <w14:schemeClr w14:val="tx1"/>
            </w14:solidFill>
          </w14:textFill>
        </w:rPr>
        <w:t xml:space="preserve">抽查测试材料数为50个，测试点位选择比例按金属、非金属各占约50%执行；参考GB/T </w:t>
      </w:r>
      <w:r>
        <w:rPr>
          <w:rFonts w:hint="eastAsia" w:ascii="宋体" w:hAnsi="宋体" w:cs="Calibri"/>
          <w:color w:val="000000" w:themeColor="text1"/>
          <w:sz w:val="24"/>
          <w:szCs w:val="21"/>
          <w:lang w:val="en-US" w:eastAsia="zh-CN"/>
          <w14:textFill>
            <w14:solidFill>
              <w14:schemeClr w14:val="tx1"/>
            </w14:solidFill>
          </w14:textFill>
        </w:rPr>
        <w:t>39560.2-2024</w:t>
      </w:r>
      <w:r>
        <w:rPr>
          <w:rFonts w:hint="eastAsia" w:ascii="宋体" w:hAnsi="宋体" w:cs="Calibri"/>
          <w:color w:val="000000" w:themeColor="text1"/>
          <w:sz w:val="24"/>
          <w:szCs w:val="21"/>
          <w14:textFill>
            <w14:solidFill>
              <w14:schemeClr w14:val="tx1"/>
            </w14:solidFill>
          </w14:textFill>
        </w:rPr>
        <w:t>附录</w:t>
      </w:r>
      <w:r>
        <w:rPr>
          <w:rFonts w:hint="eastAsia" w:ascii="宋体" w:hAnsi="宋体" w:cs="Calibri"/>
          <w:color w:val="000000" w:themeColor="text1"/>
          <w:sz w:val="24"/>
          <w:szCs w:val="21"/>
          <w:lang w:val="en-US" w:eastAsia="zh-CN"/>
          <w14:textFill>
            <w14:solidFill>
              <w14:schemeClr w14:val="tx1"/>
            </w14:solidFill>
          </w14:textFill>
        </w:rPr>
        <w:t>B</w:t>
      </w:r>
      <w:r>
        <w:rPr>
          <w:rFonts w:hint="eastAsia" w:ascii="宋体" w:hAnsi="宋体" w:cs="Calibri"/>
          <w:color w:val="000000" w:themeColor="text1"/>
          <w:sz w:val="24"/>
          <w:szCs w:val="21"/>
          <w14:textFill>
            <w14:solidFill>
              <w14:schemeClr w14:val="tx1"/>
            </w14:solidFill>
          </w14:textFill>
        </w:rPr>
        <w:t>及实验室经验</w:t>
      </w:r>
      <w:r>
        <w:rPr>
          <w:rFonts w:hint="eastAsia" w:ascii="宋体" w:hAnsi="宋体" w:cs="Calibri"/>
          <w:color w:val="000000" w:themeColor="text1"/>
          <w:sz w:val="24"/>
          <w:szCs w:val="21"/>
          <w:lang w:val="en-US" w:eastAsia="zh-CN"/>
          <w14:textFill>
            <w14:solidFill>
              <w14:schemeClr w14:val="tx1"/>
            </w14:solidFill>
          </w14:textFill>
        </w:rPr>
        <w:t>选择测试点位</w:t>
      </w:r>
      <w:r>
        <w:rPr>
          <w:rFonts w:hint="eastAsia" w:ascii="宋体" w:hAnsi="宋体" w:cs="Calibri"/>
          <w:color w:val="000000" w:themeColor="text1"/>
          <w:sz w:val="24"/>
          <w:szCs w:val="21"/>
          <w:lang w:eastAsia="zh-CN"/>
          <w14:textFill>
            <w14:solidFill>
              <w14:schemeClr w14:val="tx1"/>
            </w14:solidFill>
          </w14:textFill>
        </w:rPr>
        <w:t>。</w:t>
      </w:r>
      <w:r>
        <w:rPr>
          <w:rFonts w:hint="eastAsia" w:ascii="宋体" w:hAnsi="宋体" w:cs="Calibri"/>
          <w:color w:val="000000" w:themeColor="text1"/>
          <w:sz w:val="24"/>
          <w:szCs w:val="21"/>
          <w14:textFill>
            <w14:solidFill>
              <w14:schemeClr w14:val="tx1"/>
            </w14:solidFill>
          </w14:textFill>
        </w:rPr>
        <w:t>仅选取样品量满足</w:t>
      </w:r>
      <w:r>
        <w:rPr>
          <w:rFonts w:hint="eastAsia" w:ascii="宋体" w:hAnsi="宋体" w:cs="Calibri"/>
          <w:color w:val="000000" w:themeColor="text1"/>
          <w:sz w:val="24"/>
          <w:szCs w:val="21"/>
          <w:lang w:val="en-US" w:eastAsia="zh-CN"/>
          <w14:textFill>
            <w14:solidFill>
              <w14:schemeClr w14:val="tx1"/>
            </w14:solidFill>
          </w14:textFill>
        </w:rPr>
        <w:t>检验方法</w:t>
      </w:r>
      <w:r>
        <w:rPr>
          <w:rFonts w:hint="eastAsia" w:ascii="宋体" w:hAnsi="宋体" w:cs="Calibri"/>
          <w:color w:val="000000" w:themeColor="text1"/>
          <w:sz w:val="24"/>
          <w:szCs w:val="21"/>
          <w14:textFill>
            <w14:solidFill>
              <w14:schemeClr w14:val="tx1"/>
            </w14:solidFill>
          </w14:textFill>
        </w:rPr>
        <w:t>要求的点位，不满足</w:t>
      </w:r>
      <w:r>
        <w:rPr>
          <w:rFonts w:hint="eastAsia" w:ascii="宋体" w:hAnsi="宋体" w:cs="Calibri"/>
          <w:color w:val="000000" w:themeColor="text1"/>
          <w:sz w:val="24"/>
          <w:szCs w:val="21"/>
          <w:lang w:val="en-US" w:eastAsia="zh-CN"/>
          <w14:textFill>
            <w14:solidFill>
              <w14:schemeClr w14:val="tx1"/>
            </w14:solidFill>
          </w14:textFill>
        </w:rPr>
        <w:t>要求的</w:t>
      </w:r>
      <w:r>
        <w:rPr>
          <w:rFonts w:hint="eastAsia" w:ascii="宋体" w:hAnsi="宋体" w:cs="Calibri"/>
          <w:color w:val="000000" w:themeColor="text1"/>
          <w:sz w:val="24"/>
          <w:szCs w:val="21"/>
          <w14:textFill>
            <w14:solidFill>
              <w14:schemeClr w14:val="tx1"/>
            </w14:solidFill>
          </w14:textFill>
        </w:rPr>
        <w:t>点位不纳入</w:t>
      </w:r>
      <w:r>
        <w:rPr>
          <w:rFonts w:hint="eastAsia" w:ascii="宋体" w:hAnsi="宋体" w:cs="Calibri"/>
          <w:color w:val="000000" w:themeColor="text1"/>
          <w:sz w:val="24"/>
          <w:szCs w:val="21"/>
          <w:lang w:val="en-US" w:eastAsia="zh-CN"/>
          <w14:textFill>
            <w14:solidFill>
              <w14:schemeClr w14:val="tx1"/>
            </w14:solidFill>
          </w14:textFill>
        </w:rPr>
        <w:t>此次抽查材料选取</w:t>
      </w:r>
      <w:r>
        <w:rPr>
          <w:rFonts w:hint="eastAsia" w:ascii="宋体" w:hAnsi="宋体" w:cs="Calibri"/>
          <w:color w:val="000000" w:themeColor="text1"/>
          <w:sz w:val="24"/>
          <w:szCs w:val="21"/>
          <w14:textFill>
            <w14:solidFill>
              <w14:schemeClr w14:val="tx1"/>
            </w14:solidFill>
          </w14:textFill>
        </w:rPr>
        <w:t>范围。</w:t>
      </w:r>
    </w:p>
    <w:p w14:paraId="0DF409F7">
      <w:pPr>
        <w:spacing w:line="440" w:lineRule="exact"/>
        <w:rPr>
          <w:rFonts w:ascii="宋体" w:hAnsi="宋体" w:cs="Calibri"/>
          <w:color w:val="000000"/>
          <w:sz w:val="24"/>
        </w:rPr>
      </w:pPr>
      <w:r>
        <w:rPr>
          <w:rFonts w:hint="eastAsia" w:ascii="黑体" w:hAnsi="黑体" w:eastAsia="黑体" w:cs="Calibri"/>
          <w:color w:val="000000"/>
          <w:sz w:val="24"/>
        </w:rPr>
        <w:t>4</w:t>
      </w:r>
      <w:r>
        <w:rPr>
          <w:rFonts w:ascii="黑体" w:hAnsi="黑体" w:eastAsia="黑体" w:cs="Calibri"/>
          <w:color w:val="000000"/>
          <w:sz w:val="24"/>
        </w:rPr>
        <w:t xml:space="preserve"> </w:t>
      </w:r>
      <w:r>
        <w:rPr>
          <w:rFonts w:hint="eastAsia" w:ascii="黑体" w:hAnsi="黑体" w:eastAsia="黑体" w:cs="Calibri"/>
          <w:color w:val="000000"/>
          <w:sz w:val="24"/>
        </w:rPr>
        <w:t>检验结果判定</w:t>
      </w:r>
    </w:p>
    <w:p w14:paraId="74F343E5">
      <w:pPr>
        <w:snapToGrid w:val="0"/>
        <w:spacing w:line="440" w:lineRule="exact"/>
        <w:ind w:firstLine="480" w:firstLineChars="200"/>
        <w:rPr>
          <w:rFonts w:hint="eastAsia" w:ascii="宋体" w:hAnsi="宋体" w:cs="Calibri"/>
          <w:color w:val="000000" w:themeColor="text1"/>
          <w:sz w:val="24"/>
          <w:szCs w:val="2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Calibri"/>
          <w:color w:val="000000" w:themeColor="text1"/>
          <w:sz w:val="24"/>
          <w:szCs w:val="21"/>
          <w:lang w:val="en-US" w:eastAsia="zh-CN"/>
          <w14:textFill>
            <w14:solidFill>
              <w14:schemeClr w14:val="tx1"/>
            </w14:solidFill>
          </w14:textFill>
        </w:rPr>
        <w:t>4.1 经抽样检测，产品所检材料的所检项目符合“GB/T 26572-2011《电子电气产品中限用物质的限量要求》及国家标准第1号修改单”/“GB 26572-2025《电器电子产品有害物质限制使用要求》”及《达标管理目录限用物质应用例外清单》，依据《2026年上海市绿色产品认证有效性抽查实施细则</w:t>
      </w:r>
      <w:r>
        <w:rPr>
          <w:rFonts w:hint="default" w:ascii="宋体" w:hAnsi="宋体" w:cs="Calibri"/>
          <w:color w:val="000000" w:themeColor="text1"/>
          <w:sz w:val="24"/>
          <w:szCs w:val="21"/>
          <w:lang w:val="en-US" w:eastAsia="zh-CN"/>
          <w14:textFill>
            <w14:solidFill>
              <w14:schemeClr w14:val="tx1"/>
            </w14:solidFill>
          </w14:textFill>
        </w:rPr>
        <w:t>—</w:t>
      </w:r>
      <w:r>
        <w:rPr>
          <w:rFonts w:hint="default" w:ascii="宋体" w:hAnsi="宋体" w:cs="Calibri"/>
          <w:color w:val="000000" w:themeColor="text1"/>
          <w:sz w:val="24"/>
          <w:szCs w:val="21"/>
          <w:lang w:val="en-US" w:eastAsia="zh-CN"/>
          <w14:textFill>
            <w14:solidFill>
              <w14:schemeClr w14:val="tx1"/>
            </w14:solidFill>
          </w14:textFill>
          <w:woUserID w:val="1"/>
        </w:rPr>
        <w:t>电冰箱</w:t>
      </w:r>
      <w:r>
        <w:rPr>
          <w:rFonts w:hint="eastAsia" w:ascii="宋体" w:hAnsi="宋体" w:cs="Calibri"/>
          <w:color w:val="000000" w:themeColor="text1"/>
          <w:sz w:val="24"/>
          <w:szCs w:val="21"/>
          <w:lang w:val="en-US" w:eastAsia="zh-CN"/>
          <w14:textFill>
            <w14:solidFill>
              <w14:schemeClr w14:val="tx1"/>
            </w14:solidFill>
          </w14:textFill>
        </w:rPr>
        <w:t>》，判定为合格。</w:t>
      </w:r>
    </w:p>
    <w:p w14:paraId="08A102C6">
      <w:pPr>
        <w:snapToGrid w:val="0"/>
        <w:spacing w:line="440" w:lineRule="exact"/>
        <w:ind w:firstLine="480" w:firstLineChars="200"/>
        <w:rPr>
          <w:rFonts w:hint="eastAsia" w:ascii="宋体" w:hAnsi="宋体" w:cs="Calibri"/>
          <w:color w:val="000000" w:themeColor="text1"/>
          <w:sz w:val="24"/>
          <w:szCs w:val="2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Calibri"/>
          <w:color w:val="000000" w:themeColor="text1"/>
          <w:sz w:val="24"/>
          <w:szCs w:val="21"/>
          <w:lang w:val="en-US" w:eastAsia="zh-CN"/>
          <w14:textFill>
            <w14:solidFill>
              <w14:schemeClr w14:val="tx1"/>
            </w14:solidFill>
          </w14:textFill>
        </w:rPr>
        <w:t>4.2 经抽样检测，产品所检材料的所检项目不符合“GB/T 26572-2011《电子电气产品中限用物质的限量要求》及国家标准第1号修改单”/“GB 26572-2025《电器电子产品有害物质限制使用要求》”及《达标管理目录限用物质应用例外清单》，依据《2026年上海市绿色产品认证有效性抽查实施细则—</w:t>
      </w:r>
      <w:r>
        <w:rPr>
          <w:rFonts w:hint="eastAsia" w:ascii="宋体" w:hAnsi="宋体" w:cs="Calibri"/>
          <w:color w:val="000000" w:themeColor="text1"/>
          <w:sz w:val="24"/>
          <w:szCs w:val="21"/>
          <w:lang w:val="en-US" w:eastAsia="zh-CN"/>
          <w14:textFill>
            <w14:solidFill>
              <w14:schemeClr w14:val="tx1"/>
            </w14:solidFill>
          </w14:textFill>
          <w:woUserID w:val="1"/>
        </w:rPr>
        <w:t>电冰箱</w:t>
      </w:r>
      <w:r>
        <w:rPr>
          <w:rFonts w:hint="eastAsia" w:ascii="宋体" w:hAnsi="宋体" w:cs="Calibri"/>
          <w:color w:val="000000" w:themeColor="text1"/>
          <w:sz w:val="24"/>
          <w:szCs w:val="21"/>
          <w:lang w:val="en-US" w:eastAsia="zh-CN"/>
          <w14:textFill>
            <w14:solidFill>
              <w14:schemeClr w14:val="tx1"/>
            </w14:solidFill>
          </w14:textFill>
        </w:rPr>
        <w:t>》，判定为不合格。</w:t>
      </w:r>
    </w:p>
    <w:p w14:paraId="3FBBA5E7">
      <w:pPr>
        <w:snapToGrid w:val="0"/>
        <w:spacing w:line="440" w:lineRule="exact"/>
        <w:rPr>
          <w:rFonts w:ascii="宋体" w:hAnsi="宋体" w:cs="Calibri"/>
          <w:sz w:val="24"/>
        </w:rPr>
      </w:pPr>
    </w:p>
    <w:sectPr>
      <w:headerReference r:id="rId3" w:type="default"/>
      <w:footerReference r:id="rId4" w:type="default"/>
      <w:footerReference r:id="rId5" w:type="even"/>
      <w:pgSz w:w="11906" w:h="16838"/>
      <w:pgMar w:top="1928" w:right="1361" w:bottom="1304" w:left="1588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9410A74">
    <w:pPr>
      <w:pStyle w:val="5"/>
      <w:jc w:val="center"/>
    </w:pPr>
    <w:r>
      <w:rPr>
        <w:lang w:val="zh-CN"/>
      </w:rPr>
      <w:fldChar w:fldCharType="begin"/>
    </w:r>
    <w:r>
      <w:rPr>
        <w:lang w:val="zh-CN"/>
      </w:rPr>
      <w:instrText xml:space="preserve"> PAGE   \* MERGEFORMAT </w:instrText>
    </w:r>
    <w:r>
      <w:rPr>
        <w:lang w:val="zh-CN"/>
      </w:rPr>
      <w:fldChar w:fldCharType="separate"/>
    </w:r>
    <w:r>
      <w:t>3</w:t>
    </w:r>
    <w:r>
      <w:rPr>
        <w:lang w:val="zh-CN"/>
      </w:rPr>
      <w:fldChar w:fldCharType="end"/>
    </w:r>
  </w:p>
  <w:p w14:paraId="6DCE2C49">
    <w:pPr>
      <w:pStyle w:val="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15B9954">
    <w:pPr>
      <w:pStyle w:val="5"/>
      <w:framePr w:wrap="around" w:vAnchor="text" w:hAnchor="margin" w:xAlign="center" w:y="1"/>
      <w:rPr>
        <w:rStyle w:val="13"/>
      </w:rPr>
    </w:pPr>
    <w:r>
      <w:fldChar w:fldCharType="begin"/>
    </w:r>
    <w:r>
      <w:rPr>
        <w:rStyle w:val="13"/>
      </w:rPr>
      <w:instrText xml:space="preserve">PAGE  </w:instrText>
    </w:r>
    <w:r>
      <w:fldChar w:fldCharType="separate"/>
    </w:r>
    <w:r>
      <w:rPr>
        <w:rStyle w:val="13"/>
      </w:rPr>
      <w:t>2</w:t>
    </w:r>
    <w:r>
      <w:fldChar w:fldCharType="end"/>
    </w:r>
  </w:p>
  <w:p w14:paraId="0C6478F4">
    <w:pPr>
      <w:pStyle w:val="5"/>
      <w:ind w:right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6F8D6CC">
    <w:pPr>
      <w:pStyle w:val="6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M0ODNhYTdlYTM4MTc5NTk3MWQzZTA5N2RkZjc1M2YifQ=="/>
  </w:docVars>
  <w:rsids>
    <w:rsidRoot w:val="00172A27"/>
    <w:rsid w:val="0001696F"/>
    <w:rsid w:val="00026056"/>
    <w:rsid w:val="00052216"/>
    <w:rsid w:val="00054E02"/>
    <w:rsid w:val="00074373"/>
    <w:rsid w:val="000827A6"/>
    <w:rsid w:val="00084C8E"/>
    <w:rsid w:val="000B2D0E"/>
    <w:rsid w:val="000B5959"/>
    <w:rsid w:val="000C4683"/>
    <w:rsid w:val="000C5FB2"/>
    <w:rsid w:val="000D7C8C"/>
    <w:rsid w:val="000E5A29"/>
    <w:rsid w:val="000F18ED"/>
    <w:rsid w:val="000F70E5"/>
    <w:rsid w:val="00100AE3"/>
    <w:rsid w:val="00102F36"/>
    <w:rsid w:val="0010332F"/>
    <w:rsid w:val="001050BA"/>
    <w:rsid w:val="001400FE"/>
    <w:rsid w:val="00157706"/>
    <w:rsid w:val="001638C4"/>
    <w:rsid w:val="0017210E"/>
    <w:rsid w:val="00172A27"/>
    <w:rsid w:val="00196DFE"/>
    <w:rsid w:val="001A1209"/>
    <w:rsid w:val="001C3621"/>
    <w:rsid w:val="001D558F"/>
    <w:rsid w:val="00203A46"/>
    <w:rsid w:val="0021089A"/>
    <w:rsid w:val="0021429D"/>
    <w:rsid w:val="00215ADC"/>
    <w:rsid w:val="00222867"/>
    <w:rsid w:val="002468FF"/>
    <w:rsid w:val="0025042C"/>
    <w:rsid w:val="00260744"/>
    <w:rsid w:val="00287C7A"/>
    <w:rsid w:val="002A11F0"/>
    <w:rsid w:val="002A302E"/>
    <w:rsid w:val="002B5BAA"/>
    <w:rsid w:val="002B6B44"/>
    <w:rsid w:val="002C1E69"/>
    <w:rsid w:val="002E22FE"/>
    <w:rsid w:val="003042E1"/>
    <w:rsid w:val="00306D5C"/>
    <w:rsid w:val="00306EBB"/>
    <w:rsid w:val="003347A7"/>
    <w:rsid w:val="0036068B"/>
    <w:rsid w:val="0036316B"/>
    <w:rsid w:val="00364E2C"/>
    <w:rsid w:val="003670AD"/>
    <w:rsid w:val="00367139"/>
    <w:rsid w:val="00375CB5"/>
    <w:rsid w:val="00386305"/>
    <w:rsid w:val="003C4D1D"/>
    <w:rsid w:val="003E1E75"/>
    <w:rsid w:val="003F3FFB"/>
    <w:rsid w:val="004025BC"/>
    <w:rsid w:val="004048BA"/>
    <w:rsid w:val="00427B0A"/>
    <w:rsid w:val="0046249F"/>
    <w:rsid w:val="0046695B"/>
    <w:rsid w:val="00474B05"/>
    <w:rsid w:val="004754B8"/>
    <w:rsid w:val="00491DBF"/>
    <w:rsid w:val="00496333"/>
    <w:rsid w:val="004B5C76"/>
    <w:rsid w:val="00522A8A"/>
    <w:rsid w:val="00525AF9"/>
    <w:rsid w:val="00532B56"/>
    <w:rsid w:val="00545330"/>
    <w:rsid w:val="00545602"/>
    <w:rsid w:val="00552C9E"/>
    <w:rsid w:val="00563E5E"/>
    <w:rsid w:val="00565009"/>
    <w:rsid w:val="00580482"/>
    <w:rsid w:val="00590443"/>
    <w:rsid w:val="005A0697"/>
    <w:rsid w:val="005B679F"/>
    <w:rsid w:val="005C2C36"/>
    <w:rsid w:val="005C667F"/>
    <w:rsid w:val="005D152A"/>
    <w:rsid w:val="005E49F9"/>
    <w:rsid w:val="00601FE4"/>
    <w:rsid w:val="00616277"/>
    <w:rsid w:val="0061706F"/>
    <w:rsid w:val="00634372"/>
    <w:rsid w:val="00640C75"/>
    <w:rsid w:val="00667CF7"/>
    <w:rsid w:val="00672E4F"/>
    <w:rsid w:val="00674FA9"/>
    <w:rsid w:val="006770A9"/>
    <w:rsid w:val="00693563"/>
    <w:rsid w:val="006A2136"/>
    <w:rsid w:val="006B6636"/>
    <w:rsid w:val="006D1CF4"/>
    <w:rsid w:val="00706B17"/>
    <w:rsid w:val="00715324"/>
    <w:rsid w:val="00730C62"/>
    <w:rsid w:val="00733FCB"/>
    <w:rsid w:val="0074469C"/>
    <w:rsid w:val="00747AB1"/>
    <w:rsid w:val="007656D3"/>
    <w:rsid w:val="00777208"/>
    <w:rsid w:val="007869C0"/>
    <w:rsid w:val="00796781"/>
    <w:rsid w:val="007A5C3A"/>
    <w:rsid w:val="007A655B"/>
    <w:rsid w:val="007B2145"/>
    <w:rsid w:val="007B2AF8"/>
    <w:rsid w:val="007B608E"/>
    <w:rsid w:val="008047EC"/>
    <w:rsid w:val="008138F8"/>
    <w:rsid w:val="008212C0"/>
    <w:rsid w:val="00825BFE"/>
    <w:rsid w:val="008417F3"/>
    <w:rsid w:val="00864846"/>
    <w:rsid w:val="00865437"/>
    <w:rsid w:val="00866888"/>
    <w:rsid w:val="00880F39"/>
    <w:rsid w:val="008818DE"/>
    <w:rsid w:val="008914CE"/>
    <w:rsid w:val="008948E6"/>
    <w:rsid w:val="008A3229"/>
    <w:rsid w:val="008C2411"/>
    <w:rsid w:val="008D506F"/>
    <w:rsid w:val="008E1421"/>
    <w:rsid w:val="008F1FD4"/>
    <w:rsid w:val="00901D6C"/>
    <w:rsid w:val="0090513C"/>
    <w:rsid w:val="00912469"/>
    <w:rsid w:val="00925C06"/>
    <w:rsid w:val="0093348D"/>
    <w:rsid w:val="00937100"/>
    <w:rsid w:val="00951D89"/>
    <w:rsid w:val="009673A3"/>
    <w:rsid w:val="0099061C"/>
    <w:rsid w:val="009F3C13"/>
    <w:rsid w:val="00A044DF"/>
    <w:rsid w:val="00A134DD"/>
    <w:rsid w:val="00A1737E"/>
    <w:rsid w:val="00A40DB9"/>
    <w:rsid w:val="00A56552"/>
    <w:rsid w:val="00A656CB"/>
    <w:rsid w:val="00A67A4A"/>
    <w:rsid w:val="00AB0483"/>
    <w:rsid w:val="00AB570A"/>
    <w:rsid w:val="00AC0658"/>
    <w:rsid w:val="00AC2437"/>
    <w:rsid w:val="00AE4205"/>
    <w:rsid w:val="00AF107E"/>
    <w:rsid w:val="00AF5CE6"/>
    <w:rsid w:val="00B04FC5"/>
    <w:rsid w:val="00B11170"/>
    <w:rsid w:val="00B168E9"/>
    <w:rsid w:val="00B359CB"/>
    <w:rsid w:val="00B46FAA"/>
    <w:rsid w:val="00B525EF"/>
    <w:rsid w:val="00B56EC9"/>
    <w:rsid w:val="00B71D10"/>
    <w:rsid w:val="00BD5DF7"/>
    <w:rsid w:val="00BE3130"/>
    <w:rsid w:val="00C1010A"/>
    <w:rsid w:val="00C34E0E"/>
    <w:rsid w:val="00C53409"/>
    <w:rsid w:val="00C6168F"/>
    <w:rsid w:val="00C72B4F"/>
    <w:rsid w:val="00C77519"/>
    <w:rsid w:val="00CD0004"/>
    <w:rsid w:val="00CD2212"/>
    <w:rsid w:val="00CE72FB"/>
    <w:rsid w:val="00CF096B"/>
    <w:rsid w:val="00D0561F"/>
    <w:rsid w:val="00D07257"/>
    <w:rsid w:val="00D14691"/>
    <w:rsid w:val="00D307B8"/>
    <w:rsid w:val="00D41DDE"/>
    <w:rsid w:val="00D76D39"/>
    <w:rsid w:val="00D913BE"/>
    <w:rsid w:val="00D93ED3"/>
    <w:rsid w:val="00DA7E9F"/>
    <w:rsid w:val="00DC175D"/>
    <w:rsid w:val="00DC513C"/>
    <w:rsid w:val="00DE1372"/>
    <w:rsid w:val="00DE2355"/>
    <w:rsid w:val="00DF6146"/>
    <w:rsid w:val="00E075FA"/>
    <w:rsid w:val="00E13D5F"/>
    <w:rsid w:val="00E331EC"/>
    <w:rsid w:val="00E51C02"/>
    <w:rsid w:val="00E63E1F"/>
    <w:rsid w:val="00E85F09"/>
    <w:rsid w:val="00E96570"/>
    <w:rsid w:val="00EE2887"/>
    <w:rsid w:val="00EE5463"/>
    <w:rsid w:val="00F013D4"/>
    <w:rsid w:val="00F1672B"/>
    <w:rsid w:val="00F1679A"/>
    <w:rsid w:val="00F217EE"/>
    <w:rsid w:val="00F332CA"/>
    <w:rsid w:val="00F44A6F"/>
    <w:rsid w:val="00F57ACD"/>
    <w:rsid w:val="00F82506"/>
    <w:rsid w:val="00F925B1"/>
    <w:rsid w:val="00FA21B0"/>
    <w:rsid w:val="00FB139B"/>
    <w:rsid w:val="00FC7D33"/>
    <w:rsid w:val="00FF0373"/>
    <w:rsid w:val="03CF48D0"/>
    <w:rsid w:val="03D77D1D"/>
    <w:rsid w:val="05E62069"/>
    <w:rsid w:val="08603806"/>
    <w:rsid w:val="097611BC"/>
    <w:rsid w:val="0A1E63D6"/>
    <w:rsid w:val="0AA925B8"/>
    <w:rsid w:val="0BD6768B"/>
    <w:rsid w:val="0CB90E13"/>
    <w:rsid w:val="0CBE2F91"/>
    <w:rsid w:val="0EFE6027"/>
    <w:rsid w:val="0F6C009E"/>
    <w:rsid w:val="106612B1"/>
    <w:rsid w:val="170809D5"/>
    <w:rsid w:val="184B6187"/>
    <w:rsid w:val="193B6BCD"/>
    <w:rsid w:val="199C0AC5"/>
    <w:rsid w:val="1A0B1A98"/>
    <w:rsid w:val="1A7867B1"/>
    <w:rsid w:val="1A7B5FBB"/>
    <w:rsid w:val="1B2A139F"/>
    <w:rsid w:val="1B6D5672"/>
    <w:rsid w:val="1D88782B"/>
    <w:rsid w:val="1EBC06A0"/>
    <w:rsid w:val="1FA73C8C"/>
    <w:rsid w:val="1FAA46A5"/>
    <w:rsid w:val="1FDD0CA4"/>
    <w:rsid w:val="20650120"/>
    <w:rsid w:val="22A97501"/>
    <w:rsid w:val="233D55F8"/>
    <w:rsid w:val="244D5DD8"/>
    <w:rsid w:val="25EDC727"/>
    <w:rsid w:val="27300592"/>
    <w:rsid w:val="274D4B08"/>
    <w:rsid w:val="28B5472C"/>
    <w:rsid w:val="28E62607"/>
    <w:rsid w:val="28F15B02"/>
    <w:rsid w:val="29752839"/>
    <w:rsid w:val="29EC0622"/>
    <w:rsid w:val="2B797C93"/>
    <w:rsid w:val="2B7E52A9"/>
    <w:rsid w:val="2C527DEF"/>
    <w:rsid w:val="2D1C4D7A"/>
    <w:rsid w:val="2E114AFB"/>
    <w:rsid w:val="353D61D5"/>
    <w:rsid w:val="355B7D16"/>
    <w:rsid w:val="375D0162"/>
    <w:rsid w:val="376719A9"/>
    <w:rsid w:val="39A04098"/>
    <w:rsid w:val="3BB70085"/>
    <w:rsid w:val="3C081B33"/>
    <w:rsid w:val="3D840E45"/>
    <w:rsid w:val="3E4B54BF"/>
    <w:rsid w:val="41AA2E44"/>
    <w:rsid w:val="41E72D25"/>
    <w:rsid w:val="42D841B8"/>
    <w:rsid w:val="456D30D1"/>
    <w:rsid w:val="46350F67"/>
    <w:rsid w:val="46C40504"/>
    <w:rsid w:val="479559FD"/>
    <w:rsid w:val="48C42A3E"/>
    <w:rsid w:val="48C742DC"/>
    <w:rsid w:val="493140A5"/>
    <w:rsid w:val="4DB017E2"/>
    <w:rsid w:val="4F362701"/>
    <w:rsid w:val="4F587A3C"/>
    <w:rsid w:val="50196805"/>
    <w:rsid w:val="50A13664"/>
    <w:rsid w:val="50E0418D"/>
    <w:rsid w:val="5257222D"/>
    <w:rsid w:val="53230361"/>
    <w:rsid w:val="5359055D"/>
    <w:rsid w:val="56DE2F1C"/>
    <w:rsid w:val="56FD04C7"/>
    <w:rsid w:val="573572FC"/>
    <w:rsid w:val="59DD3B56"/>
    <w:rsid w:val="5BA816F0"/>
    <w:rsid w:val="5BB90387"/>
    <w:rsid w:val="5BE663CF"/>
    <w:rsid w:val="5D2DB32E"/>
    <w:rsid w:val="5D882B80"/>
    <w:rsid w:val="5D9A56C3"/>
    <w:rsid w:val="5ED2780B"/>
    <w:rsid w:val="5F681F1D"/>
    <w:rsid w:val="5FB87826"/>
    <w:rsid w:val="604627A4"/>
    <w:rsid w:val="60563B24"/>
    <w:rsid w:val="616F7F68"/>
    <w:rsid w:val="617B0BAE"/>
    <w:rsid w:val="61F70E3C"/>
    <w:rsid w:val="64706357"/>
    <w:rsid w:val="65366619"/>
    <w:rsid w:val="653F727C"/>
    <w:rsid w:val="67190751"/>
    <w:rsid w:val="67FC76A6"/>
    <w:rsid w:val="681C5460"/>
    <w:rsid w:val="69886D18"/>
    <w:rsid w:val="69AA7576"/>
    <w:rsid w:val="6B161FBD"/>
    <w:rsid w:val="6BB67B6C"/>
    <w:rsid w:val="6C1256EA"/>
    <w:rsid w:val="6C8E6D3B"/>
    <w:rsid w:val="6CB304CE"/>
    <w:rsid w:val="6CD27D15"/>
    <w:rsid w:val="6DFA2FFA"/>
    <w:rsid w:val="6FA73923"/>
    <w:rsid w:val="6FBA3492"/>
    <w:rsid w:val="6FBE73E7"/>
    <w:rsid w:val="70E433CD"/>
    <w:rsid w:val="718D5813"/>
    <w:rsid w:val="72CC4119"/>
    <w:rsid w:val="73EFA05A"/>
    <w:rsid w:val="749F02E6"/>
    <w:rsid w:val="752B4C5B"/>
    <w:rsid w:val="752E0E4E"/>
    <w:rsid w:val="759E6B84"/>
    <w:rsid w:val="769C05DD"/>
    <w:rsid w:val="777032C5"/>
    <w:rsid w:val="77EB7A4D"/>
    <w:rsid w:val="780E0771"/>
    <w:rsid w:val="79443502"/>
    <w:rsid w:val="7C784AA4"/>
    <w:rsid w:val="7CFDECBD"/>
    <w:rsid w:val="7DB7373D"/>
    <w:rsid w:val="7F923484"/>
    <w:rsid w:val="7FEC59AC"/>
    <w:rsid w:val="7FFEA2D8"/>
    <w:rsid w:val="A7FB0D33"/>
    <w:rsid w:val="B5FF4A68"/>
    <w:rsid w:val="BFEC4DBF"/>
    <w:rsid w:val="BFEF920A"/>
    <w:rsid w:val="DDFF662B"/>
    <w:rsid w:val="DFFD6957"/>
    <w:rsid w:val="ECEF7F10"/>
    <w:rsid w:val="FAF74956"/>
    <w:rsid w:val="FE7EFFB4"/>
    <w:rsid w:val="FEFC87DE"/>
    <w:rsid w:val="FF3D0D3F"/>
    <w:rsid w:val="FFCFB6D8"/>
    <w:rsid w:val="FFE742D6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qFormat="1" w:uiPriority="99" w:semiHidden="0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1">
    <w:name w:val="Default Paragraph Font"/>
    <w:semiHidden/>
    <w:unhideWhenUsed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able of authorities"/>
    <w:basedOn w:val="1"/>
    <w:next w:val="1"/>
    <w:unhideWhenUsed/>
    <w:qFormat/>
    <w:uiPriority w:val="99"/>
    <w:pPr>
      <w:ind w:left="480" w:leftChars="200"/>
    </w:pPr>
  </w:style>
  <w:style w:type="paragraph" w:styleId="3">
    <w:name w:val="annotation text"/>
    <w:basedOn w:val="1"/>
    <w:link w:val="21"/>
    <w:semiHidden/>
    <w:unhideWhenUsed/>
    <w:qFormat/>
    <w:uiPriority w:val="99"/>
    <w:pPr>
      <w:jc w:val="left"/>
    </w:pPr>
  </w:style>
  <w:style w:type="paragraph" w:styleId="4">
    <w:name w:val="Balloon Text"/>
    <w:basedOn w:val="1"/>
    <w:link w:val="18"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6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7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semiHidden/>
    <w:unhideWhenUsed/>
    <w:qFormat/>
    <w:uiPriority w:val="99"/>
    <w:pPr>
      <w:spacing w:beforeAutospacing="1" w:afterAutospacing="1"/>
      <w:jc w:val="left"/>
    </w:pPr>
    <w:rPr>
      <w:kern w:val="0"/>
      <w:sz w:val="24"/>
    </w:rPr>
  </w:style>
  <w:style w:type="paragraph" w:styleId="8">
    <w:name w:val="annotation subject"/>
    <w:basedOn w:val="3"/>
    <w:next w:val="3"/>
    <w:link w:val="22"/>
    <w:semiHidden/>
    <w:unhideWhenUsed/>
    <w:qFormat/>
    <w:uiPriority w:val="99"/>
    <w:rPr>
      <w:b/>
      <w:bCs/>
    </w:rPr>
  </w:style>
  <w:style w:type="table" w:styleId="10">
    <w:name w:val="Table Grid"/>
    <w:basedOn w:val="9"/>
    <w:qFormat/>
    <w:uiPriority w:val="9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2">
    <w:name w:val="Strong"/>
    <w:basedOn w:val="11"/>
    <w:qFormat/>
    <w:uiPriority w:val="22"/>
    <w:rPr>
      <w:b/>
    </w:rPr>
  </w:style>
  <w:style w:type="character" w:styleId="13">
    <w:name w:val="page number"/>
    <w:basedOn w:val="11"/>
    <w:qFormat/>
    <w:uiPriority w:val="0"/>
  </w:style>
  <w:style w:type="character" w:styleId="14">
    <w:name w:val="annotation reference"/>
    <w:basedOn w:val="11"/>
    <w:semiHidden/>
    <w:unhideWhenUsed/>
    <w:qFormat/>
    <w:uiPriority w:val="99"/>
    <w:rPr>
      <w:sz w:val="21"/>
      <w:szCs w:val="21"/>
    </w:rPr>
  </w:style>
  <w:style w:type="paragraph" w:customStyle="1" w:styleId="15">
    <w:name w:val="列出段落1"/>
    <w:basedOn w:val="1"/>
    <w:qFormat/>
    <w:uiPriority w:val="34"/>
    <w:pPr>
      <w:ind w:firstLine="420" w:firstLineChars="200"/>
    </w:pPr>
    <w:rPr>
      <w:rFonts w:ascii="Calibri" w:hAnsi="Calibri"/>
      <w:szCs w:val="22"/>
    </w:rPr>
  </w:style>
  <w:style w:type="character" w:customStyle="1" w:styleId="16">
    <w:name w:val="页脚 Char"/>
    <w:basedOn w:val="11"/>
    <w:link w:val="5"/>
    <w:qFormat/>
    <w:uiPriority w:val="99"/>
    <w:rPr>
      <w:kern w:val="2"/>
      <w:sz w:val="18"/>
      <w:szCs w:val="18"/>
    </w:rPr>
  </w:style>
  <w:style w:type="character" w:customStyle="1" w:styleId="17">
    <w:name w:val="页眉 Char"/>
    <w:basedOn w:val="11"/>
    <w:link w:val="6"/>
    <w:semiHidden/>
    <w:qFormat/>
    <w:uiPriority w:val="99"/>
    <w:rPr>
      <w:kern w:val="2"/>
      <w:sz w:val="18"/>
      <w:szCs w:val="18"/>
    </w:rPr>
  </w:style>
  <w:style w:type="character" w:customStyle="1" w:styleId="18">
    <w:name w:val="批注框文本 Char"/>
    <w:basedOn w:val="11"/>
    <w:link w:val="4"/>
    <w:semiHidden/>
    <w:qFormat/>
    <w:uiPriority w:val="99"/>
    <w:rPr>
      <w:kern w:val="2"/>
      <w:sz w:val="18"/>
      <w:szCs w:val="18"/>
    </w:rPr>
  </w:style>
  <w:style w:type="paragraph" w:styleId="19">
    <w:name w:val="List Paragraph"/>
    <w:basedOn w:val="1"/>
    <w:qFormat/>
    <w:uiPriority w:val="99"/>
    <w:pPr>
      <w:ind w:firstLine="420" w:firstLineChars="200"/>
    </w:pPr>
  </w:style>
  <w:style w:type="paragraph" w:customStyle="1" w:styleId="20">
    <w:name w:val="修订1"/>
    <w:hidden/>
    <w:unhideWhenUsed/>
    <w:qFormat/>
    <w:uiPriority w:val="99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customStyle="1" w:styleId="21">
    <w:name w:val="批注文字 Char"/>
    <w:basedOn w:val="11"/>
    <w:link w:val="3"/>
    <w:semiHidden/>
    <w:qFormat/>
    <w:uiPriority w:val="99"/>
    <w:rPr>
      <w:kern w:val="2"/>
      <w:sz w:val="21"/>
      <w:szCs w:val="24"/>
    </w:rPr>
  </w:style>
  <w:style w:type="character" w:customStyle="1" w:styleId="22">
    <w:name w:val="批注主题 Char"/>
    <w:basedOn w:val="21"/>
    <w:link w:val="8"/>
    <w:semiHidden/>
    <w:qFormat/>
    <w:uiPriority w:val="99"/>
    <w:rPr>
      <w:b/>
      <w:bCs/>
      <w:kern w:val="2"/>
      <w:sz w:val="21"/>
      <w:szCs w:val="24"/>
    </w:rPr>
  </w:style>
  <w:style w:type="paragraph" w:customStyle="1" w:styleId="23">
    <w:name w:val="修订2"/>
    <w:hidden/>
    <w:unhideWhenUsed/>
    <w:qFormat/>
    <w:uiPriority w:val="99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customStyle="1" w:styleId="24">
    <w:name w:val="font51"/>
    <w:basedOn w:val="11"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  <w:style w:type="paragraph" w:customStyle="1" w:styleId="25">
    <w:name w:val="修订3"/>
    <w:hidden/>
    <w:unhideWhenUsed/>
    <w:qFormat/>
    <w:uiPriority w:val="99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tyleName="APA Fifth Edition" SelectedStyle="\APA.XSL"/>
</file>

<file path=customXml/itemProps1.xml><?xml version="1.0" encoding="utf-8"?>
<ds:datastoreItem xmlns:ds="http://schemas.openxmlformats.org/officeDocument/2006/customXml" ds:itemID="{3ED865A5-4639-4C42-AD33-D099A87C7E6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Company>Legend (Beijing) Limited</Company>
  <Pages>3</Pages>
  <Words>1505</Words>
  <Characters>2599</Characters>
  <Lines>24</Lines>
  <Paragraphs>6</Paragraphs>
  <TotalTime>0</TotalTime>
  <ScaleCrop>false</ScaleCrop>
  <LinksUpToDate>false</LinksUpToDate>
  <CharactersWithSpaces>2685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2024-11-01T05:52:00Z</dcterms:created>
  <dc:creator>Legend User</dc:creator>
  <cp:lastModifiedBy>雷丽焱</cp:lastModifiedBy>
  <cp:lastPrinted>2025-02-22T17:24:00Z</cp:lastPrinted>
  <dcterms:modified xsi:type="dcterms:W3CDTF">2026-03-11T03:16:16Z</dcterms:modified>
  <dc:title>××产品质量监督抽查实施细则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4997C443093746E19209BB8E7EBA5217_13</vt:lpwstr>
  </property>
  <property fmtid="{D5CDD505-2E9C-101B-9397-08002B2CF9AE}" pid="4" name="KSOTemplateDocerSaveRecord">
    <vt:lpwstr>eyJoZGlkIjoiZjEzNDY1N2ZhNzNkN2ZjNjE4ZWY4NTc2ZTAxY2JmMTMiLCJ1c2VySWQiOiIzNzg0NjAyMzkifQ==</vt:lpwstr>
  </property>
</Properties>
</file>