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F213" w14:textId="77777777" w:rsidR="009C33AD" w:rsidRDefault="00AB4E95">
      <w:pPr>
        <w:jc w:val="center"/>
        <w:rPr>
          <w:rFonts w:ascii="黑体" w:eastAsia="黑体" w:hAnsi="黑体" w:cs="黑体"/>
          <w:bCs/>
          <w:sz w:val="36"/>
          <w:szCs w:val="36"/>
        </w:rPr>
      </w:pPr>
      <w:r>
        <w:rPr>
          <w:rFonts w:ascii="黑体" w:eastAsia="黑体" w:hAnsi="黑体" w:cs="黑体" w:hint="eastAsia"/>
          <w:bCs/>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790"/>
        <w:gridCol w:w="5910"/>
      </w:tblGrid>
      <w:tr w:rsidR="009C33AD" w14:paraId="50BC7315" w14:textId="77777777">
        <w:trPr>
          <w:trHeight w:val="20"/>
        </w:trPr>
        <w:tc>
          <w:tcPr>
            <w:tcW w:w="1940" w:type="dxa"/>
            <w:shd w:val="clear" w:color="auto" w:fill="D9D9D9"/>
            <w:vAlign w:val="center"/>
          </w:tcPr>
          <w:p w14:paraId="530ABA30" w14:textId="77777777" w:rsidR="009C33AD" w:rsidRDefault="00AB4E95">
            <w:pPr>
              <w:pStyle w:val="a0"/>
              <w:adjustRightInd w:val="0"/>
              <w:snapToGrid w:val="0"/>
              <w:spacing w:after="0"/>
              <w:rPr>
                <w:rFonts w:ascii="Times New Roman" w:hAnsi="Times New Roman" w:cs="Times New Roman"/>
                <w:bCs/>
                <w:color w:val="000000"/>
                <w:lang w:val="en-US"/>
              </w:rPr>
            </w:pPr>
            <w:r>
              <w:rPr>
                <w:rFonts w:ascii="Times New Roman" w:hAnsi="Times New Roman" w:cs="Times New Roman"/>
                <w:bCs/>
                <w:color w:val="000000"/>
              </w:rPr>
              <w:t>案件名称</w:t>
            </w:r>
          </w:p>
        </w:tc>
        <w:tc>
          <w:tcPr>
            <w:tcW w:w="7700" w:type="dxa"/>
            <w:gridSpan w:val="2"/>
            <w:vAlign w:val="center"/>
          </w:tcPr>
          <w:p w14:paraId="5D95A3DE" w14:textId="04C7C287" w:rsidR="009C33AD" w:rsidRDefault="00E63B49">
            <w:pPr>
              <w:adjustRightInd w:val="0"/>
              <w:snapToGrid w:val="0"/>
              <w:spacing w:after="0"/>
              <w:rPr>
                <w:rFonts w:ascii="Times New Roman" w:hAnsi="Times New Roman"/>
                <w:bCs/>
                <w:color w:val="000000"/>
                <w:lang w:val="en-US"/>
              </w:rPr>
            </w:pPr>
            <w:r w:rsidRPr="00E63B49">
              <w:rPr>
                <w:rFonts w:ascii="宋体" w:hAnsi="宋体" w:cs="宋体" w:hint="eastAsia"/>
              </w:rPr>
              <w:t>泰州市数据产业集团有限公司收购泰州城发数字科技有限公司股权案</w:t>
            </w:r>
          </w:p>
        </w:tc>
      </w:tr>
      <w:tr w:rsidR="009C33AD" w14:paraId="49E86403" w14:textId="77777777">
        <w:trPr>
          <w:trHeight w:val="20"/>
        </w:trPr>
        <w:tc>
          <w:tcPr>
            <w:tcW w:w="1940" w:type="dxa"/>
            <w:shd w:val="clear" w:color="auto" w:fill="D9D9D9"/>
            <w:vAlign w:val="center"/>
          </w:tcPr>
          <w:p w14:paraId="6897DAFF"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t>交易概况（限</w:t>
            </w:r>
            <w:r>
              <w:rPr>
                <w:rFonts w:ascii="Times New Roman" w:hAnsi="Times New Roman" w:cs="Times New Roman"/>
                <w:bCs/>
                <w:color w:val="000000"/>
                <w:lang w:eastAsia="zh-CN"/>
              </w:rPr>
              <w:t>200</w:t>
            </w:r>
            <w:r>
              <w:rPr>
                <w:rFonts w:ascii="Times New Roman" w:hAnsi="Times New Roman" w:cs="Times New Roman"/>
                <w:bCs/>
                <w:color w:val="000000"/>
                <w:lang w:eastAsia="zh-CN"/>
              </w:rPr>
              <w:t>字内）</w:t>
            </w:r>
          </w:p>
        </w:tc>
        <w:tc>
          <w:tcPr>
            <w:tcW w:w="7700" w:type="dxa"/>
            <w:gridSpan w:val="2"/>
            <w:vAlign w:val="center"/>
          </w:tcPr>
          <w:p w14:paraId="70A246B4" w14:textId="617B1B71" w:rsidR="00401186" w:rsidRDefault="00AB4E95">
            <w:pPr>
              <w:widowControl w:val="0"/>
              <w:adjustRightInd w:val="0"/>
              <w:snapToGrid w:val="0"/>
              <w:spacing w:after="0"/>
              <w:rPr>
                <w:rFonts w:ascii="Times New Roman" w:hAnsi="Times New Roman"/>
                <w:bCs/>
                <w:color w:val="000000"/>
                <w:lang w:val="en-US"/>
              </w:rPr>
            </w:pPr>
            <w:r>
              <w:rPr>
                <w:rFonts w:ascii="Times New Roman" w:hAnsi="Times New Roman"/>
                <w:bCs/>
                <w:color w:val="000000"/>
                <w:lang w:val="en-US"/>
              </w:rPr>
              <w:t>泰州城发资本投资有限公司</w:t>
            </w:r>
            <w:r>
              <w:rPr>
                <w:rFonts w:ascii="Times New Roman" w:hAnsi="Times New Roman" w:hint="eastAsia"/>
                <w:bCs/>
                <w:color w:val="000000"/>
                <w:lang w:val="en-US"/>
              </w:rPr>
              <w:t>（“泰州城发资本”）</w:t>
            </w:r>
            <w:r>
              <w:rPr>
                <w:rFonts w:ascii="Times New Roman" w:hAnsi="Times New Roman"/>
                <w:bCs/>
                <w:color w:val="000000"/>
                <w:lang w:val="en-US"/>
              </w:rPr>
              <w:t>、江苏省公用信息有限公司</w:t>
            </w:r>
            <w:r>
              <w:rPr>
                <w:rFonts w:ascii="Times New Roman" w:hAnsi="Times New Roman" w:hint="eastAsia"/>
                <w:bCs/>
                <w:color w:val="000000"/>
                <w:lang w:val="en-US"/>
              </w:rPr>
              <w:t>（“江苏公用信息”）</w:t>
            </w:r>
            <w:r>
              <w:rPr>
                <w:rFonts w:ascii="Times New Roman" w:hAnsi="Times New Roman"/>
                <w:bCs/>
                <w:color w:val="000000"/>
                <w:lang w:val="en-US"/>
              </w:rPr>
              <w:t>和泰州市数据产业集团有限公司</w:t>
            </w:r>
            <w:r>
              <w:rPr>
                <w:rFonts w:ascii="Times New Roman" w:hAnsi="Times New Roman" w:hint="eastAsia"/>
                <w:bCs/>
                <w:color w:val="000000"/>
                <w:lang w:val="en-US"/>
              </w:rPr>
              <w:t>（“泰州数产集团”）</w:t>
            </w:r>
            <w:r>
              <w:rPr>
                <w:rFonts w:ascii="Times New Roman" w:hAnsi="Times New Roman"/>
                <w:bCs/>
                <w:color w:val="000000"/>
                <w:lang w:val="en-US"/>
              </w:rPr>
              <w:t>签署《增资扩股协议》，拟</w:t>
            </w:r>
            <w:r>
              <w:rPr>
                <w:rFonts w:ascii="Times New Roman" w:hAnsi="Times New Roman" w:hint="eastAsia"/>
                <w:bCs/>
                <w:color w:val="000000"/>
                <w:lang w:val="en-US"/>
              </w:rPr>
              <w:t>就</w:t>
            </w:r>
            <w:r>
              <w:rPr>
                <w:rFonts w:ascii="宋体" w:hAnsi="宋体" w:cs="宋体" w:hint="eastAsia"/>
              </w:rPr>
              <w:t>泰州城发数字科技有限公司（“</w:t>
            </w:r>
            <w:r>
              <w:rPr>
                <w:rFonts w:ascii="宋体" w:hAnsi="宋体" w:cs="宋体" w:hint="eastAsia"/>
                <w:lang w:val="en-US"/>
              </w:rPr>
              <w:t>泰州城发数科</w:t>
            </w:r>
            <w:r>
              <w:rPr>
                <w:rFonts w:ascii="宋体" w:hAnsi="宋体" w:cs="宋体" w:hint="eastAsia"/>
              </w:rPr>
              <w:t>”）</w:t>
            </w:r>
            <w:r>
              <w:rPr>
                <w:rFonts w:ascii="宋体" w:hAnsi="宋体" w:cs="宋体" w:hint="eastAsia"/>
                <w:lang w:val="en-US"/>
              </w:rPr>
              <w:t>进行增资扩股</w:t>
            </w:r>
            <w:r>
              <w:rPr>
                <w:rFonts w:ascii="Times New Roman" w:hAnsi="Times New Roman"/>
                <w:bCs/>
                <w:color w:val="000000"/>
                <w:lang w:val="en-US"/>
              </w:rPr>
              <w:t>。</w:t>
            </w:r>
            <w:r w:rsidR="00401186">
              <w:rPr>
                <w:rFonts w:ascii="宋体" w:hAnsi="宋体" w:cs="宋体" w:hint="eastAsia"/>
                <w:lang w:val="en-US"/>
              </w:rPr>
              <w:t>泰州城发数科</w:t>
            </w:r>
            <w:r w:rsidR="00036777">
              <w:rPr>
                <w:rFonts w:ascii="宋体" w:hAnsi="宋体" w:cs="宋体" w:hint="eastAsia"/>
                <w:lang w:val="en-US"/>
              </w:rPr>
              <w:t>主要</w:t>
            </w:r>
            <w:r w:rsidR="00401186">
              <w:rPr>
                <w:rFonts w:ascii="Times New Roman" w:hAnsi="Times New Roman" w:hint="eastAsia"/>
                <w:bCs/>
                <w:color w:val="000000"/>
                <w:lang w:val="en-US"/>
              </w:rPr>
              <w:t>从事</w:t>
            </w:r>
            <w:r w:rsidR="00401186">
              <w:rPr>
                <w:rFonts w:ascii="Times New Roman" w:hAnsi="Times New Roman" w:hint="eastAsia"/>
                <w:lang w:val="en-US"/>
              </w:rPr>
              <w:t>信息系统集成服务</w:t>
            </w:r>
            <w:r w:rsidR="00401186">
              <w:rPr>
                <w:rFonts w:ascii="Times New Roman" w:hAnsi="Times New Roman"/>
                <w:lang w:val="en-US"/>
              </w:rPr>
              <w:t>业务。</w:t>
            </w:r>
          </w:p>
          <w:p w14:paraId="1607F255" w14:textId="410F766E" w:rsidR="009C33AD" w:rsidRDefault="00AE2900" w:rsidP="00AE2900">
            <w:pPr>
              <w:widowControl w:val="0"/>
              <w:adjustRightInd w:val="0"/>
              <w:snapToGrid w:val="0"/>
              <w:spacing w:after="0"/>
              <w:rPr>
                <w:rFonts w:ascii="Times New Roman" w:hAnsi="Times New Roman"/>
                <w:bCs/>
                <w:color w:val="000000"/>
              </w:rPr>
            </w:pPr>
            <w:r>
              <w:rPr>
                <w:rFonts w:ascii="Times New Roman" w:hAnsi="Times New Roman" w:hint="eastAsia"/>
                <w:bCs/>
                <w:color w:val="000000"/>
                <w:lang w:val="en-US"/>
              </w:rPr>
              <w:t>交易前，泰州城发资本持有泰州城发数科</w:t>
            </w:r>
            <w:r>
              <w:rPr>
                <w:rFonts w:ascii="Times New Roman" w:hAnsi="Times New Roman" w:hint="eastAsia"/>
                <w:bCs/>
                <w:color w:val="000000"/>
                <w:lang w:val="en-US"/>
              </w:rPr>
              <w:t>5</w:t>
            </w:r>
            <w:r>
              <w:rPr>
                <w:rFonts w:ascii="Times New Roman" w:hAnsi="Times New Roman"/>
                <w:bCs/>
                <w:color w:val="000000"/>
                <w:lang w:val="en-US"/>
              </w:rPr>
              <w:t>5</w:t>
            </w:r>
            <w:r>
              <w:rPr>
                <w:rFonts w:ascii="Times New Roman" w:hAnsi="Times New Roman" w:hint="eastAsia"/>
                <w:bCs/>
                <w:color w:val="000000"/>
                <w:lang w:val="en-US"/>
              </w:rPr>
              <w:t>%</w:t>
            </w:r>
            <w:r>
              <w:rPr>
                <w:rFonts w:ascii="Times New Roman" w:hAnsi="Times New Roman" w:hint="eastAsia"/>
                <w:bCs/>
                <w:color w:val="000000"/>
                <w:lang w:val="en-US"/>
              </w:rPr>
              <w:t>股权，江苏公用信息持有泰州城发数科</w:t>
            </w:r>
            <w:r>
              <w:rPr>
                <w:rFonts w:ascii="Times New Roman" w:hAnsi="Times New Roman" w:hint="eastAsia"/>
                <w:bCs/>
                <w:color w:val="000000"/>
                <w:lang w:val="en-US"/>
              </w:rPr>
              <w:t>4</w:t>
            </w:r>
            <w:r>
              <w:rPr>
                <w:rFonts w:ascii="Times New Roman" w:hAnsi="Times New Roman"/>
                <w:bCs/>
                <w:color w:val="000000"/>
                <w:lang w:val="en-US"/>
              </w:rPr>
              <w:t>5</w:t>
            </w:r>
            <w:r>
              <w:rPr>
                <w:rFonts w:ascii="Times New Roman" w:hAnsi="Times New Roman" w:hint="eastAsia"/>
                <w:bCs/>
                <w:color w:val="000000"/>
                <w:lang w:val="en-US"/>
              </w:rPr>
              <w:t>%</w:t>
            </w:r>
            <w:r>
              <w:rPr>
                <w:rFonts w:ascii="Times New Roman" w:hAnsi="Times New Roman" w:hint="eastAsia"/>
                <w:bCs/>
                <w:color w:val="000000"/>
                <w:lang w:val="en-US"/>
              </w:rPr>
              <w:t>股权</w:t>
            </w:r>
            <w:r w:rsidR="00520202">
              <w:rPr>
                <w:rFonts w:ascii="Times New Roman" w:hAnsi="Times New Roman" w:hint="eastAsia"/>
                <w:bCs/>
                <w:color w:val="000000"/>
                <w:lang w:val="en-US"/>
              </w:rPr>
              <w:t>，共同控制泰州城发数科</w:t>
            </w:r>
            <w:r>
              <w:rPr>
                <w:rFonts w:ascii="Times New Roman" w:hAnsi="Times New Roman" w:hint="eastAsia"/>
                <w:bCs/>
                <w:color w:val="000000"/>
                <w:lang w:val="en-US"/>
              </w:rPr>
              <w:t>。</w:t>
            </w:r>
            <w:r w:rsidR="00AB4E95">
              <w:rPr>
                <w:rFonts w:ascii="Times New Roman" w:hAnsi="Times New Roman"/>
                <w:lang w:val="en-US"/>
              </w:rPr>
              <w:t>本次交易后，</w:t>
            </w:r>
            <w:r w:rsidR="00AB4E95">
              <w:rPr>
                <w:rFonts w:ascii="Times New Roman" w:hAnsi="Times New Roman" w:hint="eastAsia"/>
                <w:lang w:val="en-US"/>
              </w:rPr>
              <w:t>泰州城发资本</w:t>
            </w:r>
            <w:r w:rsidR="00AB4E95">
              <w:rPr>
                <w:rFonts w:ascii="Times New Roman" w:hAnsi="Times New Roman"/>
                <w:lang w:val="en-US"/>
              </w:rPr>
              <w:t>将持有</w:t>
            </w:r>
            <w:r>
              <w:rPr>
                <w:rFonts w:ascii="宋体" w:hAnsi="宋体" w:cs="宋体" w:hint="eastAsia"/>
                <w:lang w:val="en-US"/>
              </w:rPr>
              <w:t>泰州城发数科</w:t>
            </w:r>
            <w:r w:rsidR="00AB4E95">
              <w:rPr>
                <w:rFonts w:ascii="Times New Roman" w:hAnsi="Times New Roman" w:hint="eastAsia"/>
                <w:lang w:val="en-US"/>
              </w:rPr>
              <w:t>23.33</w:t>
            </w:r>
            <w:r w:rsidR="00AB4E95">
              <w:rPr>
                <w:rFonts w:ascii="Times New Roman" w:hAnsi="Times New Roman"/>
                <w:lang w:val="en-US"/>
              </w:rPr>
              <w:t>%</w:t>
            </w:r>
            <w:r w:rsidR="00AB4E95">
              <w:rPr>
                <w:rFonts w:ascii="Times New Roman" w:hAnsi="Times New Roman"/>
                <w:lang w:val="en-US"/>
              </w:rPr>
              <w:t>股权</w:t>
            </w:r>
            <w:r w:rsidR="00AB4E95">
              <w:rPr>
                <w:rFonts w:ascii="Times New Roman" w:hAnsi="Times New Roman" w:hint="eastAsia"/>
                <w:lang w:val="en-US"/>
              </w:rPr>
              <w:t>、江苏</w:t>
            </w:r>
            <w:r w:rsidR="00AB4E95">
              <w:rPr>
                <w:rFonts w:ascii="Times New Roman" w:hAnsi="Times New Roman"/>
                <w:lang w:val="en-US"/>
              </w:rPr>
              <w:t>公用信息将持有</w:t>
            </w:r>
            <w:r>
              <w:rPr>
                <w:rFonts w:ascii="宋体" w:hAnsi="宋体" w:cs="宋体" w:hint="eastAsia"/>
                <w:lang w:val="en-US"/>
              </w:rPr>
              <w:t>泰州城发数科</w:t>
            </w:r>
            <w:r w:rsidR="00AB4E95">
              <w:rPr>
                <w:rFonts w:ascii="Times New Roman" w:hAnsi="Times New Roman"/>
                <w:lang w:val="en-US"/>
              </w:rPr>
              <w:t>3</w:t>
            </w:r>
            <w:r w:rsidR="00AB4E95">
              <w:rPr>
                <w:rFonts w:ascii="Times New Roman" w:hAnsi="Times New Roman" w:hint="eastAsia"/>
                <w:lang w:val="en-US"/>
              </w:rPr>
              <w:t>5</w:t>
            </w:r>
            <w:r w:rsidR="00AB4E95">
              <w:rPr>
                <w:rFonts w:ascii="Times New Roman" w:hAnsi="Times New Roman"/>
                <w:lang w:val="en-US"/>
              </w:rPr>
              <w:t>%</w:t>
            </w:r>
            <w:r w:rsidR="00AB4E95">
              <w:rPr>
                <w:rFonts w:ascii="Times New Roman" w:hAnsi="Times New Roman"/>
                <w:lang w:val="en-US"/>
              </w:rPr>
              <w:t>股权</w:t>
            </w:r>
            <w:r w:rsidR="00AB4E95">
              <w:rPr>
                <w:rFonts w:ascii="Times New Roman" w:hAnsi="Times New Roman" w:hint="eastAsia"/>
                <w:lang w:val="en-US"/>
              </w:rPr>
              <w:t>、泰州数产集团</w:t>
            </w:r>
            <w:r w:rsidR="00AB4E95">
              <w:rPr>
                <w:rFonts w:ascii="Times New Roman" w:hAnsi="Times New Roman"/>
                <w:lang w:val="en-US"/>
              </w:rPr>
              <w:t>将持有</w:t>
            </w:r>
            <w:r>
              <w:rPr>
                <w:rFonts w:ascii="宋体" w:hAnsi="宋体" w:cs="宋体" w:hint="eastAsia"/>
                <w:lang w:val="en-US"/>
              </w:rPr>
              <w:t>泰州城发数科</w:t>
            </w:r>
            <w:r w:rsidR="00AB4E95">
              <w:rPr>
                <w:rFonts w:ascii="Times New Roman" w:hAnsi="Times New Roman"/>
                <w:lang w:val="en-US"/>
              </w:rPr>
              <w:t>剩余</w:t>
            </w:r>
            <w:r w:rsidR="00AB4E95">
              <w:rPr>
                <w:rFonts w:ascii="Times New Roman" w:hAnsi="Times New Roman" w:hint="eastAsia"/>
                <w:lang w:val="en-US"/>
              </w:rPr>
              <w:t>41.67</w:t>
            </w:r>
            <w:r w:rsidR="00AB4E95">
              <w:rPr>
                <w:rFonts w:ascii="Times New Roman" w:hAnsi="Times New Roman"/>
                <w:lang w:val="en-US"/>
              </w:rPr>
              <w:t>%</w:t>
            </w:r>
            <w:r w:rsidR="00AB4E95">
              <w:rPr>
                <w:rFonts w:ascii="Times New Roman" w:hAnsi="Times New Roman"/>
                <w:lang w:val="en-US"/>
              </w:rPr>
              <w:t>股权</w:t>
            </w:r>
            <w:r w:rsidR="00AB4E95">
              <w:rPr>
                <w:rFonts w:ascii="Times New Roman" w:hAnsi="Times New Roman" w:hint="eastAsia"/>
                <w:lang w:val="en-US"/>
              </w:rPr>
              <w:t>，共同控制</w:t>
            </w:r>
            <w:r>
              <w:rPr>
                <w:rFonts w:ascii="宋体" w:hAnsi="宋体" w:cs="宋体" w:hint="eastAsia"/>
                <w:lang w:val="en-US"/>
              </w:rPr>
              <w:t>泰州城发数科</w:t>
            </w:r>
            <w:r w:rsidR="00AB4E95">
              <w:rPr>
                <w:rFonts w:ascii="Times New Roman" w:hAnsi="Times New Roman"/>
                <w:lang w:val="en-US"/>
              </w:rPr>
              <w:t>。</w:t>
            </w:r>
          </w:p>
        </w:tc>
      </w:tr>
      <w:tr w:rsidR="00036777" w14:paraId="625550C9" w14:textId="77777777">
        <w:trPr>
          <w:trHeight w:val="1995"/>
        </w:trPr>
        <w:tc>
          <w:tcPr>
            <w:tcW w:w="1940" w:type="dxa"/>
            <w:vMerge w:val="restart"/>
            <w:shd w:val="clear" w:color="auto" w:fill="D9D9D9"/>
            <w:vAlign w:val="center"/>
          </w:tcPr>
          <w:p w14:paraId="73519A12" w14:textId="77777777" w:rsidR="00036777" w:rsidRDefault="00036777">
            <w:pPr>
              <w:pStyle w:val="a0"/>
              <w:adjustRightInd w:val="0"/>
              <w:snapToGrid w:val="0"/>
              <w:spacing w:after="0"/>
              <w:rPr>
                <w:rFonts w:ascii="Times New Roman" w:hAnsi="Times New Roman" w:cs="Times New Roman"/>
                <w:bCs/>
                <w:color w:val="000000"/>
                <w:lang w:val="en-US" w:eastAsia="zh-CN"/>
              </w:rPr>
            </w:pPr>
            <w:bookmarkStart w:id="0" w:name="OLE_LINK239" w:colFirst="1" w:colLast="2"/>
            <w:bookmarkStart w:id="1" w:name="OLE_LINK237" w:colFirst="1" w:colLast="2"/>
            <w:bookmarkStart w:id="2" w:name="OLE_LINK238" w:colFirst="1" w:colLast="2"/>
            <w:bookmarkStart w:id="3" w:name="OLE_LINK236" w:colFirst="1" w:colLast="2"/>
            <w:bookmarkStart w:id="4" w:name="_Hlk138610327"/>
            <w:r>
              <w:rPr>
                <w:rFonts w:ascii="Times New Roman" w:hAnsi="Times New Roman" w:cs="Times New Roman"/>
                <w:bCs/>
                <w:color w:val="000000"/>
                <w:lang w:eastAsia="zh-CN"/>
              </w:rPr>
              <w:t>参与集中的经营者简介（每个限</w:t>
            </w:r>
            <w:r>
              <w:rPr>
                <w:rFonts w:ascii="Times New Roman" w:hAnsi="Times New Roman" w:cs="Times New Roman"/>
                <w:bCs/>
                <w:color w:val="000000"/>
                <w:lang w:val="en-US" w:eastAsia="zh-CN"/>
              </w:rPr>
              <w:t>100</w:t>
            </w:r>
            <w:r>
              <w:rPr>
                <w:rFonts w:ascii="Times New Roman" w:hAnsi="Times New Roman" w:cs="Times New Roman"/>
                <w:bCs/>
                <w:color w:val="000000"/>
                <w:lang w:val="en-US" w:eastAsia="zh-CN"/>
              </w:rPr>
              <w:t>字以内</w:t>
            </w:r>
            <w:r>
              <w:rPr>
                <w:rFonts w:ascii="Times New Roman" w:hAnsi="Times New Roman" w:cs="Times New Roman"/>
                <w:bCs/>
                <w:color w:val="000000"/>
                <w:lang w:eastAsia="zh-CN"/>
              </w:rPr>
              <w:t>）</w:t>
            </w:r>
          </w:p>
        </w:tc>
        <w:tc>
          <w:tcPr>
            <w:tcW w:w="1790" w:type="dxa"/>
            <w:vAlign w:val="center"/>
          </w:tcPr>
          <w:p w14:paraId="1C9097EE" w14:textId="77777777" w:rsidR="00036777" w:rsidRDefault="00036777">
            <w:pPr>
              <w:pStyle w:val="a0"/>
              <w:adjustRightInd w:val="0"/>
              <w:snapToGrid w:val="0"/>
              <w:spacing w:after="0"/>
              <w:rPr>
                <w:rFonts w:ascii="Times New Roman" w:hAnsi="Times New Roman" w:cs="Times New Roman"/>
                <w:bCs/>
                <w:color w:val="000000"/>
                <w:lang w:eastAsia="zh-CN"/>
              </w:rPr>
            </w:pPr>
            <w:r>
              <w:rPr>
                <w:rFonts w:ascii="Times New Roman" w:hAnsi="Times New Roman" w:cs="Times New Roman"/>
                <w:bCs/>
                <w:color w:val="000000"/>
                <w:lang w:val="en-US" w:eastAsia="zh-CN"/>
              </w:rPr>
              <w:t>1.</w:t>
            </w:r>
            <w:r>
              <w:rPr>
                <w:rFonts w:ascii="Times New Roman" w:hAnsi="Times New Roman" w:cs="Times New Roman" w:hint="eastAsia"/>
                <w:bCs/>
                <w:color w:val="000000"/>
                <w:lang w:val="en-US" w:eastAsia="zh-CN"/>
              </w:rPr>
              <w:t>泰州城发资本</w:t>
            </w:r>
          </w:p>
        </w:tc>
        <w:tc>
          <w:tcPr>
            <w:tcW w:w="5910" w:type="dxa"/>
            <w:vAlign w:val="center"/>
          </w:tcPr>
          <w:p w14:paraId="722154CF" w14:textId="0C4C2F9C" w:rsidR="00036777" w:rsidRDefault="00036777">
            <w:pPr>
              <w:pStyle w:val="a0"/>
              <w:adjustRightInd w:val="0"/>
              <w:snapToGrid w:val="0"/>
              <w:spacing w:after="0"/>
              <w:rPr>
                <w:rFonts w:ascii="Times New Roman" w:hAnsi="Times New Roman" w:cs="Times New Roman"/>
                <w:lang w:eastAsia="zh-CN"/>
              </w:rPr>
            </w:pPr>
            <w:r>
              <w:rPr>
                <w:rStyle w:val="s4"/>
                <w:rFonts w:cs="Times New Roman" w:hint="eastAsia"/>
                <w:color w:val="000000"/>
                <w:lang w:val="en-US" w:eastAsia="zh-CN"/>
              </w:rPr>
              <w:t>泰州</w:t>
            </w:r>
            <w:r>
              <w:rPr>
                <w:rStyle w:val="s4"/>
                <w:rFonts w:cs="Times New Roman" w:hint="eastAsia"/>
                <w:color w:val="000000"/>
                <w:lang w:eastAsia="zh-CN"/>
              </w:rPr>
              <w:t>城发资本公司</w:t>
            </w:r>
            <w:r>
              <w:rPr>
                <w:rFonts w:hint="eastAsia"/>
                <w:lang w:val="en-US" w:eastAsia="zh-CN"/>
              </w:rPr>
              <w:t>于</w:t>
            </w:r>
            <w:r>
              <w:rPr>
                <w:rFonts w:hint="eastAsia"/>
                <w:lang w:eastAsia="zh-CN"/>
              </w:rPr>
              <w:t>2012</w:t>
            </w:r>
            <w:r>
              <w:rPr>
                <w:rFonts w:hint="eastAsia"/>
                <w:lang w:eastAsia="zh-CN"/>
              </w:rPr>
              <w:t>年</w:t>
            </w:r>
            <w:r>
              <w:rPr>
                <w:rFonts w:hint="eastAsia"/>
                <w:lang w:eastAsia="zh-CN"/>
              </w:rPr>
              <w:t>11</w:t>
            </w:r>
            <w:r>
              <w:rPr>
                <w:rFonts w:hint="eastAsia"/>
                <w:lang w:eastAsia="zh-CN"/>
              </w:rPr>
              <w:t>月</w:t>
            </w:r>
            <w:r>
              <w:rPr>
                <w:rFonts w:hint="eastAsia"/>
                <w:lang w:eastAsia="zh-CN"/>
              </w:rPr>
              <w:t>2</w:t>
            </w:r>
            <w:r>
              <w:rPr>
                <w:rFonts w:hint="eastAsia"/>
                <w:lang w:eastAsia="zh-CN"/>
              </w:rPr>
              <w:t>日</w:t>
            </w:r>
            <w:r w:rsidR="00CB12D4">
              <w:rPr>
                <w:rFonts w:hint="eastAsia"/>
                <w:lang w:eastAsia="zh-CN"/>
              </w:rPr>
              <w:t>成立</w:t>
            </w:r>
            <w:r w:rsidR="00B96220">
              <w:rPr>
                <w:rFonts w:hint="eastAsia"/>
                <w:lang w:eastAsia="zh-CN"/>
              </w:rPr>
              <w:t>于江苏省泰州市</w:t>
            </w:r>
            <w:r w:rsidR="00B96220">
              <w:rPr>
                <w:rStyle w:val="s4"/>
                <w:rFonts w:cs="Times New Roman" w:hint="eastAsia"/>
                <w:color w:val="000000"/>
                <w:lang w:eastAsia="zh-CN"/>
              </w:rPr>
              <w:t>，主要业务为</w:t>
            </w:r>
            <w:r>
              <w:rPr>
                <w:rStyle w:val="s4"/>
                <w:rFonts w:cs="Times New Roman" w:hint="eastAsia"/>
                <w:color w:val="000000"/>
                <w:lang w:eastAsia="zh-CN"/>
              </w:rPr>
              <w:t>为资产运营、物资贸易、资本投资。</w:t>
            </w:r>
          </w:p>
          <w:p w14:paraId="03BF70C1" w14:textId="4341000A" w:rsidR="00036777" w:rsidRDefault="00036777">
            <w:pPr>
              <w:adjustRightInd w:val="0"/>
              <w:snapToGrid w:val="0"/>
              <w:spacing w:after="0"/>
              <w:rPr>
                <w:rFonts w:ascii="Times New Roman" w:hAnsi="Times New Roman"/>
              </w:rPr>
            </w:pPr>
            <w:bookmarkStart w:id="5" w:name="OLE_LINK246"/>
            <w:bookmarkStart w:id="6" w:name="OLE_LINK245"/>
            <w:bookmarkStart w:id="7" w:name="OLE_LINK244"/>
            <w:r>
              <w:rPr>
                <w:rStyle w:val="s4"/>
                <w:rFonts w:hint="eastAsia"/>
                <w:color w:val="000000"/>
                <w:lang w:val="en-US"/>
              </w:rPr>
              <w:t>泰州</w:t>
            </w:r>
            <w:r>
              <w:rPr>
                <w:rStyle w:val="s4"/>
                <w:rFonts w:hint="eastAsia"/>
                <w:color w:val="000000"/>
              </w:rPr>
              <w:t>城发资本</w:t>
            </w:r>
            <w:r>
              <w:rPr>
                <w:rFonts w:ascii="Times New Roman" w:hAnsi="Times New Roman"/>
              </w:rPr>
              <w:t>最终控制人为</w:t>
            </w:r>
            <w:bookmarkEnd w:id="5"/>
            <w:bookmarkEnd w:id="6"/>
            <w:bookmarkEnd w:id="7"/>
            <w:r>
              <w:rPr>
                <w:rFonts w:hint="eastAsia"/>
              </w:rPr>
              <w:t>泰州市城市建设投资集团有限公司，主要业务为国有资本投资管理、国有资产经营管理；国有股份的持有与资本运作；国有资产及其债务债权重组；资产（股权）收购（并购），资产租赁、房屋租赁。</w:t>
            </w:r>
          </w:p>
        </w:tc>
      </w:tr>
      <w:bookmarkEnd w:id="0"/>
      <w:bookmarkEnd w:id="1"/>
      <w:bookmarkEnd w:id="2"/>
      <w:bookmarkEnd w:id="3"/>
      <w:bookmarkEnd w:id="4"/>
      <w:tr w:rsidR="00036777" w14:paraId="71162030" w14:textId="77777777">
        <w:trPr>
          <w:trHeight w:val="1892"/>
        </w:trPr>
        <w:tc>
          <w:tcPr>
            <w:tcW w:w="1940" w:type="dxa"/>
            <w:vMerge/>
            <w:shd w:val="clear" w:color="auto" w:fill="D9D9D9"/>
            <w:vAlign w:val="center"/>
          </w:tcPr>
          <w:p w14:paraId="7E092374" w14:textId="77777777" w:rsidR="00036777" w:rsidRDefault="00036777">
            <w:pPr>
              <w:pStyle w:val="a0"/>
              <w:adjustRightInd w:val="0"/>
              <w:snapToGrid w:val="0"/>
              <w:spacing w:after="0"/>
              <w:rPr>
                <w:rFonts w:ascii="Times New Roman" w:hAnsi="Times New Roman" w:cs="Times New Roman"/>
                <w:bCs/>
                <w:color w:val="000000"/>
                <w:lang w:val="en-US" w:eastAsia="zh-CN"/>
              </w:rPr>
            </w:pPr>
          </w:p>
        </w:tc>
        <w:tc>
          <w:tcPr>
            <w:tcW w:w="1790" w:type="dxa"/>
            <w:vAlign w:val="center"/>
          </w:tcPr>
          <w:p w14:paraId="3FA223AF" w14:textId="77777777" w:rsidR="00036777" w:rsidRDefault="00036777">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val="en-US" w:eastAsia="zh-CN"/>
              </w:rPr>
              <w:t>2.</w:t>
            </w:r>
            <w:r>
              <w:rPr>
                <w:rFonts w:ascii="Times New Roman" w:hAnsi="Times New Roman" w:cs="Times New Roman" w:hint="eastAsia"/>
                <w:bCs/>
                <w:color w:val="000000"/>
                <w:lang w:val="en-US" w:eastAsia="zh-CN"/>
              </w:rPr>
              <w:t>江苏公用信息</w:t>
            </w:r>
          </w:p>
        </w:tc>
        <w:tc>
          <w:tcPr>
            <w:tcW w:w="5910" w:type="dxa"/>
            <w:vAlign w:val="center"/>
          </w:tcPr>
          <w:p w14:paraId="4A3FC4DE" w14:textId="2381A177" w:rsidR="00036777" w:rsidRDefault="00036777">
            <w:pPr>
              <w:pStyle w:val="a0"/>
              <w:adjustRightInd w:val="0"/>
              <w:snapToGrid w:val="0"/>
              <w:spacing w:after="0"/>
              <w:rPr>
                <w:rFonts w:ascii="Times New Roman" w:hAnsi="Times New Roman" w:cs="Times New Roman"/>
                <w:lang w:eastAsia="zh-CN"/>
              </w:rPr>
            </w:pPr>
            <w:r>
              <w:rPr>
                <w:rFonts w:ascii="Times New Roman" w:hAnsi="Times New Roman" w:cs="Times New Roman" w:hint="eastAsia"/>
                <w:bCs/>
                <w:color w:val="000000"/>
                <w:lang w:val="en-US" w:eastAsia="zh-CN"/>
              </w:rPr>
              <w:t>江苏公用信息</w:t>
            </w:r>
            <w:r>
              <w:rPr>
                <w:rFonts w:ascii="Times New Roman" w:hAnsi="Times New Roman" w:cs="Times New Roman"/>
                <w:lang w:eastAsia="zh-CN"/>
              </w:rPr>
              <w:t>于</w:t>
            </w:r>
            <w:r>
              <w:rPr>
                <w:rFonts w:ascii="Times New Roman" w:hAnsi="Times New Roman" w:cs="Times New Roman"/>
                <w:lang w:eastAsia="zh-CN"/>
              </w:rPr>
              <w:t>1996</w:t>
            </w:r>
            <w:r>
              <w:rPr>
                <w:rFonts w:ascii="Times New Roman" w:hAnsi="Times New Roman" w:cs="Times New Roman"/>
                <w:lang w:eastAsia="zh-CN"/>
              </w:rPr>
              <w:t>年</w:t>
            </w:r>
            <w:r>
              <w:rPr>
                <w:rFonts w:ascii="Times New Roman" w:hAnsi="Times New Roman" w:cs="Times New Roman"/>
                <w:lang w:eastAsia="zh-CN"/>
              </w:rPr>
              <w:t>12</w:t>
            </w:r>
            <w:r>
              <w:rPr>
                <w:rFonts w:ascii="Times New Roman" w:hAnsi="Times New Roman" w:cs="Times New Roman"/>
                <w:lang w:eastAsia="zh-CN"/>
              </w:rPr>
              <w:t>月</w:t>
            </w:r>
            <w:r>
              <w:rPr>
                <w:rFonts w:ascii="Times New Roman" w:hAnsi="Times New Roman" w:cs="Times New Roman"/>
                <w:lang w:eastAsia="zh-CN"/>
              </w:rPr>
              <w:t>11</w:t>
            </w:r>
            <w:r>
              <w:rPr>
                <w:rFonts w:ascii="Times New Roman" w:hAnsi="Times New Roman" w:cs="Times New Roman"/>
                <w:lang w:eastAsia="zh-CN"/>
              </w:rPr>
              <w:t>日</w:t>
            </w:r>
            <w:r w:rsidR="00CB12D4">
              <w:rPr>
                <w:rFonts w:ascii="Times New Roman" w:hAnsi="Times New Roman" w:cs="Times New Roman" w:hint="eastAsia"/>
                <w:lang w:eastAsia="zh-CN"/>
              </w:rPr>
              <w:t>成立</w:t>
            </w:r>
            <w:r w:rsidR="00B96220">
              <w:rPr>
                <w:rFonts w:ascii="Times New Roman" w:hAnsi="Times New Roman" w:cs="Times New Roman" w:hint="eastAsia"/>
                <w:lang w:eastAsia="zh-CN"/>
              </w:rPr>
              <w:t>于</w:t>
            </w:r>
            <w:r>
              <w:rPr>
                <w:rFonts w:ascii="Times New Roman" w:hAnsi="Times New Roman" w:cs="Times New Roman" w:hint="eastAsia"/>
                <w:lang w:val="en-US" w:eastAsia="zh-CN"/>
              </w:rPr>
              <w:t>江苏省南京市</w:t>
            </w:r>
            <w:r>
              <w:rPr>
                <w:rFonts w:ascii="Times New Roman" w:hAnsi="Times New Roman" w:cs="Times New Roman"/>
                <w:lang w:val="en-US" w:eastAsia="zh-CN"/>
              </w:rPr>
              <w:t>，主要业务为电子商务、网站开发和信息化解决方案</w:t>
            </w:r>
            <w:r>
              <w:rPr>
                <w:rFonts w:ascii="Times New Roman" w:hAnsi="Times New Roman" w:cs="Times New Roman"/>
                <w:lang w:eastAsia="zh-CN"/>
              </w:rPr>
              <w:t>。</w:t>
            </w:r>
          </w:p>
          <w:p w14:paraId="0B705FC1" w14:textId="77777777" w:rsidR="00036777" w:rsidRDefault="00036777">
            <w:pPr>
              <w:pStyle w:val="a0"/>
              <w:adjustRightInd w:val="0"/>
              <w:snapToGrid w:val="0"/>
              <w:spacing w:after="0"/>
              <w:rPr>
                <w:rFonts w:ascii="Times New Roman" w:hAnsi="Times New Roman" w:cs="Times New Roman"/>
                <w:bCs/>
                <w:color w:val="000000"/>
                <w:lang w:val="en-US" w:eastAsia="zh-Hans"/>
              </w:rPr>
            </w:pPr>
            <w:r>
              <w:rPr>
                <w:rFonts w:ascii="Times New Roman" w:hAnsi="Times New Roman" w:cs="Times New Roman" w:hint="eastAsia"/>
                <w:lang w:val="en-US" w:eastAsia="zh-CN"/>
              </w:rPr>
              <w:t>江苏公用信息</w:t>
            </w:r>
            <w:r>
              <w:rPr>
                <w:rFonts w:ascii="Times New Roman" w:hAnsi="Times New Roman" w:cs="Times New Roman"/>
                <w:lang w:eastAsia="zh-Hans"/>
              </w:rPr>
              <w:t>最终控制人为中国电信集团有限公司</w:t>
            </w:r>
            <w:r>
              <w:rPr>
                <w:rFonts w:ascii="Times New Roman" w:hAnsi="Times New Roman" w:cs="Times New Roman"/>
                <w:lang w:val="en-US" w:eastAsia="zh-Hans"/>
              </w:rPr>
              <w:t>，</w:t>
            </w:r>
            <w:r>
              <w:rPr>
                <w:rFonts w:ascii="Times New Roman" w:hAnsi="Times New Roman" w:cs="Times New Roman"/>
                <w:lang w:val="en-US" w:eastAsia="zh-CN"/>
              </w:rPr>
              <w:t>主要业务为移动通信、互联网接入及应用、固定电话、卫星通信、</w:t>
            </w:r>
            <w:r>
              <w:rPr>
                <w:rFonts w:ascii="Times New Roman" w:hAnsi="Times New Roman" w:cs="Times New Roman"/>
                <w:lang w:val="en-US" w:eastAsia="zh-CN"/>
              </w:rPr>
              <w:t>ICT</w:t>
            </w:r>
            <w:r>
              <w:rPr>
                <w:rFonts w:ascii="Times New Roman" w:hAnsi="Times New Roman" w:cs="Times New Roman"/>
                <w:lang w:val="en-US" w:eastAsia="zh-CN"/>
              </w:rPr>
              <w:t>集成等综合信息服务</w:t>
            </w:r>
            <w:r>
              <w:rPr>
                <w:rFonts w:ascii="Times New Roman" w:hAnsi="Times New Roman" w:cs="Times New Roman" w:hint="eastAsia"/>
                <w:lang w:val="en-US" w:eastAsia="zh-CN"/>
              </w:rPr>
              <w:t>。</w:t>
            </w:r>
          </w:p>
        </w:tc>
      </w:tr>
      <w:tr w:rsidR="00036777" w14:paraId="2A2614E5" w14:textId="77777777">
        <w:trPr>
          <w:trHeight w:val="851"/>
        </w:trPr>
        <w:tc>
          <w:tcPr>
            <w:tcW w:w="1940" w:type="dxa"/>
            <w:vMerge/>
            <w:shd w:val="clear" w:color="auto" w:fill="D9D9D9"/>
            <w:vAlign w:val="center"/>
          </w:tcPr>
          <w:p w14:paraId="78DDD0AA" w14:textId="77777777" w:rsidR="00036777" w:rsidRDefault="00036777">
            <w:pPr>
              <w:pStyle w:val="a0"/>
              <w:adjustRightInd w:val="0"/>
              <w:snapToGrid w:val="0"/>
              <w:spacing w:after="0"/>
              <w:rPr>
                <w:rFonts w:ascii="Times New Roman" w:hAnsi="Times New Roman" w:cs="Times New Roman"/>
                <w:bCs/>
                <w:color w:val="000000"/>
                <w:lang w:val="en-US" w:eastAsia="zh-CN"/>
              </w:rPr>
            </w:pPr>
          </w:p>
        </w:tc>
        <w:tc>
          <w:tcPr>
            <w:tcW w:w="1790" w:type="dxa"/>
            <w:vAlign w:val="center"/>
          </w:tcPr>
          <w:p w14:paraId="709AF414" w14:textId="77777777" w:rsidR="00036777" w:rsidRDefault="00036777">
            <w:pPr>
              <w:pStyle w:val="a0"/>
              <w:numPr>
                <w:ilvl w:val="0"/>
                <w:numId w:val="4"/>
              </w:numPr>
              <w:adjustRightInd w:val="0"/>
              <w:snapToGrid w:val="0"/>
              <w:spacing w:after="0"/>
              <w:rPr>
                <w:rFonts w:ascii="Times New Roman" w:hAnsi="Times New Roman" w:cs="Times New Roman"/>
                <w:bCs/>
                <w:color w:val="000000"/>
                <w:lang w:val="en-US" w:eastAsia="zh-CN"/>
              </w:rPr>
            </w:pPr>
            <w:r>
              <w:rPr>
                <w:rFonts w:ascii="Times New Roman" w:hAnsi="Times New Roman" w:cs="Times New Roman" w:hint="eastAsia"/>
                <w:bCs/>
                <w:color w:val="000000"/>
                <w:lang w:val="en-US" w:eastAsia="zh-CN"/>
              </w:rPr>
              <w:t>泰州数产集团</w:t>
            </w:r>
          </w:p>
        </w:tc>
        <w:tc>
          <w:tcPr>
            <w:tcW w:w="5910" w:type="dxa"/>
            <w:vAlign w:val="center"/>
          </w:tcPr>
          <w:p w14:paraId="039299E2" w14:textId="350794E7" w:rsidR="00036777" w:rsidRPr="00B96220" w:rsidRDefault="00036777" w:rsidP="00B96220">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hint="eastAsia"/>
                <w:bCs/>
                <w:color w:val="000000"/>
                <w:lang w:val="en-US" w:eastAsia="zh-CN"/>
              </w:rPr>
              <w:t>泰州数产集团</w:t>
            </w:r>
            <w:r w:rsidRPr="008C1D2A">
              <w:rPr>
                <w:rFonts w:ascii="Times New Roman" w:hAnsi="Times New Roman" w:cs="Times New Roman" w:hint="eastAsia"/>
                <w:bCs/>
                <w:color w:val="000000"/>
                <w:lang w:val="en-US" w:eastAsia="zh-CN"/>
              </w:rPr>
              <w:t>于</w:t>
            </w:r>
            <w:r w:rsidRPr="008C1D2A">
              <w:rPr>
                <w:rFonts w:ascii="Times New Roman" w:hAnsi="Times New Roman" w:cs="Times New Roman"/>
                <w:bCs/>
                <w:color w:val="000000"/>
                <w:lang w:val="en-US" w:eastAsia="zh-CN"/>
              </w:rPr>
              <w:t>2023</w:t>
            </w:r>
            <w:r w:rsidRPr="008C1D2A">
              <w:rPr>
                <w:rFonts w:ascii="Times New Roman" w:hAnsi="Times New Roman" w:cs="Times New Roman"/>
                <w:bCs/>
                <w:color w:val="000000"/>
                <w:lang w:val="en-US" w:eastAsia="zh-CN"/>
              </w:rPr>
              <w:t>年</w:t>
            </w:r>
            <w:r w:rsidRPr="008C1D2A">
              <w:rPr>
                <w:rFonts w:ascii="Times New Roman" w:hAnsi="Times New Roman" w:cs="Times New Roman"/>
                <w:bCs/>
                <w:color w:val="000000"/>
                <w:lang w:val="en-US" w:eastAsia="zh-CN"/>
              </w:rPr>
              <w:t>8</w:t>
            </w:r>
            <w:r w:rsidRPr="008C1D2A">
              <w:rPr>
                <w:rFonts w:ascii="Times New Roman" w:hAnsi="Times New Roman" w:cs="Times New Roman"/>
                <w:bCs/>
                <w:color w:val="000000"/>
                <w:lang w:val="en-US" w:eastAsia="zh-CN"/>
              </w:rPr>
              <w:t>月</w:t>
            </w:r>
            <w:r w:rsidRPr="008C1D2A">
              <w:rPr>
                <w:rFonts w:ascii="Times New Roman" w:hAnsi="Times New Roman" w:cs="Times New Roman"/>
                <w:bCs/>
                <w:color w:val="000000"/>
                <w:lang w:val="en-US" w:eastAsia="zh-CN"/>
              </w:rPr>
              <w:t>9</w:t>
            </w:r>
            <w:r w:rsidRPr="008C1D2A">
              <w:rPr>
                <w:rFonts w:ascii="Times New Roman" w:hAnsi="Times New Roman" w:cs="Times New Roman"/>
                <w:bCs/>
                <w:color w:val="000000"/>
                <w:lang w:val="en-US" w:eastAsia="zh-CN"/>
              </w:rPr>
              <w:t>日</w:t>
            </w:r>
            <w:r w:rsidR="00CB12D4">
              <w:rPr>
                <w:rFonts w:ascii="Times New Roman" w:hAnsi="Times New Roman" w:cs="Times New Roman" w:hint="eastAsia"/>
                <w:bCs/>
                <w:color w:val="000000"/>
                <w:lang w:val="en-US" w:eastAsia="zh-CN"/>
              </w:rPr>
              <w:t>成立</w:t>
            </w:r>
            <w:r w:rsidR="00B96220" w:rsidRPr="008C1D2A">
              <w:rPr>
                <w:rFonts w:ascii="Times New Roman" w:hAnsi="Times New Roman" w:cs="Times New Roman" w:hint="eastAsia"/>
                <w:bCs/>
                <w:color w:val="000000"/>
                <w:lang w:val="en-US" w:eastAsia="zh-CN"/>
              </w:rPr>
              <w:t>于江苏省泰州市</w:t>
            </w:r>
            <w:r w:rsidRPr="008C1D2A">
              <w:rPr>
                <w:rFonts w:ascii="Times New Roman" w:hAnsi="Times New Roman" w:cs="Times New Roman" w:hint="eastAsia"/>
                <w:bCs/>
                <w:color w:val="000000"/>
                <w:lang w:val="en-US" w:eastAsia="zh-CN"/>
              </w:rPr>
              <w:t>，</w:t>
            </w:r>
            <w:r w:rsidR="00B96220" w:rsidRPr="008C1D2A">
              <w:rPr>
                <w:rFonts w:ascii="Times New Roman" w:hAnsi="Times New Roman" w:cs="Times New Roman" w:hint="eastAsia"/>
                <w:bCs/>
                <w:color w:val="000000"/>
                <w:lang w:val="en-US" w:eastAsia="zh-CN"/>
              </w:rPr>
              <w:t>由</w:t>
            </w:r>
            <w:r w:rsidR="00B96220" w:rsidRPr="008C1D2A">
              <w:rPr>
                <w:rFonts w:ascii="Times New Roman" w:hAnsi="Times New Roman" w:cs="Times New Roman" w:hint="eastAsia"/>
                <w:bCs/>
                <w:color w:val="000000"/>
                <w:lang w:val="en-US" w:eastAsia="zh-CN"/>
              </w:rPr>
              <w:t>泰州市政府国有资产监督管理委员会</w:t>
            </w:r>
            <w:r w:rsidR="00B96220" w:rsidRPr="008C1D2A">
              <w:rPr>
                <w:rFonts w:ascii="Times New Roman" w:hAnsi="Times New Roman" w:cs="Times New Roman" w:hint="eastAsia"/>
                <w:bCs/>
                <w:color w:val="000000"/>
                <w:lang w:val="en-US" w:eastAsia="zh-CN"/>
              </w:rPr>
              <w:t>设立，</w:t>
            </w:r>
            <w:r w:rsidRPr="008C1D2A">
              <w:rPr>
                <w:rFonts w:ascii="Times New Roman" w:hAnsi="Times New Roman" w:cs="Times New Roman" w:hint="eastAsia"/>
                <w:bCs/>
                <w:color w:val="000000"/>
                <w:lang w:val="en-US" w:eastAsia="zh-CN"/>
              </w:rPr>
              <w:t>主要承担泰州市公共数据和国企数据的授权运营。</w:t>
            </w:r>
          </w:p>
        </w:tc>
      </w:tr>
      <w:tr w:rsidR="00036777" w14:paraId="605591AA" w14:textId="77777777">
        <w:trPr>
          <w:trHeight w:val="851"/>
        </w:trPr>
        <w:tc>
          <w:tcPr>
            <w:tcW w:w="1940" w:type="dxa"/>
            <w:vMerge/>
            <w:shd w:val="clear" w:color="auto" w:fill="D9D9D9"/>
            <w:vAlign w:val="center"/>
          </w:tcPr>
          <w:p w14:paraId="44989E81" w14:textId="77777777" w:rsidR="00036777" w:rsidRDefault="00036777">
            <w:pPr>
              <w:pStyle w:val="a0"/>
              <w:adjustRightInd w:val="0"/>
              <w:snapToGrid w:val="0"/>
              <w:spacing w:after="0"/>
              <w:rPr>
                <w:rFonts w:ascii="Times New Roman" w:hAnsi="Times New Roman" w:cs="Times New Roman"/>
                <w:bCs/>
                <w:color w:val="000000"/>
                <w:lang w:val="en-US" w:eastAsia="zh-CN"/>
              </w:rPr>
            </w:pPr>
          </w:p>
        </w:tc>
        <w:tc>
          <w:tcPr>
            <w:tcW w:w="1790" w:type="dxa"/>
            <w:vAlign w:val="center"/>
          </w:tcPr>
          <w:p w14:paraId="2E05875E" w14:textId="634A0361" w:rsidR="00036777" w:rsidRDefault="00036777">
            <w:pPr>
              <w:pStyle w:val="a0"/>
              <w:numPr>
                <w:ilvl w:val="0"/>
                <w:numId w:val="4"/>
              </w:numPr>
              <w:adjustRightInd w:val="0"/>
              <w:snapToGrid w:val="0"/>
              <w:spacing w:after="0"/>
              <w:rPr>
                <w:rFonts w:ascii="Times New Roman" w:hAnsi="Times New Roman" w:cs="Times New Roman"/>
                <w:bCs/>
                <w:color w:val="000000"/>
                <w:lang w:val="en-US" w:eastAsia="zh-CN"/>
              </w:rPr>
            </w:pPr>
            <w:r>
              <w:rPr>
                <w:rFonts w:ascii="Times New Roman" w:hAnsi="Times New Roman" w:cs="Times New Roman" w:hint="eastAsia"/>
                <w:bCs/>
                <w:color w:val="000000"/>
                <w:lang w:val="en-US" w:eastAsia="zh-CN"/>
              </w:rPr>
              <w:t>泰州城发数科</w:t>
            </w:r>
          </w:p>
        </w:tc>
        <w:tc>
          <w:tcPr>
            <w:tcW w:w="5910" w:type="dxa"/>
            <w:vAlign w:val="center"/>
          </w:tcPr>
          <w:p w14:paraId="2526E616" w14:textId="67736229" w:rsidR="00036777" w:rsidRDefault="00036777" w:rsidP="00665544">
            <w:pPr>
              <w:pStyle w:val="a0"/>
              <w:adjustRightInd w:val="0"/>
              <w:snapToGrid w:val="0"/>
              <w:spacing w:after="0"/>
              <w:rPr>
                <w:rFonts w:ascii="Times New Roman" w:hAnsi="Times New Roman" w:cs="Times New Roman"/>
                <w:bCs/>
                <w:color w:val="000000"/>
                <w:lang w:val="en-US" w:eastAsia="zh-CN"/>
              </w:rPr>
            </w:pPr>
            <w:r w:rsidRPr="00665544">
              <w:rPr>
                <w:rFonts w:ascii="Times New Roman" w:hAnsi="Times New Roman" w:cs="Times New Roman" w:hint="eastAsia"/>
                <w:bCs/>
                <w:color w:val="000000"/>
                <w:lang w:val="en-US" w:eastAsia="zh-CN"/>
              </w:rPr>
              <w:t>泰州城发数科于</w:t>
            </w:r>
            <w:r w:rsidRPr="00665544">
              <w:rPr>
                <w:rFonts w:ascii="Times New Roman" w:hAnsi="Times New Roman" w:cs="Times New Roman" w:hint="eastAsia"/>
                <w:bCs/>
                <w:color w:val="000000"/>
                <w:lang w:val="en-US" w:eastAsia="zh-CN"/>
              </w:rPr>
              <w:t>2022</w:t>
            </w:r>
            <w:r w:rsidRPr="00665544">
              <w:rPr>
                <w:rFonts w:ascii="Times New Roman" w:hAnsi="Times New Roman" w:cs="Times New Roman" w:hint="eastAsia"/>
                <w:bCs/>
                <w:color w:val="000000"/>
                <w:lang w:val="en-US" w:eastAsia="zh-CN"/>
              </w:rPr>
              <w:t>年</w:t>
            </w:r>
            <w:r w:rsidRPr="00665544">
              <w:rPr>
                <w:rFonts w:ascii="Times New Roman" w:hAnsi="Times New Roman" w:cs="Times New Roman" w:hint="eastAsia"/>
                <w:bCs/>
                <w:color w:val="000000"/>
                <w:lang w:val="en-US" w:eastAsia="zh-CN"/>
              </w:rPr>
              <w:t>5</w:t>
            </w:r>
            <w:r w:rsidRPr="00665544">
              <w:rPr>
                <w:rFonts w:ascii="Times New Roman" w:hAnsi="Times New Roman" w:cs="Times New Roman" w:hint="eastAsia"/>
                <w:bCs/>
                <w:color w:val="000000"/>
                <w:lang w:val="en-US" w:eastAsia="zh-CN"/>
              </w:rPr>
              <w:t>月</w:t>
            </w:r>
            <w:r w:rsidRPr="00665544">
              <w:rPr>
                <w:rFonts w:ascii="Times New Roman" w:hAnsi="Times New Roman" w:cs="Times New Roman" w:hint="eastAsia"/>
                <w:bCs/>
                <w:color w:val="000000"/>
                <w:lang w:val="en-US" w:eastAsia="zh-CN"/>
              </w:rPr>
              <w:t>25</w:t>
            </w:r>
            <w:r w:rsidRPr="00665544">
              <w:rPr>
                <w:rFonts w:ascii="Times New Roman" w:hAnsi="Times New Roman" w:cs="Times New Roman" w:hint="eastAsia"/>
                <w:bCs/>
                <w:color w:val="000000"/>
                <w:lang w:val="en-US" w:eastAsia="zh-CN"/>
              </w:rPr>
              <w:t>日</w:t>
            </w:r>
            <w:r w:rsidR="003F7FD1">
              <w:rPr>
                <w:rFonts w:ascii="Times New Roman" w:hAnsi="Times New Roman" w:cs="Times New Roman" w:hint="eastAsia"/>
                <w:bCs/>
                <w:color w:val="000000"/>
                <w:lang w:val="en-US" w:eastAsia="zh-CN"/>
              </w:rPr>
              <w:t>成立</w:t>
            </w:r>
            <w:r w:rsidR="00B96220">
              <w:rPr>
                <w:rFonts w:ascii="Times New Roman" w:hAnsi="Times New Roman" w:cs="Times New Roman" w:hint="eastAsia"/>
                <w:bCs/>
                <w:color w:val="000000"/>
                <w:lang w:val="en-US" w:eastAsia="zh-CN"/>
              </w:rPr>
              <w:t>于江苏省泰州市</w:t>
            </w:r>
            <w:r w:rsidR="00574B6D">
              <w:rPr>
                <w:rFonts w:ascii="Times New Roman" w:hAnsi="Times New Roman" w:cs="Times New Roman" w:hint="eastAsia"/>
                <w:bCs/>
                <w:color w:val="000000"/>
                <w:lang w:val="en-US" w:eastAsia="zh-CN"/>
              </w:rPr>
              <w:t>，由泰州城发资本和江苏公用信息</w:t>
            </w:r>
            <w:r w:rsidR="00574B6D">
              <w:rPr>
                <w:rFonts w:ascii="Times New Roman" w:hAnsi="Times New Roman" w:cs="Times New Roman" w:hint="eastAsia"/>
                <w:bCs/>
                <w:color w:val="000000"/>
                <w:lang w:val="en-US" w:eastAsia="zh-CN"/>
              </w:rPr>
              <w:t>（</w:t>
            </w:r>
            <w:r w:rsidR="00574B6D">
              <w:rPr>
                <w:rFonts w:ascii="Times New Roman" w:hAnsi="Times New Roman" w:cs="Times New Roman" w:hint="eastAsia"/>
                <w:bCs/>
                <w:color w:val="000000"/>
                <w:lang w:val="en-US" w:eastAsia="zh-CN"/>
              </w:rPr>
              <w:t>简介如前述</w:t>
            </w:r>
            <w:r w:rsidR="00574B6D">
              <w:rPr>
                <w:rFonts w:ascii="Times New Roman" w:hAnsi="Times New Roman" w:cs="Times New Roman" w:hint="eastAsia"/>
                <w:bCs/>
                <w:color w:val="000000"/>
                <w:lang w:val="en-US" w:eastAsia="zh-CN"/>
              </w:rPr>
              <w:t>）</w:t>
            </w:r>
            <w:r w:rsidR="00574B6D">
              <w:rPr>
                <w:rFonts w:ascii="Times New Roman" w:hAnsi="Times New Roman" w:cs="Times New Roman" w:hint="eastAsia"/>
                <w:bCs/>
                <w:color w:val="000000"/>
                <w:lang w:val="en-US" w:eastAsia="zh-CN"/>
              </w:rPr>
              <w:t>共同设立</w:t>
            </w:r>
            <w:r w:rsidR="00722AEF">
              <w:rPr>
                <w:rFonts w:ascii="Times New Roman" w:hAnsi="Times New Roman" w:cs="Times New Roman" w:hint="eastAsia"/>
                <w:bCs/>
                <w:color w:val="000000"/>
                <w:lang w:val="en-US" w:eastAsia="zh-CN"/>
              </w:rPr>
              <w:t>与控制</w:t>
            </w:r>
            <w:r w:rsidR="00574B6D">
              <w:rPr>
                <w:rFonts w:ascii="Times New Roman" w:hAnsi="Times New Roman" w:cs="Times New Roman" w:hint="eastAsia"/>
                <w:bCs/>
                <w:color w:val="000000"/>
                <w:lang w:val="en-US" w:eastAsia="zh-CN"/>
              </w:rPr>
              <w:t>，</w:t>
            </w:r>
            <w:r w:rsidRPr="00665544">
              <w:rPr>
                <w:rFonts w:ascii="Times New Roman" w:hAnsi="Times New Roman" w:cs="Times New Roman" w:hint="eastAsia"/>
                <w:bCs/>
                <w:color w:val="000000"/>
                <w:lang w:val="en-US" w:eastAsia="zh-CN"/>
              </w:rPr>
              <w:t>主营业务为信息系统集成服务。</w:t>
            </w:r>
          </w:p>
        </w:tc>
      </w:tr>
      <w:tr w:rsidR="009C33AD" w14:paraId="28B1ACA4" w14:textId="77777777">
        <w:trPr>
          <w:trHeight w:val="20"/>
        </w:trPr>
        <w:tc>
          <w:tcPr>
            <w:tcW w:w="1940" w:type="dxa"/>
            <w:vMerge w:val="restart"/>
            <w:shd w:val="clear" w:color="auto" w:fill="D9D9D9"/>
            <w:vAlign w:val="center"/>
          </w:tcPr>
          <w:p w14:paraId="11FC6BF6"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t>简易案件理由（可以单选，也可以多选）</w:t>
            </w:r>
          </w:p>
        </w:tc>
        <w:tc>
          <w:tcPr>
            <w:tcW w:w="7700" w:type="dxa"/>
            <w:gridSpan w:val="2"/>
            <w:vAlign w:val="center"/>
          </w:tcPr>
          <w:p w14:paraId="1BC67CE2"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FE"/>
            </w:r>
            <w:r>
              <w:rPr>
                <w:rFonts w:ascii="Times New Roman" w:hAnsi="Times New Roman" w:cs="Times New Roman"/>
                <w:bCs/>
                <w:color w:val="000000"/>
                <w:lang w:eastAsia="zh-CN"/>
              </w:rPr>
              <w:t xml:space="preserve"> 1</w:t>
            </w:r>
            <w:r>
              <w:rPr>
                <w:rFonts w:ascii="Times New Roman" w:hAnsi="Times New Roman" w:cs="Times New Roman"/>
                <w:bCs/>
                <w:color w:val="000000"/>
                <w:lang w:eastAsia="zh-CN"/>
              </w:rPr>
              <w:t>、在同一相关市场，所有参与集中的经营者所占市场份额之和小于</w:t>
            </w:r>
            <w:r>
              <w:rPr>
                <w:rFonts w:ascii="Times New Roman" w:hAnsi="Times New Roman" w:cs="Times New Roman"/>
                <w:bCs/>
                <w:color w:val="000000"/>
                <w:lang w:eastAsia="zh-CN"/>
              </w:rPr>
              <w:t>15%</w:t>
            </w:r>
            <w:r>
              <w:rPr>
                <w:rFonts w:ascii="Times New Roman" w:hAnsi="Times New Roman" w:cs="Times New Roman"/>
                <w:bCs/>
                <w:color w:val="000000"/>
                <w:lang w:eastAsia="zh-CN"/>
              </w:rPr>
              <w:t>。</w:t>
            </w:r>
          </w:p>
        </w:tc>
      </w:tr>
      <w:tr w:rsidR="009C33AD" w14:paraId="4CA7E83F" w14:textId="77777777">
        <w:trPr>
          <w:trHeight w:val="20"/>
        </w:trPr>
        <w:tc>
          <w:tcPr>
            <w:tcW w:w="1940" w:type="dxa"/>
            <w:vMerge/>
            <w:shd w:val="clear" w:color="auto" w:fill="D9D9D9"/>
            <w:vAlign w:val="center"/>
          </w:tcPr>
          <w:p w14:paraId="4338CE71" w14:textId="77777777" w:rsidR="009C33AD" w:rsidRDefault="009C33AD">
            <w:pPr>
              <w:pStyle w:val="a0"/>
              <w:adjustRightInd w:val="0"/>
              <w:snapToGrid w:val="0"/>
              <w:spacing w:after="0"/>
              <w:rPr>
                <w:rFonts w:ascii="Times New Roman" w:hAnsi="Times New Roman" w:cs="Times New Roman"/>
                <w:bCs/>
                <w:color w:val="000000"/>
                <w:lang w:val="en-US" w:eastAsia="zh-CN"/>
              </w:rPr>
            </w:pPr>
          </w:p>
        </w:tc>
        <w:tc>
          <w:tcPr>
            <w:tcW w:w="7700" w:type="dxa"/>
            <w:gridSpan w:val="2"/>
            <w:vAlign w:val="center"/>
          </w:tcPr>
          <w:p w14:paraId="7554AE19"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A8"/>
            </w:r>
            <w:r>
              <w:rPr>
                <w:rFonts w:ascii="Times New Roman" w:hAnsi="Times New Roman" w:cs="Times New Roman"/>
                <w:bCs/>
                <w:color w:val="000000"/>
                <w:lang w:eastAsia="zh-CN"/>
              </w:rPr>
              <w:t xml:space="preserve"> 2</w:t>
            </w:r>
            <w:r>
              <w:rPr>
                <w:rFonts w:ascii="Times New Roman" w:hAnsi="Times New Roman" w:cs="Times New Roman"/>
                <w:bCs/>
                <w:color w:val="000000"/>
                <w:lang w:eastAsia="zh-CN"/>
              </w:rPr>
              <w:t>、存在上下游关系的参与集中的经营者，在上下游市场所占的市场份额均小于</w:t>
            </w:r>
            <w:r>
              <w:rPr>
                <w:rFonts w:ascii="Times New Roman" w:hAnsi="Times New Roman" w:cs="Times New Roman"/>
                <w:bCs/>
                <w:color w:val="000000"/>
                <w:lang w:eastAsia="zh-CN"/>
              </w:rPr>
              <w:t>25%</w:t>
            </w:r>
            <w:r>
              <w:rPr>
                <w:rFonts w:ascii="Times New Roman" w:hAnsi="Times New Roman" w:cs="Times New Roman"/>
                <w:bCs/>
                <w:color w:val="000000"/>
                <w:lang w:eastAsia="zh-CN"/>
              </w:rPr>
              <w:t>。</w:t>
            </w:r>
          </w:p>
        </w:tc>
      </w:tr>
      <w:tr w:rsidR="009C33AD" w14:paraId="54A8F4A2" w14:textId="77777777">
        <w:trPr>
          <w:trHeight w:val="20"/>
        </w:trPr>
        <w:tc>
          <w:tcPr>
            <w:tcW w:w="1940" w:type="dxa"/>
            <w:vMerge/>
            <w:shd w:val="clear" w:color="auto" w:fill="D9D9D9"/>
            <w:vAlign w:val="center"/>
          </w:tcPr>
          <w:p w14:paraId="608599C4" w14:textId="77777777" w:rsidR="009C33AD" w:rsidRDefault="009C33AD">
            <w:pPr>
              <w:pStyle w:val="a0"/>
              <w:adjustRightInd w:val="0"/>
              <w:snapToGrid w:val="0"/>
              <w:spacing w:after="0"/>
              <w:rPr>
                <w:rFonts w:ascii="Times New Roman" w:hAnsi="Times New Roman" w:cs="Times New Roman"/>
                <w:bCs/>
                <w:color w:val="000000"/>
                <w:lang w:val="en-US" w:eastAsia="zh-CN"/>
              </w:rPr>
            </w:pPr>
          </w:p>
        </w:tc>
        <w:tc>
          <w:tcPr>
            <w:tcW w:w="7700" w:type="dxa"/>
            <w:gridSpan w:val="2"/>
            <w:vAlign w:val="center"/>
          </w:tcPr>
          <w:p w14:paraId="0068EF17"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A8"/>
            </w:r>
            <w:r>
              <w:rPr>
                <w:rFonts w:ascii="Times New Roman" w:hAnsi="Times New Roman" w:cs="Times New Roman"/>
                <w:bCs/>
                <w:color w:val="000000"/>
                <w:lang w:eastAsia="zh-CN"/>
              </w:rPr>
              <w:t xml:space="preserve"> 3</w:t>
            </w:r>
            <w:r>
              <w:rPr>
                <w:rFonts w:ascii="Times New Roman" w:hAnsi="Times New Roman" w:cs="Times New Roman"/>
                <w:bCs/>
                <w:color w:val="000000"/>
                <w:lang w:eastAsia="zh-CN"/>
              </w:rPr>
              <w:t>、不在同一相关市场、也不存在上下游关系的参与集中的经营者，在与交易有关的每个市场所占的份额均小于</w:t>
            </w:r>
            <w:r>
              <w:rPr>
                <w:rFonts w:ascii="Times New Roman" w:hAnsi="Times New Roman" w:cs="Times New Roman"/>
                <w:bCs/>
                <w:color w:val="000000"/>
                <w:lang w:eastAsia="zh-CN"/>
              </w:rPr>
              <w:t>25%</w:t>
            </w:r>
            <w:r>
              <w:rPr>
                <w:rFonts w:ascii="Times New Roman" w:hAnsi="Times New Roman" w:cs="Times New Roman"/>
                <w:bCs/>
                <w:color w:val="000000"/>
                <w:lang w:eastAsia="zh-CN"/>
              </w:rPr>
              <w:t>。</w:t>
            </w:r>
          </w:p>
        </w:tc>
      </w:tr>
      <w:tr w:rsidR="009C33AD" w14:paraId="5CE5DBA6" w14:textId="77777777">
        <w:trPr>
          <w:trHeight w:val="20"/>
        </w:trPr>
        <w:tc>
          <w:tcPr>
            <w:tcW w:w="1940" w:type="dxa"/>
            <w:vMerge/>
            <w:shd w:val="clear" w:color="auto" w:fill="D9D9D9"/>
            <w:vAlign w:val="center"/>
          </w:tcPr>
          <w:p w14:paraId="70BDDC4B" w14:textId="77777777" w:rsidR="009C33AD" w:rsidRDefault="009C33AD">
            <w:pPr>
              <w:pStyle w:val="a0"/>
              <w:adjustRightInd w:val="0"/>
              <w:snapToGrid w:val="0"/>
              <w:spacing w:after="0"/>
              <w:rPr>
                <w:rFonts w:ascii="Times New Roman" w:hAnsi="Times New Roman" w:cs="Times New Roman"/>
                <w:bCs/>
                <w:color w:val="000000"/>
                <w:lang w:val="en-US" w:eastAsia="zh-CN"/>
              </w:rPr>
            </w:pPr>
          </w:p>
        </w:tc>
        <w:tc>
          <w:tcPr>
            <w:tcW w:w="7700" w:type="dxa"/>
            <w:gridSpan w:val="2"/>
            <w:vAlign w:val="center"/>
          </w:tcPr>
          <w:p w14:paraId="3EB9119F"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A8"/>
            </w:r>
            <w:r>
              <w:rPr>
                <w:rFonts w:ascii="Times New Roman" w:hAnsi="Times New Roman" w:cs="Times New Roman"/>
                <w:bCs/>
                <w:color w:val="000000"/>
                <w:lang w:eastAsia="zh-CN"/>
              </w:rPr>
              <w:t xml:space="preserve"> 4</w:t>
            </w:r>
            <w:r>
              <w:rPr>
                <w:rFonts w:ascii="Times New Roman" w:hAnsi="Times New Roman" w:cs="Times New Roman"/>
                <w:bCs/>
                <w:color w:val="000000"/>
                <w:lang w:eastAsia="zh-CN"/>
              </w:rPr>
              <w:t>、参与集中的经营者在中国境外设立合营企业，合营企业不在中国境内从事经济活动。</w:t>
            </w:r>
          </w:p>
        </w:tc>
      </w:tr>
      <w:tr w:rsidR="009C33AD" w14:paraId="4C8D3385" w14:textId="77777777">
        <w:trPr>
          <w:trHeight w:val="20"/>
        </w:trPr>
        <w:tc>
          <w:tcPr>
            <w:tcW w:w="1940" w:type="dxa"/>
            <w:vMerge/>
            <w:shd w:val="clear" w:color="auto" w:fill="D9D9D9"/>
            <w:vAlign w:val="center"/>
          </w:tcPr>
          <w:p w14:paraId="792855CE" w14:textId="77777777" w:rsidR="009C33AD" w:rsidRDefault="009C33AD">
            <w:pPr>
              <w:pStyle w:val="a0"/>
              <w:adjustRightInd w:val="0"/>
              <w:snapToGrid w:val="0"/>
              <w:spacing w:after="0"/>
              <w:rPr>
                <w:rFonts w:ascii="Times New Roman" w:hAnsi="Times New Roman" w:cs="Times New Roman"/>
                <w:bCs/>
                <w:color w:val="000000"/>
                <w:lang w:val="en-US" w:eastAsia="zh-CN"/>
              </w:rPr>
            </w:pPr>
          </w:p>
        </w:tc>
        <w:tc>
          <w:tcPr>
            <w:tcW w:w="7700" w:type="dxa"/>
            <w:gridSpan w:val="2"/>
            <w:vAlign w:val="center"/>
          </w:tcPr>
          <w:p w14:paraId="1B70AC42"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A8"/>
            </w:r>
            <w:r>
              <w:rPr>
                <w:rFonts w:ascii="Times New Roman" w:hAnsi="Times New Roman" w:cs="Times New Roman"/>
                <w:bCs/>
                <w:color w:val="000000"/>
                <w:lang w:eastAsia="zh-CN"/>
              </w:rPr>
              <w:t xml:space="preserve"> 5</w:t>
            </w:r>
            <w:r>
              <w:rPr>
                <w:rFonts w:ascii="Times New Roman" w:hAnsi="Times New Roman" w:cs="Times New Roman"/>
                <w:bCs/>
                <w:color w:val="000000"/>
                <w:lang w:eastAsia="zh-CN"/>
              </w:rPr>
              <w:t>、参与集中的经营者收购境外企业股权或资产的，该境外企业不在中国境内从事经济活动。</w:t>
            </w:r>
          </w:p>
        </w:tc>
      </w:tr>
      <w:tr w:rsidR="009C33AD" w14:paraId="085353A7" w14:textId="77777777">
        <w:trPr>
          <w:trHeight w:val="20"/>
        </w:trPr>
        <w:tc>
          <w:tcPr>
            <w:tcW w:w="1940" w:type="dxa"/>
            <w:vMerge/>
            <w:shd w:val="clear" w:color="auto" w:fill="D9D9D9"/>
            <w:vAlign w:val="center"/>
          </w:tcPr>
          <w:p w14:paraId="5FFE6376" w14:textId="77777777" w:rsidR="009C33AD" w:rsidRDefault="009C33AD">
            <w:pPr>
              <w:pStyle w:val="a0"/>
              <w:adjustRightInd w:val="0"/>
              <w:snapToGrid w:val="0"/>
              <w:spacing w:after="0"/>
              <w:rPr>
                <w:rFonts w:ascii="Times New Roman" w:hAnsi="Times New Roman" w:cs="Times New Roman"/>
                <w:bCs/>
                <w:color w:val="000000"/>
                <w:lang w:val="en-US" w:eastAsia="zh-CN"/>
              </w:rPr>
            </w:pPr>
          </w:p>
        </w:tc>
        <w:tc>
          <w:tcPr>
            <w:tcW w:w="7700" w:type="dxa"/>
            <w:gridSpan w:val="2"/>
            <w:vAlign w:val="center"/>
          </w:tcPr>
          <w:p w14:paraId="3D3A8028"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sym w:font="Wingdings" w:char="00A8"/>
            </w:r>
            <w:r>
              <w:rPr>
                <w:rFonts w:ascii="Times New Roman" w:hAnsi="Times New Roman" w:cs="Times New Roman"/>
                <w:bCs/>
                <w:color w:val="000000"/>
                <w:lang w:eastAsia="zh-CN"/>
              </w:rPr>
              <w:t xml:space="preserve"> 6</w:t>
            </w:r>
            <w:r>
              <w:rPr>
                <w:rFonts w:ascii="Times New Roman" w:hAnsi="Times New Roman" w:cs="Times New Roman"/>
                <w:bCs/>
                <w:color w:val="000000"/>
                <w:lang w:eastAsia="zh-CN"/>
              </w:rPr>
              <w:t>、由两个以上的经营者共同控制的合营企业，通过集中被其中一个或一个以上经营者控制。</w:t>
            </w:r>
          </w:p>
        </w:tc>
      </w:tr>
      <w:tr w:rsidR="009C33AD" w14:paraId="025EE5A2" w14:textId="77777777">
        <w:trPr>
          <w:trHeight w:val="20"/>
        </w:trPr>
        <w:tc>
          <w:tcPr>
            <w:tcW w:w="1940" w:type="dxa"/>
            <w:shd w:val="clear" w:color="auto" w:fill="D9D9D9"/>
            <w:vAlign w:val="center"/>
          </w:tcPr>
          <w:p w14:paraId="7FBCEE54" w14:textId="77777777"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val="en-US" w:eastAsia="zh-CN"/>
              </w:rPr>
              <w:t>备注</w:t>
            </w:r>
          </w:p>
        </w:tc>
        <w:tc>
          <w:tcPr>
            <w:tcW w:w="7700" w:type="dxa"/>
            <w:gridSpan w:val="2"/>
            <w:vAlign w:val="center"/>
          </w:tcPr>
          <w:p w14:paraId="0E10035B" w14:textId="77777777" w:rsidR="009C33AD" w:rsidRDefault="00AB4E95">
            <w:pPr>
              <w:pStyle w:val="a0"/>
              <w:adjustRightInd w:val="0"/>
              <w:snapToGrid w:val="0"/>
              <w:spacing w:after="0"/>
              <w:rPr>
                <w:rFonts w:ascii="Times New Roman" w:hAnsi="Times New Roman" w:cs="Times New Roman"/>
                <w:b/>
                <w:color w:val="000000"/>
                <w:lang w:eastAsia="zh-CN"/>
              </w:rPr>
            </w:pPr>
            <w:r>
              <w:rPr>
                <w:rFonts w:ascii="Times New Roman" w:hAnsi="Times New Roman" w:cs="Times New Roman"/>
                <w:b/>
                <w:color w:val="000000"/>
                <w:lang w:eastAsia="zh-CN"/>
              </w:rPr>
              <w:t>横向重叠：</w:t>
            </w:r>
          </w:p>
          <w:p w14:paraId="175D70D6" w14:textId="266161F9"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bCs/>
                <w:color w:val="000000"/>
                <w:lang w:eastAsia="zh-CN"/>
              </w:rPr>
              <w:t>202</w:t>
            </w:r>
            <w:r w:rsidR="00D17DF8">
              <w:rPr>
                <w:rFonts w:ascii="Times New Roman" w:hAnsi="Times New Roman" w:cs="Times New Roman"/>
                <w:bCs/>
                <w:color w:val="000000"/>
                <w:lang w:val="en-US" w:eastAsia="zh-CN"/>
              </w:rPr>
              <w:t>4</w:t>
            </w:r>
            <w:r>
              <w:rPr>
                <w:rFonts w:ascii="Times New Roman" w:hAnsi="Times New Roman" w:cs="Times New Roman"/>
                <w:bCs/>
                <w:color w:val="000000"/>
                <w:lang w:val="en-US" w:eastAsia="zh-CN"/>
              </w:rPr>
              <w:t>年</w:t>
            </w:r>
            <w:r w:rsidR="000B2265">
              <w:rPr>
                <w:rFonts w:ascii="Times New Roman" w:hAnsi="Times New Roman" w:cs="Times New Roman" w:hint="eastAsia"/>
                <w:bCs/>
                <w:color w:val="000000"/>
                <w:lang w:val="en-US" w:eastAsia="zh-CN"/>
              </w:rPr>
              <w:t>中国境内</w:t>
            </w:r>
            <w:r>
              <w:rPr>
                <w:rFonts w:ascii="Times New Roman" w:hAnsi="Times New Roman" w:cs="Times New Roman" w:hint="eastAsia"/>
                <w:bCs/>
                <w:color w:val="000000"/>
                <w:lang w:val="en-US" w:eastAsia="zh-CN"/>
              </w:rPr>
              <w:t>信息系统集成服务</w:t>
            </w:r>
            <w:r>
              <w:rPr>
                <w:rFonts w:ascii="Times New Roman" w:hAnsi="Times New Roman" w:cs="Times New Roman"/>
                <w:bCs/>
                <w:color w:val="000000"/>
                <w:lang w:val="en-US" w:eastAsia="zh-CN"/>
              </w:rPr>
              <w:t>市场：</w:t>
            </w:r>
          </w:p>
          <w:p w14:paraId="76BE6CBF" w14:textId="0907932D" w:rsidR="009C33AD" w:rsidRDefault="00AB4E95">
            <w:pPr>
              <w:pStyle w:val="a0"/>
              <w:adjustRightInd w:val="0"/>
              <w:snapToGrid w:val="0"/>
              <w:spacing w:after="0"/>
              <w:rPr>
                <w:rFonts w:ascii="Times New Roman" w:hAnsi="Times New Roman" w:cs="Times New Roman"/>
                <w:bCs/>
                <w:color w:val="000000"/>
                <w:lang w:val="en-US" w:eastAsia="zh-CN"/>
              </w:rPr>
            </w:pPr>
            <w:r>
              <w:rPr>
                <w:rFonts w:ascii="Times New Roman" w:hAnsi="Times New Roman" w:cs="Times New Roman" w:hint="eastAsia"/>
                <w:bCs/>
                <w:color w:val="000000"/>
                <w:lang w:val="en-US" w:eastAsia="zh-CN"/>
              </w:rPr>
              <w:t>江苏公用信息</w:t>
            </w:r>
            <w:r>
              <w:rPr>
                <w:rFonts w:ascii="Times New Roman" w:hAnsi="Times New Roman" w:cs="Times New Roman"/>
                <w:bCs/>
                <w:color w:val="000000"/>
                <w:lang w:val="en-US" w:eastAsia="zh-CN"/>
              </w:rPr>
              <w:t>：</w:t>
            </w:r>
            <w:r>
              <w:rPr>
                <w:rFonts w:ascii="Times New Roman" w:hAnsi="Times New Roman" w:cs="Times New Roman" w:hint="eastAsia"/>
                <w:bCs/>
                <w:color w:val="000000"/>
                <w:lang w:val="en-US" w:eastAsia="zh-CN"/>
              </w:rPr>
              <w:t>0-</w:t>
            </w:r>
            <w:r>
              <w:rPr>
                <w:rFonts w:ascii="Times New Roman" w:hAnsi="Times New Roman" w:cs="Times New Roman"/>
                <w:bCs/>
                <w:color w:val="000000"/>
                <w:lang w:eastAsia="zh-CN"/>
              </w:rPr>
              <w:t>5</w:t>
            </w:r>
            <w:r>
              <w:rPr>
                <w:rFonts w:ascii="Times New Roman" w:hAnsi="Times New Roman" w:cs="Times New Roman"/>
                <w:bCs/>
                <w:color w:val="000000"/>
                <w:lang w:val="en-US" w:eastAsia="zh-CN"/>
              </w:rPr>
              <w:t>%</w:t>
            </w:r>
            <w:r>
              <w:rPr>
                <w:rFonts w:ascii="Times New Roman" w:hAnsi="Times New Roman" w:cs="Times New Roman" w:hint="eastAsia"/>
                <w:bCs/>
                <w:color w:val="000000"/>
                <w:lang w:val="en-US" w:eastAsia="zh-CN"/>
              </w:rPr>
              <w:t>，</w:t>
            </w:r>
            <w:r w:rsidR="00E63B49">
              <w:rPr>
                <w:rFonts w:ascii="Times New Roman" w:hAnsi="Times New Roman" w:cs="Times New Roman" w:hint="eastAsia"/>
                <w:bCs/>
                <w:color w:val="000000"/>
                <w:lang w:val="en-US" w:eastAsia="zh-Hans"/>
              </w:rPr>
              <w:t>泰州城发数科</w:t>
            </w:r>
            <w:r>
              <w:rPr>
                <w:rFonts w:ascii="Times New Roman" w:hAnsi="Times New Roman" w:cs="Times New Roman"/>
                <w:bCs/>
                <w:color w:val="000000"/>
                <w:lang w:val="en-US" w:eastAsia="zh-CN"/>
              </w:rPr>
              <w:t>：</w:t>
            </w:r>
            <w:r>
              <w:rPr>
                <w:rFonts w:ascii="Times New Roman" w:hAnsi="Times New Roman" w:cs="Times New Roman"/>
                <w:bCs/>
                <w:color w:val="000000"/>
                <w:lang w:val="en-US" w:eastAsia="zh-CN"/>
              </w:rPr>
              <w:t>0-5%</w:t>
            </w:r>
            <w:r>
              <w:rPr>
                <w:rFonts w:ascii="Times New Roman" w:hAnsi="Times New Roman" w:cs="Times New Roman"/>
                <w:bCs/>
                <w:color w:val="000000"/>
                <w:lang w:val="en-US" w:eastAsia="zh-CN"/>
              </w:rPr>
              <w:t>，各方合计：</w:t>
            </w:r>
            <w:r>
              <w:rPr>
                <w:rFonts w:ascii="Times New Roman" w:hAnsi="Times New Roman" w:cs="Times New Roman" w:hint="eastAsia"/>
                <w:bCs/>
                <w:color w:val="000000"/>
                <w:lang w:val="en-US" w:eastAsia="zh-CN"/>
              </w:rPr>
              <w:t>0-</w:t>
            </w:r>
            <w:r>
              <w:rPr>
                <w:rFonts w:ascii="Times New Roman" w:hAnsi="Times New Roman" w:cs="Times New Roman"/>
                <w:bCs/>
                <w:color w:val="000000"/>
                <w:lang w:eastAsia="zh-CN"/>
              </w:rPr>
              <w:t>5</w:t>
            </w:r>
            <w:r>
              <w:rPr>
                <w:rFonts w:ascii="Times New Roman" w:hAnsi="Times New Roman" w:cs="Times New Roman"/>
                <w:bCs/>
                <w:color w:val="000000"/>
                <w:lang w:val="en-US" w:eastAsia="zh-CN"/>
              </w:rPr>
              <w:t>%</w:t>
            </w:r>
          </w:p>
        </w:tc>
      </w:tr>
    </w:tbl>
    <w:p w14:paraId="0D9C3047" w14:textId="77777777" w:rsidR="009C33AD" w:rsidRDefault="009C33AD">
      <w:pPr>
        <w:pStyle w:val="a0"/>
        <w:rPr>
          <w:rFonts w:ascii="宋体" w:hAnsi="宋体" w:cs="宋体"/>
          <w:bCs/>
          <w:color w:val="000000"/>
          <w:sz w:val="28"/>
          <w:szCs w:val="28"/>
          <w:lang w:eastAsia="zh-CN"/>
        </w:rPr>
      </w:pPr>
    </w:p>
    <w:sectPr w:rsidR="009C33AD">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EE09" w14:textId="77777777" w:rsidR="00D11364" w:rsidRDefault="00D11364">
      <w:pPr>
        <w:spacing w:after="0"/>
      </w:pPr>
      <w:r>
        <w:separator/>
      </w:r>
    </w:p>
  </w:endnote>
  <w:endnote w:type="continuationSeparator" w:id="0">
    <w:p w14:paraId="0D610D93" w14:textId="77777777" w:rsidR="00D11364" w:rsidRDefault="00D11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7"/>
      <w:gridCol w:w="3011"/>
      <w:gridCol w:w="3008"/>
    </w:tblGrid>
    <w:tr w:rsidR="009C33AD" w14:paraId="5D97F514" w14:textId="77777777">
      <w:tc>
        <w:tcPr>
          <w:tcW w:w="3080" w:type="dxa"/>
        </w:tcPr>
        <w:p w14:paraId="6278C3BD" w14:textId="77777777" w:rsidR="009C33AD" w:rsidRDefault="009C33AD">
          <w:pPr>
            <w:pStyle w:val="aff4"/>
          </w:pPr>
        </w:p>
      </w:tc>
      <w:tc>
        <w:tcPr>
          <w:tcW w:w="3081" w:type="dxa"/>
        </w:tcPr>
        <w:p w14:paraId="4DFA09DE" w14:textId="77777777" w:rsidR="009C33AD" w:rsidRDefault="00AB4E95">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Pr>
              <w:rStyle w:val="affff2"/>
              <w:rFonts w:cs="Times New Roman"/>
            </w:rPr>
            <w:t>2</w:t>
          </w:r>
          <w:r>
            <w:rPr>
              <w:rStyle w:val="affff2"/>
              <w:rFonts w:cs="Times New Roman"/>
            </w:rPr>
            <w:fldChar w:fldCharType="end"/>
          </w:r>
          <w:r>
            <w:rPr>
              <w:rStyle w:val="affff2"/>
              <w:rFonts w:cs="Times New Roman"/>
            </w:rPr>
            <w:t xml:space="preserve"> -</w:t>
          </w:r>
        </w:p>
      </w:tc>
      <w:tc>
        <w:tcPr>
          <w:tcW w:w="3081" w:type="dxa"/>
        </w:tcPr>
        <w:p w14:paraId="0C596C2F" w14:textId="77777777" w:rsidR="009C33AD" w:rsidRDefault="009C33AD">
          <w:pPr>
            <w:pStyle w:val="FooterRight"/>
          </w:pPr>
        </w:p>
      </w:tc>
    </w:tr>
  </w:tbl>
  <w:p w14:paraId="29A1EE56" w14:textId="77777777" w:rsidR="009C33AD" w:rsidRDefault="009C33AD">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8DF2" w14:textId="77777777" w:rsidR="00D11364" w:rsidRDefault="00D11364">
      <w:pPr>
        <w:spacing w:after="0"/>
      </w:pPr>
      <w:r>
        <w:separator/>
      </w:r>
    </w:p>
  </w:footnote>
  <w:footnote w:type="continuationSeparator" w:id="0">
    <w:p w14:paraId="630954DF" w14:textId="77777777" w:rsidR="00D11364" w:rsidRDefault="00D113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CAD"/>
    <w:multiLevelType w:val="multilevel"/>
    <w:tmpl w:val="25195CAD"/>
    <w:lvl w:ilvl="0">
      <w:start w:val="1"/>
      <w:numFmt w:val="bullet"/>
      <w:pStyle w:val="BulletL1"/>
      <w:lvlText w:val="·"/>
      <w:lvlJc w:val="left"/>
      <w:pPr>
        <w:tabs>
          <w:tab w:val="left"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left"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left"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left"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left"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left"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left"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left"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left"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7E62522"/>
    <w:multiLevelType w:val="singleLevel"/>
    <w:tmpl w:val="67E62522"/>
    <w:lvl w:ilvl="0">
      <w:start w:val="3"/>
      <w:numFmt w:val="decimal"/>
      <w:suff w:val="space"/>
      <w:lvlText w:val="%1."/>
      <w:lvlJc w:val="left"/>
    </w:lvl>
  </w:abstractNum>
  <w:abstractNum w:abstractNumId="3" w15:restartNumberingAfterBreak="0">
    <w:nsid w:val="6B4F0377"/>
    <w:multiLevelType w:val="multilevel"/>
    <w:tmpl w:val="6B4F0377"/>
    <w:lvl w:ilvl="0">
      <w:start w:val="1"/>
      <w:numFmt w:val="decimal"/>
      <w:pStyle w:val="StandardL1"/>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QzZDlhOWNjNTc2OTk5ZTVhOWYzNTFlOTY3MjFiYWMifQ=="/>
  </w:docVars>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BE6A7C"/>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DFFE377"/>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353E"/>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968B1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9B59A6"/>
    <w:rsid w:val="CFAFA8B3"/>
    <w:rsid w:val="CFBE596F"/>
    <w:rsid w:val="CFDE19B8"/>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BC3BD"/>
    <w:rsid w:val="FCFC0CDA"/>
    <w:rsid w:val="FCFFEB3F"/>
    <w:rsid w:val="FD3C669E"/>
    <w:rsid w:val="FD4E09D2"/>
    <w:rsid w:val="FD57BF19"/>
    <w:rsid w:val="FD5F3B51"/>
    <w:rsid w:val="FD79F038"/>
    <w:rsid w:val="FD7FF81B"/>
    <w:rsid w:val="FD7FFEF2"/>
    <w:rsid w:val="FDB99AD5"/>
    <w:rsid w:val="FDBF40AA"/>
    <w:rsid w:val="FDBF5EF8"/>
    <w:rsid w:val="FDD53DF2"/>
    <w:rsid w:val="FDD56892"/>
    <w:rsid w:val="FDD7CA56"/>
    <w:rsid w:val="FDDF904E"/>
    <w:rsid w:val="FDF3D45D"/>
    <w:rsid w:val="FDF58A61"/>
    <w:rsid w:val="FDF7C04C"/>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BFF2BA"/>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5B559"/>
    <w:rsid w:val="FF9C0707"/>
    <w:rsid w:val="FF9DDC90"/>
    <w:rsid w:val="FF9F9845"/>
    <w:rsid w:val="FFA381E9"/>
    <w:rsid w:val="FFA5209C"/>
    <w:rsid w:val="FFB879F2"/>
    <w:rsid w:val="FFBA9A5A"/>
    <w:rsid w:val="FFBAC180"/>
    <w:rsid w:val="FFBC9A19"/>
    <w:rsid w:val="FFBD73A7"/>
    <w:rsid w:val="FFBF09D8"/>
    <w:rsid w:val="FFBF5F2B"/>
    <w:rsid w:val="FFBF9F10"/>
    <w:rsid w:val="FFBFC585"/>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FF"/>
    <w:rsid w:val="000027BD"/>
    <w:rsid w:val="000150B7"/>
    <w:rsid w:val="00021AB2"/>
    <w:rsid w:val="000326C8"/>
    <w:rsid w:val="00036777"/>
    <w:rsid w:val="00041C40"/>
    <w:rsid w:val="0004292A"/>
    <w:rsid w:val="000467AA"/>
    <w:rsid w:val="00062616"/>
    <w:rsid w:val="00073E6B"/>
    <w:rsid w:val="0007723F"/>
    <w:rsid w:val="00077D60"/>
    <w:rsid w:val="00083590"/>
    <w:rsid w:val="00092F4E"/>
    <w:rsid w:val="00095036"/>
    <w:rsid w:val="000B2265"/>
    <w:rsid w:val="000B58E5"/>
    <w:rsid w:val="000B653C"/>
    <w:rsid w:val="000C6953"/>
    <w:rsid w:val="000E29A9"/>
    <w:rsid w:val="000E3A81"/>
    <w:rsid w:val="00107E19"/>
    <w:rsid w:val="00115F62"/>
    <w:rsid w:val="00123E26"/>
    <w:rsid w:val="00145B05"/>
    <w:rsid w:val="001639D8"/>
    <w:rsid w:val="00186A05"/>
    <w:rsid w:val="001965E2"/>
    <w:rsid w:val="001B4EA1"/>
    <w:rsid w:val="001C5840"/>
    <w:rsid w:val="001D1555"/>
    <w:rsid w:val="001D6168"/>
    <w:rsid w:val="001E0F1F"/>
    <w:rsid w:val="001F346E"/>
    <w:rsid w:val="001F35AA"/>
    <w:rsid w:val="001F367B"/>
    <w:rsid w:val="0020301D"/>
    <w:rsid w:val="00224A7C"/>
    <w:rsid w:val="00225C83"/>
    <w:rsid w:val="002278D1"/>
    <w:rsid w:val="00231665"/>
    <w:rsid w:val="00233737"/>
    <w:rsid w:val="002403B5"/>
    <w:rsid w:val="00245281"/>
    <w:rsid w:val="00250E61"/>
    <w:rsid w:val="00261F94"/>
    <w:rsid w:val="00267941"/>
    <w:rsid w:val="002766A7"/>
    <w:rsid w:val="00287E91"/>
    <w:rsid w:val="00291652"/>
    <w:rsid w:val="00292216"/>
    <w:rsid w:val="002964A1"/>
    <w:rsid w:val="002A25F2"/>
    <w:rsid w:val="002A7C26"/>
    <w:rsid w:val="002F09A7"/>
    <w:rsid w:val="002F5271"/>
    <w:rsid w:val="00306B88"/>
    <w:rsid w:val="00310488"/>
    <w:rsid w:val="00311263"/>
    <w:rsid w:val="0034107F"/>
    <w:rsid w:val="00344D27"/>
    <w:rsid w:val="00352D06"/>
    <w:rsid w:val="0035604C"/>
    <w:rsid w:val="00371332"/>
    <w:rsid w:val="003768A7"/>
    <w:rsid w:val="003850D4"/>
    <w:rsid w:val="00385F00"/>
    <w:rsid w:val="003866EF"/>
    <w:rsid w:val="003A4565"/>
    <w:rsid w:val="003B27EC"/>
    <w:rsid w:val="003B2F86"/>
    <w:rsid w:val="003B4439"/>
    <w:rsid w:val="003B4C9E"/>
    <w:rsid w:val="003B7CBC"/>
    <w:rsid w:val="003C3456"/>
    <w:rsid w:val="003E3B57"/>
    <w:rsid w:val="003E73DB"/>
    <w:rsid w:val="003F7FD1"/>
    <w:rsid w:val="00401186"/>
    <w:rsid w:val="00410914"/>
    <w:rsid w:val="004119F5"/>
    <w:rsid w:val="004166B2"/>
    <w:rsid w:val="004203EF"/>
    <w:rsid w:val="00427E52"/>
    <w:rsid w:val="004413D8"/>
    <w:rsid w:val="00446353"/>
    <w:rsid w:val="0044739B"/>
    <w:rsid w:val="00467A6B"/>
    <w:rsid w:val="0049707A"/>
    <w:rsid w:val="004973DB"/>
    <w:rsid w:val="0049771A"/>
    <w:rsid w:val="004A4BF1"/>
    <w:rsid w:val="004C3420"/>
    <w:rsid w:val="004D018B"/>
    <w:rsid w:val="004D124C"/>
    <w:rsid w:val="004D4435"/>
    <w:rsid w:val="00512A53"/>
    <w:rsid w:val="00520202"/>
    <w:rsid w:val="00523905"/>
    <w:rsid w:val="005251B9"/>
    <w:rsid w:val="00530B37"/>
    <w:rsid w:val="00530BB4"/>
    <w:rsid w:val="00545A47"/>
    <w:rsid w:val="0057200D"/>
    <w:rsid w:val="00574B6D"/>
    <w:rsid w:val="00591CEC"/>
    <w:rsid w:val="005B0CEB"/>
    <w:rsid w:val="005B18A3"/>
    <w:rsid w:val="005C4A6F"/>
    <w:rsid w:val="005D277C"/>
    <w:rsid w:val="005D6D17"/>
    <w:rsid w:val="005D6F1C"/>
    <w:rsid w:val="005E7B2F"/>
    <w:rsid w:val="005F5280"/>
    <w:rsid w:val="005F7223"/>
    <w:rsid w:val="0060413B"/>
    <w:rsid w:val="00605EE6"/>
    <w:rsid w:val="0060669E"/>
    <w:rsid w:val="00614EBB"/>
    <w:rsid w:val="0061583E"/>
    <w:rsid w:val="00617BCA"/>
    <w:rsid w:val="00632159"/>
    <w:rsid w:val="00645B6A"/>
    <w:rsid w:val="00655225"/>
    <w:rsid w:val="00655BE9"/>
    <w:rsid w:val="00664174"/>
    <w:rsid w:val="006643EA"/>
    <w:rsid w:val="00665544"/>
    <w:rsid w:val="0067348D"/>
    <w:rsid w:val="006745A9"/>
    <w:rsid w:val="00682729"/>
    <w:rsid w:val="006B4541"/>
    <w:rsid w:val="006D1D90"/>
    <w:rsid w:val="006D1E2B"/>
    <w:rsid w:val="006E0D98"/>
    <w:rsid w:val="006E3180"/>
    <w:rsid w:val="006E6E26"/>
    <w:rsid w:val="006E70AA"/>
    <w:rsid w:val="006F7A98"/>
    <w:rsid w:val="007029CB"/>
    <w:rsid w:val="00705778"/>
    <w:rsid w:val="0071373B"/>
    <w:rsid w:val="00720F7B"/>
    <w:rsid w:val="00722AEF"/>
    <w:rsid w:val="00726B19"/>
    <w:rsid w:val="00727BD0"/>
    <w:rsid w:val="007373F0"/>
    <w:rsid w:val="007428E9"/>
    <w:rsid w:val="00742AFE"/>
    <w:rsid w:val="00742EDF"/>
    <w:rsid w:val="00746BB6"/>
    <w:rsid w:val="007475C8"/>
    <w:rsid w:val="00751420"/>
    <w:rsid w:val="007674D7"/>
    <w:rsid w:val="00772298"/>
    <w:rsid w:val="00792CD5"/>
    <w:rsid w:val="00794062"/>
    <w:rsid w:val="00797584"/>
    <w:rsid w:val="007A2D94"/>
    <w:rsid w:val="007B651A"/>
    <w:rsid w:val="007B6ED8"/>
    <w:rsid w:val="007B75E4"/>
    <w:rsid w:val="007E2608"/>
    <w:rsid w:val="007F1726"/>
    <w:rsid w:val="0080200E"/>
    <w:rsid w:val="00803A33"/>
    <w:rsid w:val="008051ED"/>
    <w:rsid w:val="00811775"/>
    <w:rsid w:val="008248B2"/>
    <w:rsid w:val="00834D88"/>
    <w:rsid w:val="00864085"/>
    <w:rsid w:val="00871590"/>
    <w:rsid w:val="008803D0"/>
    <w:rsid w:val="00880F24"/>
    <w:rsid w:val="008836AF"/>
    <w:rsid w:val="00885C9B"/>
    <w:rsid w:val="00893879"/>
    <w:rsid w:val="00893E7C"/>
    <w:rsid w:val="008B2172"/>
    <w:rsid w:val="008C1D2A"/>
    <w:rsid w:val="008C7B45"/>
    <w:rsid w:val="008D4ED8"/>
    <w:rsid w:val="008D644E"/>
    <w:rsid w:val="008E5BCA"/>
    <w:rsid w:val="009022B0"/>
    <w:rsid w:val="00905F4A"/>
    <w:rsid w:val="009145E4"/>
    <w:rsid w:val="009301D9"/>
    <w:rsid w:val="0094346F"/>
    <w:rsid w:val="00953187"/>
    <w:rsid w:val="009551E9"/>
    <w:rsid w:val="0096333E"/>
    <w:rsid w:val="009668EC"/>
    <w:rsid w:val="00977C3B"/>
    <w:rsid w:val="00982600"/>
    <w:rsid w:val="009901B5"/>
    <w:rsid w:val="009A0BCC"/>
    <w:rsid w:val="009A2EFA"/>
    <w:rsid w:val="009A30A0"/>
    <w:rsid w:val="009A57C5"/>
    <w:rsid w:val="009A6CD4"/>
    <w:rsid w:val="009A6E66"/>
    <w:rsid w:val="009B0211"/>
    <w:rsid w:val="009C16F8"/>
    <w:rsid w:val="009C1DE7"/>
    <w:rsid w:val="009C33AD"/>
    <w:rsid w:val="009C5625"/>
    <w:rsid w:val="009C5962"/>
    <w:rsid w:val="009D0999"/>
    <w:rsid w:val="009F0698"/>
    <w:rsid w:val="00A05705"/>
    <w:rsid w:val="00A16F03"/>
    <w:rsid w:val="00A21136"/>
    <w:rsid w:val="00A3323A"/>
    <w:rsid w:val="00A46C66"/>
    <w:rsid w:val="00A46FAF"/>
    <w:rsid w:val="00A5674A"/>
    <w:rsid w:val="00A623EF"/>
    <w:rsid w:val="00A64F91"/>
    <w:rsid w:val="00A66D87"/>
    <w:rsid w:val="00A7438D"/>
    <w:rsid w:val="00A74797"/>
    <w:rsid w:val="00A7601D"/>
    <w:rsid w:val="00A77EA9"/>
    <w:rsid w:val="00A81984"/>
    <w:rsid w:val="00A90AB3"/>
    <w:rsid w:val="00A96B71"/>
    <w:rsid w:val="00AA0F23"/>
    <w:rsid w:val="00AA3E2F"/>
    <w:rsid w:val="00AA46CA"/>
    <w:rsid w:val="00AA535B"/>
    <w:rsid w:val="00AB4E95"/>
    <w:rsid w:val="00AC3273"/>
    <w:rsid w:val="00AC68C4"/>
    <w:rsid w:val="00AD310D"/>
    <w:rsid w:val="00AD3D4D"/>
    <w:rsid w:val="00AE2900"/>
    <w:rsid w:val="00AE4069"/>
    <w:rsid w:val="00AE7916"/>
    <w:rsid w:val="00AF09EA"/>
    <w:rsid w:val="00AF1D6D"/>
    <w:rsid w:val="00AF5632"/>
    <w:rsid w:val="00B04913"/>
    <w:rsid w:val="00B2169A"/>
    <w:rsid w:val="00B31D4D"/>
    <w:rsid w:val="00B3616B"/>
    <w:rsid w:val="00B37633"/>
    <w:rsid w:val="00B518C9"/>
    <w:rsid w:val="00B52EAC"/>
    <w:rsid w:val="00B54969"/>
    <w:rsid w:val="00B635BB"/>
    <w:rsid w:val="00B75CA6"/>
    <w:rsid w:val="00B80B9E"/>
    <w:rsid w:val="00B838DA"/>
    <w:rsid w:val="00B86E3A"/>
    <w:rsid w:val="00B96220"/>
    <w:rsid w:val="00BA017F"/>
    <w:rsid w:val="00BD426D"/>
    <w:rsid w:val="00BD535F"/>
    <w:rsid w:val="00BE6E64"/>
    <w:rsid w:val="00BF31B7"/>
    <w:rsid w:val="00BF4F99"/>
    <w:rsid w:val="00C10048"/>
    <w:rsid w:val="00C30E9B"/>
    <w:rsid w:val="00C350A3"/>
    <w:rsid w:val="00C424FC"/>
    <w:rsid w:val="00C51ECC"/>
    <w:rsid w:val="00C600D9"/>
    <w:rsid w:val="00C67ADA"/>
    <w:rsid w:val="00C810E8"/>
    <w:rsid w:val="00C847C2"/>
    <w:rsid w:val="00CA1B9C"/>
    <w:rsid w:val="00CA6613"/>
    <w:rsid w:val="00CB12D4"/>
    <w:rsid w:val="00CC69AD"/>
    <w:rsid w:val="00CF1664"/>
    <w:rsid w:val="00CF5A8A"/>
    <w:rsid w:val="00D01278"/>
    <w:rsid w:val="00D11364"/>
    <w:rsid w:val="00D12AB1"/>
    <w:rsid w:val="00D17DF8"/>
    <w:rsid w:val="00D23B36"/>
    <w:rsid w:val="00D27AEB"/>
    <w:rsid w:val="00D53BAE"/>
    <w:rsid w:val="00D57DBA"/>
    <w:rsid w:val="00D57EBC"/>
    <w:rsid w:val="00D64B94"/>
    <w:rsid w:val="00D71F76"/>
    <w:rsid w:val="00D77095"/>
    <w:rsid w:val="00D80573"/>
    <w:rsid w:val="00D94BB1"/>
    <w:rsid w:val="00D961C9"/>
    <w:rsid w:val="00D97B80"/>
    <w:rsid w:val="00DA1D73"/>
    <w:rsid w:val="00DB2761"/>
    <w:rsid w:val="00DB2FF6"/>
    <w:rsid w:val="00DD0E0C"/>
    <w:rsid w:val="00DD7765"/>
    <w:rsid w:val="00DE522D"/>
    <w:rsid w:val="00E23955"/>
    <w:rsid w:val="00E417DF"/>
    <w:rsid w:val="00E47327"/>
    <w:rsid w:val="00E63B49"/>
    <w:rsid w:val="00E7385D"/>
    <w:rsid w:val="00E80639"/>
    <w:rsid w:val="00E86579"/>
    <w:rsid w:val="00E90A19"/>
    <w:rsid w:val="00E974F8"/>
    <w:rsid w:val="00EA79DA"/>
    <w:rsid w:val="00EC636E"/>
    <w:rsid w:val="00EC7E55"/>
    <w:rsid w:val="00ED6F93"/>
    <w:rsid w:val="00EE7CB8"/>
    <w:rsid w:val="00EF16FB"/>
    <w:rsid w:val="00F02216"/>
    <w:rsid w:val="00F0291C"/>
    <w:rsid w:val="00F101DD"/>
    <w:rsid w:val="00F14193"/>
    <w:rsid w:val="00F14D59"/>
    <w:rsid w:val="00F20CCE"/>
    <w:rsid w:val="00F3614E"/>
    <w:rsid w:val="00F503F8"/>
    <w:rsid w:val="00F52351"/>
    <w:rsid w:val="00F56870"/>
    <w:rsid w:val="00F576E0"/>
    <w:rsid w:val="00F6440C"/>
    <w:rsid w:val="00F901CF"/>
    <w:rsid w:val="00F906EF"/>
    <w:rsid w:val="00FB33FD"/>
    <w:rsid w:val="00FB645E"/>
    <w:rsid w:val="00FC35ED"/>
    <w:rsid w:val="00FD6CD9"/>
    <w:rsid w:val="00FE20D9"/>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5E39FA"/>
    <w:rsid w:val="17853B73"/>
    <w:rsid w:val="17AFEFC6"/>
    <w:rsid w:val="17EE000C"/>
    <w:rsid w:val="19AE685E"/>
    <w:rsid w:val="19DFB821"/>
    <w:rsid w:val="1BDF5A24"/>
    <w:rsid w:val="1BE7A6FD"/>
    <w:rsid w:val="1D7FD58E"/>
    <w:rsid w:val="1DBFC80F"/>
    <w:rsid w:val="1DE01993"/>
    <w:rsid w:val="1DE946ED"/>
    <w:rsid w:val="1DEDD446"/>
    <w:rsid w:val="1EF7132E"/>
    <w:rsid w:val="1F7BCE5F"/>
    <w:rsid w:val="1F861F45"/>
    <w:rsid w:val="1FEF570A"/>
    <w:rsid w:val="1FF7DA78"/>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ADFE313"/>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59147B"/>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476729"/>
    <w:rsid w:val="449B372C"/>
    <w:rsid w:val="46A57E86"/>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4FDF6D91"/>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EE16B7"/>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9B4ED4"/>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CB398D"/>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24F848"/>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271E"/>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B1B7F"/>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296C0"/>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 w:val="7FFFB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615F"/>
  <w15:docId w15:val="{EA9C5D19-68FC-43B7-A406-DE6BF17A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paragraph" w:styleId="a0">
    <w:name w:val="Body Text"/>
    <w:basedOn w:val="a"/>
    <w:link w:val="a6"/>
    <w:rPr>
      <w:rFonts w:cs="Simplified Arabic"/>
      <w:lang w:eastAsia="en-GB"/>
    </w:rPr>
  </w:style>
  <w:style w:type="paragraph" w:styleId="31">
    <w:name w:val="List 3"/>
    <w:basedOn w:val="a"/>
    <w:pPr>
      <w:ind w:left="1080" w:hanging="360"/>
      <w:contextualSpacing/>
    </w:pPr>
  </w:style>
  <w:style w:type="paragraph" w:styleId="TOC7">
    <w:name w:val="toc 7"/>
    <w:basedOn w:val="a"/>
    <w:next w:val="a"/>
    <w:pPr>
      <w:ind w:left="1440"/>
    </w:pPr>
  </w:style>
  <w:style w:type="paragraph" w:styleId="a7">
    <w:name w:val="table of authorities"/>
    <w:basedOn w:val="a"/>
    <w:next w:val="a"/>
    <w:pPr>
      <w:ind w:left="240" w:hanging="240"/>
    </w:pPr>
  </w:style>
  <w:style w:type="paragraph" w:styleId="a8">
    <w:name w:val="Note Heading"/>
    <w:basedOn w:val="a"/>
    <w:next w:val="a"/>
    <w:link w:val="a9"/>
    <w:rPr>
      <w:rFonts w:cs="Simplified Arabic"/>
    </w:rPr>
  </w:style>
  <w:style w:type="paragraph" w:styleId="81">
    <w:name w:val="index 8"/>
    <w:basedOn w:val="a"/>
    <w:next w:val="a"/>
    <w:pPr>
      <w:ind w:left="1920" w:hanging="240"/>
    </w:pPr>
  </w:style>
  <w:style w:type="paragraph" w:styleId="aa">
    <w:name w:val="E-mail Signature"/>
    <w:basedOn w:val="a"/>
    <w:link w:val="ab"/>
    <w:rPr>
      <w:rFonts w:cs="Simplified Arabic"/>
    </w:rPr>
  </w:style>
  <w:style w:type="paragraph" w:styleId="ac">
    <w:name w:val="Normal Indent"/>
    <w:basedOn w:val="a"/>
    <w:pPr>
      <w:ind w:left="720"/>
    </w:pPr>
  </w:style>
  <w:style w:type="paragraph" w:styleId="ad">
    <w:name w:val="caption"/>
    <w:basedOn w:val="a"/>
    <w:next w:val="a"/>
    <w:qFormat/>
    <w:rPr>
      <w:b/>
      <w:bCs/>
      <w:sz w:val="20"/>
      <w:szCs w:val="20"/>
    </w:rPr>
  </w:style>
  <w:style w:type="paragraph" w:styleId="51">
    <w:name w:val="index 5"/>
    <w:basedOn w:val="a"/>
    <w:next w:val="a"/>
    <w:pPr>
      <w:ind w:left="1200" w:hanging="240"/>
    </w:pPr>
  </w:style>
  <w:style w:type="paragraph" w:styleId="ae">
    <w:name w:val="envelope address"/>
    <w:basedOn w:val="a"/>
    <w:pPr>
      <w:framePr w:w="7920" w:h="1980" w:hRule="exact" w:hSpace="180" w:wrap="auto" w:hAnchor="page" w:xAlign="center" w:yAlign="bottom"/>
      <w:ind w:left="2880"/>
    </w:pPr>
    <w:rPr>
      <w:rFonts w:cs="Simplified Arabic"/>
    </w:rPr>
  </w:style>
  <w:style w:type="paragraph" w:styleId="af">
    <w:name w:val="Document Map"/>
    <w:basedOn w:val="a"/>
    <w:link w:val="af0"/>
    <w:rPr>
      <w:rFonts w:ascii="Tahoma" w:hAnsi="Tahoma" w:cs="Tahoma"/>
      <w:sz w:val="16"/>
      <w:szCs w:val="16"/>
    </w:rPr>
  </w:style>
  <w:style w:type="paragraph" w:styleId="af1">
    <w:name w:val="toa heading"/>
    <w:basedOn w:val="a"/>
    <w:next w:val="a"/>
    <w:pPr>
      <w:spacing w:before="120"/>
    </w:pPr>
    <w:rPr>
      <w:rFonts w:cs="Simplified Arabic"/>
      <w:b/>
      <w:bCs/>
    </w:rPr>
  </w:style>
  <w:style w:type="paragraph" w:styleId="af2">
    <w:name w:val="annotation text"/>
    <w:basedOn w:val="a"/>
    <w:link w:val="af3"/>
    <w:pPr>
      <w:spacing w:after="120"/>
    </w:pPr>
    <w:rPr>
      <w:rFonts w:cs="Simplified Arabic"/>
      <w:sz w:val="20"/>
      <w:szCs w:val="20"/>
    </w:rPr>
  </w:style>
  <w:style w:type="paragraph" w:styleId="61">
    <w:name w:val="index 6"/>
    <w:basedOn w:val="a"/>
    <w:next w:val="a"/>
    <w:pPr>
      <w:ind w:left="1440" w:hanging="240"/>
    </w:pPr>
  </w:style>
  <w:style w:type="paragraph" w:styleId="af4">
    <w:name w:val="Salutation"/>
    <w:basedOn w:val="a"/>
    <w:next w:val="a"/>
    <w:link w:val="af5"/>
    <w:rPr>
      <w:rFonts w:cs="Simplified Arabic"/>
    </w:rPr>
  </w:style>
  <w:style w:type="paragraph" w:styleId="32">
    <w:name w:val="Body Text 3"/>
    <w:basedOn w:val="a"/>
    <w:link w:val="33"/>
    <w:pPr>
      <w:ind w:left="2160"/>
    </w:pPr>
    <w:rPr>
      <w:rFonts w:cs="Simplified Arabic"/>
      <w:lang w:eastAsia="en-GB"/>
    </w:rPr>
  </w:style>
  <w:style w:type="paragraph" w:styleId="af6">
    <w:name w:val="Closing"/>
    <w:basedOn w:val="a"/>
    <w:link w:val="af7"/>
    <w:pPr>
      <w:ind w:left="4320"/>
    </w:pPr>
    <w:rPr>
      <w:rFonts w:cs="Simplified Arabic"/>
    </w:rPr>
  </w:style>
  <w:style w:type="paragraph" w:styleId="af8">
    <w:name w:val="Body Text Indent"/>
    <w:basedOn w:val="a"/>
    <w:link w:val="af9"/>
    <w:pPr>
      <w:spacing w:after="120"/>
      <w:ind w:left="283"/>
    </w:pPr>
    <w:rPr>
      <w:rFonts w:cs="Simplified Arabic"/>
    </w:rPr>
  </w:style>
  <w:style w:type="paragraph" w:styleId="21">
    <w:name w:val="List 2"/>
    <w:basedOn w:val="a"/>
    <w:pPr>
      <w:ind w:left="720" w:hanging="360"/>
      <w:contextualSpacing/>
    </w:pPr>
  </w:style>
  <w:style w:type="paragraph" w:styleId="afa">
    <w:name w:val="List Continue"/>
    <w:basedOn w:val="a"/>
    <w:pPr>
      <w:spacing w:after="120"/>
      <w:ind w:left="360"/>
      <w:contextualSpacing/>
    </w:pPr>
  </w:style>
  <w:style w:type="paragraph" w:styleId="afb">
    <w:name w:val="Block Text"/>
    <w:basedOn w:val="a"/>
    <w:pPr>
      <w:spacing w:after="120"/>
      <w:ind w:left="1440" w:right="1440"/>
    </w:pPr>
  </w:style>
  <w:style w:type="paragraph" w:styleId="HTML">
    <w:name w:val="HTML Address"/>
    <w:basedOn w:val="a"/>
    <w:link w:val="HTML0"/>
    <w:rPr>
      <w:rFonts w:cs="Simplified Arabic"/>
      <w:i/>
      <w:iCs/>
    </w:rPr>
  </w:style>
  <w:style w:type="paragraph" w:styleId="41">
    <w:name w:val="index 4"/>
    <w:basedOn w:val="a"/>
    <w:next w:val="a"/>
    <w:pPr>
      <w:ind w:left="960" w:hanging="240"/>
    </w:pPr>
  </w:style>
  <w:style w:type="paragraph" w:styleId="TOC5">
    <w:name w:val="toc 5"/>
    <w:basedOn w:val="a"/>
    <w:next w:val="a"/>
    <w:pPr>
      <w:ind w:left="960"/>
    </w:pPr>
  </w:style>
  <w:style w:type="paragraph" w:styleId="TOC3">
    <w:name w:val="toc 3"/>
    <w:basedOn w:val="a"/>
    <w:next w:val="a"/>
    <w:pPr>
      <w:ind w:left="480"/>
    </w:pPr>
  </w:style>
  <w:style w:type="paragraph" w:styleId="afc">
    <w:name w:val="Plain Text"/>
    <w:basedOn w:val="a"/>
    <w:link w:val="afd"/>
    <w:rPr>
      <w:rFonts w:ascii="Courier New" w:hAnsi="Courier New" w:cs="Courier New"/>
      <w:sz w:val="20"/>
      <w:szCs w:val="20"/>
    </w:rPr>
  </w:style>
  <w:style w:type="paragraph" w:styleId="TOC8">
    <w:name w:val="toc 8"/>
    <w:basedOn w:val="a"/>
    <w:next w:val="a"/>
    <w:pPr>
      <w:ind w:left="1680"/>
    </w:pPr>
  </w:style>
  <w:style w:type="paragraph" w:styleId="34">
    <w:name w:val="index 3"/>
    <w:basedOn w:val="a"/>
    <w:next w:val="a"/>
    <w:pPr>
      <w:ind w:left="720" w:hanging="240"/>
    </w:pPr>
  </w:style>
  <w:style w:type="paragraph" w:styleId="afe">
    <w:name w:val="Date"/>
    <w:basedOn w:val="a"/>
    <w:next w:val="a"/>
    <w:link w:val="aff"/>
    <w:rPr>
      <w:rFonts w:cs="Simplified Arabic"/>
    </w:rPr>
  </w:style>
  <w:style w:type="paragraph" w:styleId="22">
    <w:name w:val="Body Text Indent 2"/>
    <w:basedOn w:val="a"/>
    <w:link w:val="23"/>
    <w:pPr>
      <w:spacing w:after="120"/>
      <w:ind w:left="360"/>
    </w:pPr>
    <w:rPr>
      <w:rFonts w:cs="Simplified Arabic"/>
    </w:rPr>
  </w:style>
  <w:style w:type="paragraph" w:styleId="aff0">
    <w:name w:val="endnote text"/>
    <w:basedOn w:val="a"/>
    <w:next w:val="a"/>
    <w:link w:val="aff1"/>
    <w:pPr>
      <w:spacing w:after="120"/>
      <w:ind w:left="340" w:hanging="340"/>
    </w:pPr>
    <w:rPr>
      <w:rFonts w:cs="Simplified Arabic"/>
      <w:sz w:val="20"/>
      <w:szCs w:val="20"/>
    </w:rPr>
  </w:style>
  <w:style w:type="paragraph" w:styleId="52">
    <w:name w:val="List Continue 5"/>
    <w:basedOn w:val="a"/>
    <w:pPr>
      <w:spacing w:after="120"/>
      <w:ind w:left="1800"/>
      <w:contextualSpacing/>
    </w:pPr>
  </w:style>
  <w:style w:type="paragraph" w:styleId="aff2">
    <w:name w:val="Balloon Text"/>
    <w:basedOn w:val="a"/>
    <w:link w:val="aff3"/>
    <w:pPr>
      <w:spacing w:after="0"/>
    </w:pPr>
    <w:rPr>
      <w:rFonts w:ascii="Tahoma" w:hAnsi="Tahoma" w:cs="Tahoma"/>
      <w:sz w:val="16"/>
      <w:szCs w:val="16"/>
    </w:rPr>
  </w:style>
  <w:style w:type="paragraph" w:styleId="aff4">
    <w:name w:val="footer"/>
    <w:link w:val="aff5"/>
    <w:rPr>
      <w:sz w:val="16"/>
      <w:szCs w:val="16"/>
      <w:lang w:val="en-GB" w:bidi="he-IL"/>
    </w:rPr>
  </w:style>
  <w:style w:type="paragraph" w:styleId="aff6">
    <w:name w:val="envelope return"/>
    <w:basedOn w:val="a"/>
    <w:rPr>
      <w:rFonts w:cs="Simplified Arabic"/>
      <w:sz w:val="20"/>
      <w:szCs w:val="20"/>
    </w:rPr>
  </w:style>
  <w:style w:type="paragraph" w:styleId="aff7">
    <w:name w:val="header"/>
    <w:link w:val="aff8"/>
    <w:uiPriority w:val="99"/>
    <w:pPr>
      <w:jc w:val="both"/>
    </w:pPr>
    <w:rPr>
      <w:sz w:val="24"/>
      <w:szCs w:val="24"/>
      <w:lang w:val="en-GB" w:bidi="he-IL"/>
    </w:rPr>
  </w:style>
  <w:style w:type="paragraph" w:styleId="aff9">
    <w:name w:val="Signature"/>
    <w:basedOn w:val="a"/>
    <w:link w:val="affa"/>
    <w:pPr>
      <w:ind w:left="4320"/>
    </w:pPr>
    <w:rPr>
      <w:rFonts w:cs="Simplified Arabic"/>
    </w:rPr>
  </w:style>
  <w:style w:type="paragraph" w:styleId="TOC1">
    <w:name w:val="toc 1"/>
    <w:basedOn w:val="a"/>
    <w:next w:val="a0"/>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pPr>
      <w:spacing w:after="120"/>
      <w:ind w:left="1440"/>
      <w:contextualSpacing/>
    </w:pPr>
  </w:style>
  <w:style w:type="paragraph" w:styleId="TOC4">
    <w:name w:val="toc 4"/>
    <w:basedOn w:val="a"/>
    <w:next w:val="a"/>
    <w:pPr>
      <w:ind w:left="720"/>
    </w:pPr>
  </w:style>
  <w:style w:type="paragraph" w:styleId="affb">
    <w:name w:val="index heading"/>
    <w:basedOn w:val="a"/>
    <w:next w:val="a"/>
    <w:rPr>
      <w:b/>
      <w:bCs/>
    </w:rPr>
  </w:style>
  <w:style w:type="paragraph" w:styleId="affc">
    <w:name w:val="Subtitle"/>
    <w:basedOn w:val="a"/>
    <w:next w:val="a0"/>
    <w:link w:val="affd"/>
    <w:qFormat/>
    <w:pPr>
      <w:jc w:val="center"/>
    </w:pPr>
    <w:rPr>
      <w:rFonts w:cs="Simplified Arabic"/>
    </w:rPr>
  </w:style>
  <w:style w:type="paragraph" w:styleId="affe">
    <w:name w:val="List"/>
    <w:basedOn w:val="a"/>
    <w:pPr>
      <w:ind w:left="360" w:hanging="360"/>
      <w:contextualSpacing/>
    </w:pPr>
  </w:style>
  <w:style w:type="paragraph" w:styleId="afff">
    <w:name w:val="footnote text"/>
    <w:basedOn w:val="a"/>
    <w:next w:val="a"/>
    <w:link w:val="afff0"/>
    <w:pPr>
      <w:spacing w:after="120"/>
      <w:ind w:left="340" w:hanging="340"/>
    </w:pPr>
    <w:rPr>
      <w:rFonts w:cs="Simplified Arabic"/>
      <w:sz w:val="20"/>
      <w:szCs w:val="20"/>
    </w:rPr>
  </w:style>
  <w:style w:type="paragraph" w:styleId="TOC6">
    <w:name w:val="toc 6"/>
    <w:basedOn w:val="a"/>
    <w:next w:val="a"/>
    <w:pPr>
      <w:ind w:left="1200"/>
    </w:pPr>
  </w:style>
  <w:style w:type="paragraph" w:styleId="53">
    <w:name w:val="List 5"/>
    <w:basedOn w:val="a"/>
    <w:pPr>
      <w:ind w:left="1800" w:hanging="360"/>
      <w:contextualSpacing/>
    </w:pPr>
  </w:style>
  <w:style w:type="paragraph" w:styleId="35">
    <w:name w:val="Body Text Indent 3"/>
    <w:basedOn w:val="a"/>
    <w:link w:val="36"/>
    <w:pPr>
      <w:spacing w:after="120"/>
      <w:ind w:left="360"/>
    </w:pPr>
    <w:rPr>
      <w:rFonts w:cs="Simplified Arabic"/>
      <w:sz w:val="16"/>
      <w:szCs w:val="16"/>
    </w:rPr>
  </w:style>
  <w:style w:type="paragraph" w:styleId="71">
    <w:name w:val="index 7"/>
    <w:basedOn w:val="a"/>
    <w:next w:val="a"/>
    <w:pPr>
      <w:ind w:left="1680" w:hanging="240"/>
    </w:pPr>
  </w:style>
  <w:style w:type="paragraph" w:styleId="91">
    <w:name w:val="index 9"/>
    <w:basedOn w:val="a"/>
    <w:next w:val="a"/>
    <w:pPr>
      <w:ind w:left="2160" w:hanging="240"/>
    </w:pPr>
  </w:style>
  <w:style w:type="paragraph" w:styleId="afff1">
    <w:name w:val="table of figures"/>
    <w:basedOn w:val="a"/>
    <w:next w:val="a"/>
  </w:style>
  <w:style w:type="paragraph" w:styleId="TOC2">
    <w:name w:val="toc 2"/>
    <w:basedOn w:val="a"/>
    <w:next w:val="a0"/>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pPr>
      <w:ind w:left="1920"/>
    </w:pPr>
  </w:style>
  <w:style w:type="paragraph" w:styleId="24">
    <w:name w:val="Body Text 2"/>
    <w:basedOn w:val="a"/>
    <w:link w:val="25"/>
    <w:pPr>
      <w:ind w:left="1440"/>
    </w:pPr>
    <w:rPr>
      <w:rFonts w:cs="Simplified Arabic"/>
      <w:lang w:eastAsia="en-GB"/>
    </w:rPr>
  </w:style>
  <w:style w:type="paragraph" w:styleId="43">
    <w:name w:val="List 4"/>
    <w:basedOn w:val="a"/>
    <w:pPr>
      <w:ind w:left="1440" w:hanging="360"/>
      <w:contextualSpacing/>
    </w:pPr>
  </w:style>
  <w:style w:type="paragraph" w:styleId="26">
    <w:name w:val="List Continue 2"/>
    <w:basedOn w:val="a"/>
    <w:pPr>
      <w:spacing w:after="120"/>
      <w:ind w:left="720"/>
      <w:contextualSpacing/>
    </w:pPr>
  </w:style>
  <w:style w:type="paragraph" w:styleId="afff2">
    <w:name w:val="Message Header"/>
    <w:basedOn w:val="a"/>
    <w:link w:val="afff3"/>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paragraph" w:styleId="HTML1">
    <w:name w:val="HTML Preformatted"/>
    <w:basedOn w:val="a"/>
    <w:link w:val="HTML2"/>
    <w:rPr>
      <w:rFonts w:ascii="Courier New" w:hAnsi="Courier New" w:cs="Courier New"/>
      <w:sz w:val="20"/>
      <w:szCs w:val="20"/>
    </w:rPr>
  </w:style>
  <w:style w:type="paragraph" w:styleId="afff4">
    <w:name w:val="Normal (Web)"/>
    <w:basedOn w:val="a"/>
  </w:style>
  <w:style w:type="paragraph" w:styleId="37">
    <w:name w:val="List Continue 3"/>
    <w:basedOn w:val="a"/>
    <w:pPr>
      <w:spacing w:after="120"/>
      <w:ind w:left="1080"/>
      <w:contextualSpacing/>
    </w:pPr>
  </w:style>
  <w:style w:type="paragraph" w:styleId="11">
    <w:name w:val="index 1"/>
    <w:basedOn w:val="a"/>
    <w:next w:val="a"/>
    <w:pPr>
      <w:ind w:left="240" w:hanging="240"/>
    </w:pPr>
  </w:style>
  <w:style w:type="paragraph" w:styleId="27">
    <w:name w:val="index 2"/>
    <w:basedOn w:val="a"/>
    <w:next w:val="a"/>
    <w:pPr>
      <w:ind w:left="480" w:hanging="240"/>
    </w:pPr>
  </w:style>
  <w:style w:type="paragraph" w:styleId="afff5">
    <w:name w:val="Title"/>
    <w:basedOn w:val="a"/>
    <w:next w:val="a0"/>
    <w:link w:val="afff6"/>
    <w:qFormat/>
    <w:pPr>
      <w:jc w:val="center"/>
    </w:pPr>
    <w:rPr>
      <w:rFonts w:cs="Simplified Arabic"/>
      <w:b/>
      <w:bCs/>
    </w:rPr>
  </w:style>
  <w:style w:type="paragraph" w:styleId="afff7">
    <w:name w:val="annotation subject"/>
    <w:basedOn w:val="af2"/>
    <w:next w:val="af2"/>
    <w:link w:val="afff8"/>
    <w:pPr>
      <w:spacing w:after="240"/>
    </w:pPr>
    <w:rPr>
      <w:b/>
      <w:bCs/>
    </w:rPr>
  </w:style>
  <w:style w:type="paragraph" w:styleId="afff9">
    <w:name w:val="Body Text First Indent"/>
    <w:basedOn w:val="a0"/>
    <w:link w:val="afffa"/>
    <w:pPr>
      <w:ind w:firstLine="720"/>
    </w:pPr>
  </w:style>
  <w:style w:type="paragraph" w:styleId="28">
    <w:name w:val="Body Text First Indent 2"/>
    <w:basedOn w:val="afff9"/>
    <w:link w:val="29"/>
    <w:pPr>
      <w:ind w:firstLine="1440"/>
    </w:pPr>
  </w:style>
  <w:style w:type="table" w:styleId="af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pPr>
      <w:spacing w:after="24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pPr>
      <w:spacing w:after="24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pPr>
      <w:spacing w:after="24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pPr>
      <w:spacing w:after="24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pPr>
      <w:spacing w:after="240"/>
      <w:jc w:val="both"/>
    </w:pPr>
    <w:tblPr>
      <w:tblStyleRowBandSize w:val="2"/>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4">
    <w:name w:val="Table List 5"/>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mbol" w:eastAsia="Symbol" w:hAnsi="Symbol" w:cs="Symbol"/>
        <w:b/>
        <w:bCs/>
      </w:rPr>
      <w:tblPr/>
      <w:tcPr>
        <w:tcBorders>
          <w:top w:val="single" w:sz="8" w:space="0" w:color="C0504D"/>
          <w:left w:val="single" w:sz="18" w:space="0" w:color="C0504D"/>
          <w:bottom w:val="single" w:sz="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31">
    <w:name w:val="Light Grid Accent 3"/>
    <w:basedOn w:val="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mbol" w:eastAsia="Symbol" w:hAnsi="Symbol" w:cs="Symbol"/>
        <w:b/>
        <w:bCs/>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1">
    <w:name w:val="Light Grid Accent 4"/>
    <w:basedOn w:val="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mbol" w:eastAsia="Symbol" w:hAnsi="Symbol" w:cs="Symbol"/>
        <w:b/>
        <w:bCs/>
      </w:rPr>
      <w:tblPr/>
      <w:tcPr>
        <w:tcBorders>
          <w:top w:val="single" w:sz="8" w:space="0" w:color="8064A2"/>
          <w:left w:val="single" w:sz="18" w:space="0" w:color="8064A2"/>
          <w:bottom w:val="single" w:sz="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51">
    <w:name w:val="Light Grid Accent 5"/>
    <w:basedOn w:val="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mbol" w:eastAsia="Symbol" w:hAnsi="Symbol" w:cs="Symbol"/>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61">
    <w:name w:val="Light Grid Accent 6"/>
    <w:basedOn w:val="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mbol" w:eastAsia="Symbol" w:hAnsi="Symbol" w:cs="Symbol"/>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1-2">
    <w:name w:val="Medium Shading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3">
    <w:name w:val="Medium Shading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6">
    <w:name w:val="Medium Shading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2">
    <w:name w:val="Medium Shading 2 Accent 2"/>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3">
    <w:name w:val="Medium Shading 2 Accent 3"/>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4">
    <w:name w:val="Medium Shading 2 Accent 4"/>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5">
    <w:name w:val="Medium Shading 2 Accent 5"/>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6">
    <w:name w:val="Medium Shading 2 Accent 6"/>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1-20">
    <w:name w:val="Medium List 1 Accent 2"/>
    <w:basedOn w:val="a2"/>
    <w:rPr>
      <w:color w:val="000000"/>
    </w:rPr>
    <w:tblPr>
      <w:tblStyleRowBandSize w:val="1"/>
      <w:tblStyleColBandSize w:val="1"/>
      <w:tblBorders>
        <w:top w:val="single" w:sz="8" w:space="0" w:color="C0504D"/>
        <w:bottom w:val="single" w:sz="8" w:space="0" w:color="C0504D"/>
      </w:tblBorders>
    </w:tblPr>
    <w:tblStylePr w:type="firstRow">
      <w:rPr>
        <w:rFonts w:ascii="Symbol" w:eastAsia="Symbol" w:hAnsi="Symbol" w:cs="Symbol"/>
      </w:rPr>
      <w:tblPr/>
      <w:tcPr>
        <w:tcBorders>
          <w:top w:val="nil"/>
          <w:left w:val="single" w:sz="8" w:space="0" w:color="C0504D"/>
          <w:bottom w:val="nil"/>
          <w:right w:val="nil"/>
          <w:insideH w:val="nil"/>
          <w:insideV w:val="nil"/>
          <w:tl2br w:val="nil"/>
          <w:tr2bl w:val="nil"/>
        </w:tcBorders>
      </w:tcPr>
    </w:tblStylePr>
    <w:tblStylePr w:type="lastRow">
      <w:rPr>
        <w:b/>
        <w:bCs/>
        <w:color w:val="1F497D"/>
      </w:rPr>
      <w:tblPr/>
      <w:tcPr>
        <w:tcBorders>
          <w:top w:val="single" w:sz="8" w:space="0" w:color="C0504D"/>
          <w:left w:val="single" w:sz="8" w:space="0" w:color="C0504D"/>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single" w:sz="8" w:space="0" w:color="C0504D"/>
          <w:bottom w:val="nil"/>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rPr>
      <w:color w:val="000000"/>
    </w:rPr>
    <w:tblPr>
      <w:tblStyleRowBandSize w:val="1"/>
      <w:tblStyleColBandSize w:val="1"/>
      <w:tblBorders>
        <w:top w:val="single" w:sz="8" w:space="0" w:color="9BBB59"/>
        <w:bottom w:val="single" w:sz="8" w:space="0" w:color="9BBB59"/>
      </w:tblBorders>
    </w:tblPr>
    <w:tblStylePr w:type="firstRow">
      <w:rPr>
        <w:rFonts w:ascii="Symbol" w:eastAsia="Symbol" w:hAnsi="Symbol" w:cs="Symbol"/>
      </w:rPr>
      <w:tblPr/>
      <w:tcPr>
        <w:tcBorders>
          <w:top w:val="nil"/>
          <w:left w:val="single" w:sz="8" w:space="0" w:color="9BBB59"/>
          <w:bottom w:val="nil"/>
          <w:right w:val="nil"/>
          <w:insideH w:val="nil"/>
          <w:insideV w:val="nil"/>
          <w:tl2br w:val="nil"/>
          <w:tr2bl w:val="nil"/>
        </w:tcBorders>
      </w:tcPr>
    </w:tblStylePr>
    <w:tblStylePr w:type="lastRow">
      <w:rPr>
        <w:b/>
        <w:bCs/>
        <w:color w:val="1F497D"/>
      </w:rPr>
      <w:tblPr/>
      <w:tcPr>
        <w:tcBorders>
          <w:top w:val="single" w:sz="8" w:space="0" w:color="9BBB59"/>
          <w:left w:val="single" w:sz="8" w:space="0" w:color="9BBB59"/>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nil"/>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rPr>
      <w:color w:val="000000"/>
    </w:rPr>
    <w:tblPr>
      <w:tblStyleRowBandSize w:val="1"/>
      <w:tblStyleColBandSize w:val="1"/>
      <w:tblBorders>
        <w:top w:val="single" w:sz="8" w:space="0" w:color="8064A2"/>
        <w:bottom w:val="single" w:sz="8" w:space="0" w:color="8064A2"/>
      </w:tblBorders>
    </w:tblPr>
    <w:tblStylePr w:type="firstRow">
      <w:rPr>
        <w:rFonts w:ascii="Symbol" w:eastAsia="Symbol" w:hAnsi="Symbol" w:cs="Symbol"/>
      </w:rPr>
      <w:tblPr/>
      <w:tcPr>
        <w:tcBorders>
          <w:top w:val="nil"/>
          <w:left w:val="single" w:sz="8" w:space="0" w:color="8064A2"/>
          <w:bottom w:val="nil"/>
          <w:right w:val="nil"/>
          <w:insideH w:val="nil"/>
          <w:insideV w:val="nil"/>
          <w:tl2br w:val="nil"/>
          <w:tr2bl w:val="nil"/>
        </w:tcBorders>
      </w:tcPr>
    </w:tblStylePr>
    <w:tblStylePr w:type="lastRow">
      <w:rPr>
        <w:b/>
        <w:bCs/>
        <w:color w:val="1F497D"/>
      </w:rPr>
      <w:tblPr/>
      <w:tcPr>
        <w:tcBorders>
          <w:top w:val="single" w:sz="8" w:space="0" w:color="8064A2"/>
          <w:left w:val="single" w:sz="8" w:space="0" w:color="8064A2"/>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nil"/>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rPr>
      <w:color w:val="000000"/>
    </w:rPr>
    <w:tblPr>
      <w:tblStyleRowBandSize w:val="1"/>
      <w:tblStyleColBandSize w:val="1"/>
      <w:tblBorders>
        <w:top w:val="single" w:sz="8" w:space="0" w:color="4BACC6"/>
        <w:bottom w:val="single" w:sz="8" w:space="0" w:color="4BACC6"/>
      </w:tblBorders>
    </w:tblPr>
    <w:tblStylePr w:type="firstRow">
      <w:rPr>
        <w:rFonts w:ascii="Symbol" w:eastAsia="Symbol" w:hAnsi="Symbol" w:cs="Symbol"/>
      </w:rPr>
      <w:tblPr/>
      <w:tcPr>
        <w:tcBorders>
          <w:top w:val="nil"/>
          <w:left w:val="single" w:sz="8" w:space="0" w:color="4BACC6"/>
          <w:bottom w:val="nil"/>
          <w:right w:val="nil"/>
          <w:insideH w:val="nil"/>
          <w:insideV w:val="nil"/>
          <w:tl2br w:val="nil"/>
          <w:tr2bl w:val="nil"/>
        </w:tcBorders>
      </w:tcPr>
    </w:tblStylePr>
    <w:tblStylePr w:type="lastRow">
      <w:rPr>
        <w:b/>
        <w:bCs/>
        <w:color w:val="1F497D"/>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rPr>
      <w:color w:val="000000"/>
    </w:rPr>
    <w:tblPr>
      <w:tblStyleRowBandSize w:val="1"/>
      <w:tblStyleColBandSize w:val="1"/>
      <w:tblBorders>
        <w:top w:val="single" w:sz="8" w:space="0" w:color="F79646"/>
        <w:bottom w:val="single" w:sz="8" w:space="0" w:color="F79646"/>
      </w:tblBorders>
    </w:tblPr>
    <w:tblStylePr w:type="firstRow">
      <w:rPr>
        <w:rFonts w:ascii="Symbol" w:eastAsia="Symbol" w:hAnsi="Symbol" w:cs="Symbol"/>
      </w:rPr>
      <w:tblPr/>
      <w:tcPr>
        <w:tcBorders>
          <w:top w:val="nil"/>
          <w:left w:val="single" w:sz="8" w:space="0" w:color="F79646"/>
          <w:bottom w:val="nil"/>
          <w:right w:val="nil"/>
          <w:insideH w:val="nil"/>
          <w:insideV w:val="nil"/>
          <w:tl2br w:val="nil"/>
          <w:tr2bl w:val="nil"/>
        </w:tcBorders>
      </w:tcPr>
    </w:tblStylePr>
    <w:tblStylePr w:type="lastRow">
      <w:rPr>
        <w:b/>
        <w:bCs/>
        <w:color w:val="1F497D"/>
      </w:rPr>
      <w:tblPr/>
      <w:tcPr>
        <w:tcBorders>
          <w:top w:val="single" w:sz="8" w:space="0" w:color="F79646"/>
          <w:left w:val="single" w:sz="8" w:space="0" w:color="F79646"/>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single" w:sz="8" w:space="0" w:color="F79646"/>
          <w:bottom w:val="nil"/>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nil"/>
          <w:bottom w:val="single" w:sz="8" w:space="0" w:color="4F81BD"/>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2-20">
    <w:name w:val="Medium List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nil"/>
          <w:bottom w:val="single" w:sz="8" w:space="0" w:color="C0504D"/>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2-30">
    <w:name w:val="Medium List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nil"/>
          <w:bottom w:val="single" w:sz="8" w:space="0" w:color="9BBB59"/>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2-40">
    <w:name w:val="Medium List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nil"/>
          <w:bottom w:val="single" w:sz="8" w:space="0" w:color="8064A2"/>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2-50">
    <w:name w:val="Medium List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nil"/>
          <w:bottom w:val="single" w:sz="8" w:space="0" w:color="4BACC6"/>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2-60">
    <w:name w:val="Medium List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nil"/>
          <w:bottom w:val="single" w:sz="8" w:space="0" w:color="F79646"/>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1-1">
    <w:name w:val="Medium Grid 1 Accent 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2-21">
    <w:name w:val="Medium Grid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2-31">
    <w:name w:val="Medium Grid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2-41">
    <w:name w:val="Medium Grid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2-51">
    <w:name w:val="Medium Grid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2-61">
    <w:name w:val="Medium Grid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3-1">
    <w:name w:val="Medium Grid 3 Accent 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3-2">
    <w:name w:val="Medium Grid 3 Accent 2"/>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3-3">
    <w:name w:val="Medium Grid 3 Accent 3"/>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3-4">
    <w:name w:val="Medium Grid 3 Accent 4"/>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3-5">
    <w:name w:val="Medium Grid 3 Accent 5"/>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3-6">
    <w:name w:val="Medium Grid 3 Accent 6"/>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1">
    <w:name w:val="Dark List Accent 1"/>
    <w:basedOn w:val="a2"/>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nil"/>
          <w:bottom w:val="single" w:sz="18" w:space="0" w:color="FFFFFF"/>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nil"/>
          <w:bottom w:val="single" w:sz="18" w:space="0" w:color="FFFFFF"/>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nil"/>
          <w:bottom w:val="single" w:sz="18" w:space="0" w:color="FFFFFF"/>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nil"/>
          <w:bottom w:val="single" w:sz="18" w:space="0" w:color="FFFFFF"/>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nil"/>
          <w:bottom w:val="single" w:sz="18" w:space="0" w:color="FFFFFF"/>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nil"/>
          <w:bottom w:val="single" w:sz="18" w:space="0" w:color="FFFFFF"/>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rPr>
      <w:color w:val="000000"/>
    </w:rPr>
    <w:tblPr>
      <w:tblStyleRowBandSize w:val="1"/>
      <w:tblStyleColBandSize w:val="1"/>
    </w:tblPr>
    <w:tcPr>
      <w:shd w:val="clear" w:color="auto" w:fill="F8EDED"/>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rPr>
      <w:color w:val="000000"/>
    </w:rPr>
    <w:tblPr>
      <w:tblStyleRowBandSize w:val="1"/>
      <w:tblStyleColBandSize w:val="1"/>
    </w:tblPr>
    <w:tcPr>
      <w:shd w:val="clear" w:color="auto" w:fill="F5F8EE"/>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rPr>
      <w:color w:val="000000"/>
    </w:rPr>
    <w:tblPr>
      <w:tblStyleRowBandSize w:val="1"/>
      <w:tblStyleColBandSize w:val="1"/>
    </w:tblPr>
    <w:tcPr>
      <w:shd w:val="clear" w:color="auto" w:fill="F2EFF6"/>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rPr>
      <w:color w:val="000000"/>
    </w:rPr>
    <w:tblPr>
      <w:tblStyleRowBandSize w:val="1"/>
      <w:tblStyleColBandSize w:val="1"/>
    </w:tblPr>
    <w:tcPr>
      <w:shd w:val="clear" w:color="auto" w:fill="EDF6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rPr>
      <w:color w:val="000000"/>
    </w:rPr>
    <w:tblPr>
      <w:tblStyleRowBandSize w:val="1"/>
      <w:tblStyleColBandSize w:val="1"/>
    </w:tblPr>
    <w:tcPr>
      <w:shd w:val="clear" w:color="auto" w:fill="FEF4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rPr>
      <w:rFonts w:ascii="Times New Roman" w:eastAsia="宋体" w:hAnsi="Times New Roman" w:cs="Simplified Arabic"/>
      <w:sz w:val="18"/>
      <w:szCs w:val="18"/>
      <w:vertAlign w:val="superscript"/>
      <w:lang w:val="en-GB" w:bidi="ar-AE"/>
    </w:rPr>
  </w:style>
  <w:style w:type="character" w:styleId="affff2">
    <w:name w:val="page number"/>
    <w:rPr>
      <w:rFonts w:ascii="Times New Roman" w:eastAsia="宋体" w:hAnsi="Times New Roman" w:cs="Simplified Arabic"/>
      <w:sz w:val="24"/>
      <w:szCs w:val="24"/>
      <w:lang w:val="en-GB" w:bidi="ar-AE"/>
    </w:rPr>
  </w:style>
  <w:style w:type="character" w:styleId="affff3">
    <w:name w:val="FollowedHyperlink"/>
    <w:rPr>
      <w:color w:val="800080"/>
      <w:u w:val="single"/>
    </w:rPr>
  </w:style>
  <w:style w:type="character" w:styleId="affff4">
    <w:name w:val="Emphasis"/>
    <w:qFormat/>
    <w:rPr>
      <w:i/>
      <w:iCs/>
    </w:rPr>
  </w:style>
  <w:style w:type="character" w:styleId="affff5">
    <w:name w:val="Hyperlink"/>
    <w:uiPriority w:val="99"/>
    <w:rPr>
      <w:color w:val="0000FF"/>
      <w:u w:val="single"/>
    </w:rPr>
  </w:style>
  <w:style w:type="character" w:styleId="affff6">
    <w:name w:val="annotation reference"/>
    <w:rPr>
      <w:rFonts w:ascii="Times New Roman" w:eastAsia="宋体" w:hAnsi="Times New Roman" w:cs="Simplified Arabic"/>
      <w:sz w:val="18"/>
      <w:szCs w:val="18"/>
      <w:lang w:val="en-GB" w:bidi="ar-AE"/>
    </w:rPr>
  </w:style>
  <w:style w:type="character" w:styleId="affff7">
    <w:name w:val="footnote reference"/>
    <w:rPr>
      <w:rFonts w:ascii="Times New Roman" w:eastAsia="宋体" w:hAnsi="Times New Roman" w:cs="Simplified Arabic"/>
      <w:sz w:val="18"/>
      <w:szCs w:val="18"/>
      <w:vertAlign w:val="superscript"/>
      <w:lang w:bidi="ar-AE"/>
    </w:rPr>
  </w:style>
  <w:style w:type="character" w:customStyle="1" w:styleId="a5">
    <w:name w:val="宏文本 字符"/>
    <w:link w:val="a4"/>
    <w:rPr>
      <w:rFonts w:ascii="Courier New" w:hAnsi="Courier New" w:cs="Courier New"/>
      <w:lang w:val="en-GB" w:eastAsia="zh-CN" w:bidi="ar-AE"/>
    </w:rPr>
  </w:style>
  <w:style w:type="character" w:customStyle="1" w:styleId="10">
    <w:name w:val="标题 1 字符"/>
    <w:link w:val="1"/>
    <w:rPr>
      <w:sz w:val="24"/>
      <w:szCs w:val="24"/>
      <w:lang w:bidi="ar-AE"/>
    </w:rPr>
  </w:style>
  <w:style w:type="character" w:customStyle="1" w:styleId="20">
    <w:name w:val="标题 2 字符"/>
    <w:link w:val="2"/>
    <w:rPr>
      <w:sz w:val="24"/>
      <w:szCs w:val="24"/>
      <w:lang w:bidi="ar-AE"/>
    </w:rPr>
  </w:style>
  <w:style w:type="character" w:customStyle="1" w:styleId="a6">
    <w:name w:val="正文文本 字符"/>
    <w:link w:val="a0"/>
    <w:rPr>
      <w:sz w:val="24"/>
      <w:szCs w:val="24"/>
      <w:lang w:eastAsia="en-GB" w:bidi="ar-AE"/>
    </w:rPr>
  </w:style>
  <w:style w:type="character" w:customStyle="1" w:styleId="30">
    <w:name w:val="标题 3 字符"/>
    <w:link w:val="3"/>
    <w:rPr>
      <w:sz w:val="24"/>
      <w:szCs w:val="24"/>
      <w:lang w:bidi="ar-AE"/>
    </w:rPr>
  </w:style>
  <w:style w:type="character" w:customStyle="1" w:styleId="40">
    <w:name w:val="标题 4 字符"/>
    <w:link w:val="4"/>
    <w:rPr>
      <w:sz w:val="24"/>
      <w:szCs w:val="24"/>
      <w:lang w:bidi="ar-AE"/>
    </w:rPr>
  </w:style>
  <w:style w:type="character" w:customStyle="1" w:styleId="50">
    <w:name w:val="标题 5 字符"/>
    <w:link w:val="5"/>
    <w:rPr>
      <w:sz w:val="24"/>
      <w:szCs w:val="24"/>
      <w:lang w:bidi="ar-AE"/>
    </w:rPr>
  </w:style>
  <w:style w:type="character" w:customStyle="1" w:styleId="60">
    <w:name w:val="标题 6 字符"/>
    <w:link w:val="6"/>
    <w:rPr>
      <w:sz w:val="24"/>
      <w:szCs w:val="24"/>
      <w:lang w:bidi="ar-AE"/>
    </w:rPr>
  </w:style>
  <w:style w:type="character" w:customStyle="1" w:styleId="70">
    <w:name w:val="标题 7 字符"/>
    <w:link w:val="7"/>
    <w:rPr>
      <w:sz w:val="24"/>
      <w:szCs w:val="24"/>
      <w:lang w:bidi="ar-AE"/>
    </w:rPr>
  </w:style>
  <w:style w:type="character" w:customStyle="1" w:styleId="80">
    <w:name w:val="标题 8 字符"/>
    <w:link w:val="8"/>
    <w:rPr>
      <w:sz w:val="24"/>
      <w:szCs w:val="24"/>
      <w:lang w:bidi="ar-AE"/>
    </w:rPr>
  </w:style>
  <w:style w:type="character" w:customStyle="1" w:styleId="90">
    <w:name w:val="标题 9 字符"/>
    <w:link w:val="9"/>
    <w:rPr>
      <w:sz w:val="24"/>
      <w:szCs w:val="24"/>
      <w:lang w:bidi="ar-AE"/>
    </w:rPr>
  </w:style>
  <w:style w:type="character" w:customStyle="1" w:styleId="a9">
    <w:name w:val="注释标题 字符"/>
    <w:link w:val="a8"/>
    <w:rPr>
      <w:sz w:val="24"/>
      <w:szCs w:val="24"/>
      <w:lang w:bidi="ar-AE"/>
    </w:rPr>
  </w:style>
  <w:style w:type="character" w:customStyle="1" w:styleId="ab">
    <w:name w:val="电子邮件签名 字符"/>
    <w:link w:val="aa"/>
    <w:rPr>
      <w:sz w:val="24"/>
      <w:szCs w:val="24"/>
      <w:lang w:bidi="ar-AE"/>
    </w:rPr>
  </w:style>
  <w:style w:type="character" w:customStyle="1" w:styleId="af0">
    <w:name w:val="文档结构图 字符"/>
    <w:link w:val="af"/>
    <w:rPr>
      <w:rFonts w:ascii="Tahoma" w:hAnsi="Tahoma" w:cs="Tahoma"/>
      <w:sz w:val="16"/>
      <w:szCs w:val="16"/>
      <w:lang w:bidi="ar-AE"/>
    </w:rPr>
  </w:style>
  <w:style w:type="character" w:customStyle="1" w:styleId="af3">
    <w:name w:val="批注文字 字符"/>
    <w:link w:val="af2"/>
    <w:rPr>
      <w:lang w:bidi="ar-AE"/>
    </w:rPr>
  </w:style>
  <w:style w:type="character" w:customStyle="1" w:styleId="af5">
    <w:name w:val="称呼 字符"/>
    <w:link w:val="af4"/>
    <w:rPr>
      <w:sz w:val="24"/>
      <w:szCs w:val="24"/>
      <w:lang w:bidi="ar-AE"/>
    </w:rPr>
  </w:style>
  <w:style w:type="character" w:customStyle="1" w:styleId="33">
    <w:name w:val="正文文本 3 字符"/>
    <w:link w:val="32"/>
    <w:rPr>
      <w:sz w:val="24"/>
      <w:szCs w:val="24"/>
      <w:lang w:eastAsia="en-GB" w:bidi="ar-AE"/>
    </w:rPr>
  </w:style>
  <w:style w:type="character" w:customStyle="1" w:styleId="af7">
    <w:name w:val="结束语 字符"/>
    <w:link w:val="af6"/>
    <w:rPr>
      <w:sz w:val="24"/>
      <w:szCs w:val="24"/>
      <w:lang w:bidi="ar-AE"/>
    </w:rPr>
  </w:style>
  <w:style w:type="character" w:customStyle="1" w:styleId="af9">
    <w:name w:val="正文文本缩进 字符"/>
    <w:link w:val="af8"/>
    <w:rPr>
      <w:sz w:val="24"/>
      <w:szCs w:val="24"/>
      <w:lang w:bidi="ar-AE"/>
    </w:rPr>
  </w:style>
  <w:style w:type="character" w:customStyle="1" w:styleId="HTML0">
    <w:name w:val="HTML 地址 字符"/>
    <w:link w:val="HTML"/>
    <w:rPr>
      <w:i/>
      <w:iCs/>
      <w:sz w:val="24"/>
      <w:szCs w:val="24"/>
      <w:lang w:bidi="ar-AE"/>
    </w:rPr>
  </w:style>
  <w:style w:type="character" w:customStyle="1" w:styleId="afd">
    <w:name w:val="纯文本 字符"/>
    <w:link w:val="afc"/>
    <w:rPr>
      <w:rFonts w:ascii="Courier New" w:hAnsi="Courier New" w:cs="Courier New"/>
      <w:lang w:bidi="ar-AE"/>
    </w:rPr>
  </w:style>
  <w:style w:type="character" w:customStyle="1" w:styleId="aff">
    <w:name w:val="日期 字符"/>
    <w:link w:val="afe"/>
    <w:rPr>
      <w:sz w:val="24"/>
      <w:szCs w:val="24"/>
      <w:lang w:bidi="ar-AE"/>
    </w:rPr>
  </w:style>
  <w:style w:type="character" w:customStyle="1" w:styleId="23">
    <w:name w:val="正文文本缩进 2 字符"/>
    <w:link w:val="22"/>
    <w:rPr>
      <w:sz w:val="24"/>
      <w:szCs w:val="24"/>
      <w:lang w:bidi="ar-AE"/>
    </w:rPr>
  </w:style>
  <w:style w:type="character" w:customStyle="1" w:styleId="aff1">
    <w:name w:val="尾注文本 字符"/>
    <w:link w:val="aff0"/>
    <w:rPr>
      <w:lang w:bidi="ar-AE"/>
    </w:rPr>
  </w:style>
  <w:style w:type="character" w:customStyle="1" w:styleId="aff3">
    <w:name w:val="批注框文本 字符"/>
    <w:link w:val="aff2"/>
    <w:rPr>
      <w:rFonts w:ascii="Tahoma" w:hAnsi="Tahoma" w:cs="Tahoma"/>
      <w:sz w:val="16"/>
      <w:szCs w:val="16"/>
      <w:lang w:bidi="ar-AE"/>
    </w:rPr>
  </w:style>
  <w:style w:type="character" w:customStyle="1" w:styleId="aff5">
    <w:name w:val="页脚 字符"/>
    <w:link w:val="aff4"/>
    <w:rPr>
      <w:sz w:val="16"/>
      <w:szCs w:val="16"/>
      <w:lang w:val="en-GB" w:eastAsia="zh-CN" w:bidi="he-IL"/>
    </w:rPr>
  </w:style>
  <w:style w:type="character" w:customStyle="1" w:styleId="aff8">
    <w:name w:val="页眉 字符"/>
    <w:link w:val="aff7"/>
    <w:uiPriority w:val="99"/>
    <w:rPr>
      <w:sz w:val="24"/>
      <w:szCs w:val="24"/>
      <w:lang w:val="en-GB" w:eastAsia="zh-CN" w:bidi="he-IL"/>
    </w:rPr>
  </w:style>
  <w:style w:type="character" w:customStyle="1" w:styleId="affa">
    <w:name w:val="签名 字符"/>
    <w:link w:val="aff9"/>
    <w:rPr>
      <w:sz w:val="24"/>
      <w:szCs w:val="24"/>
      <w:lang w:bidi="ar-AE"/>
    </w:rPr>
  </w:style>
  <w:style w:type="character" w:customStyle="1" w:styleId="affd">
    <w:name w:val="副标题 字符"/>
    <w:link w:val="affc"/>
    <w:rPr>
      <w:sz w:val="24"/>
      <w:szCs w:val="24"/>
      <w:lang w:bidi="ar-AE"/>
    </w:rPr>
  </w:style>
  <w:style w:type="character" w:customStyle="1" w:styleId="afff0">
    <w:name w:val="脚注文本 字符"/>
    <w:link w:val="afff"/>
    <w:rPr>
      <w:lang w:bidi="ar-AE"/>
    </w:rPr>
  </w:style>
  <w:style w:type="character" w:customStyle="1" w:styleId="36">
    <w:name w:val="正文文本缩进 3 字符"/>
    <w:link w:val="35"/>
    <w:rPr>
      <w:sz w:val="16"/>
      <w:szCs w:val="16"/>
      <w:lang w:bidi="ar-AE"/>
    </w:rPr>
  </w:style>
  <w:style w:type="character" w:customStyle="1" w:styleId="25">
    <w:name w:val="正文文本 2 字符"/>
    <w:link w:val="24"/>
    <w:rPr>
      <w:sz w:val="24"/>
      <w:szCs w:val="24"/>
      <w:lang w:eastAsia="en-GB" w:bidi="ar-AE"/>
    </w:rPr>
  </w:style>
  <w:style w:type="character" w:customStyle="1" w:styleId="afff3">
    <w:name w:val="信息标题 字符"/>
    <w:link w:val="afff2"/>
    <w:rPr>
      <w:rFonts w:ascii="Times New Roman" w:eastAsia="宋体" w:hAnsi="Times New Roman" w:cs="Simplified Arabic"/>
      <w:sz w:val="24"/>
      <w:szCs w:val="24"/>
      <w:shd w:val="pct20" w:color="auto" w:fill="auto"/>
      <w:lang w:bidi="ar-AE"/>
    </w:rPr>
  </w:style>
  <w:style w:type="character" w:customStyle="1" w:styleId="HTML2">
    <w:name w:val="HTML 预设格式 字符"/>
    <w:link w:val="HTML1"/>
    <w:rPr>
      <w:rFonts w:ascii="Courier New" w:hAnsi="Courier New" w:cs="Courier New"/>
      <w:lang w:bidi="ar-AE"/>
    </w:rPr>
  </w:style>
  <w:style w:type="character" w:customStyle="1" w:styleId="afff6">
    <w:name w:val="标题 字符"/>
    <w:link w:val="afff5"/>
    <w:rPr>
      <w:b/>
      <w:bCs/>
      <w:sz w:val="24"/>
      <w:szCs w:val="24"/>
      <w:lang w:bidi="ar-AE"/>
    </w:rPr>
  </w:style>
  <w:style w:type="character" w:customStyle="1" w:styleId="afff8">
    <w:name w:val="批注主题 字符"/>
    <w:link w:val="afff7"/>
    <w:rPr>
      <w:b/>
      <w:bCs/>
      <w:lang w:bidi="ar-AE"/>
    </w:rPr>
  </w:style>
  <w:style w:type="character" w:customStyle="1" w:styleId="afffa">
    <w:name w:val="正文文本首行缩进 字符"/>
    <w:link w:val="afff9"/>
    <w:rPr>
      <w:sz w:val="24"/>
      <w:szCs w:val="24"/>
      <w:lang w:eastAsia="en-GB" w:bidi="ar-AE"/>
    </w:rPr>
  </w:style>
  <w:style w:type="character" w:customStyle="1" w:styleId="29">
    <w:name w:val="正文文本首行缩进 2 字符"/>
    <w:link w:val="28"/>
    <w:rPr>
      <w:sz w:val="24"/>
      <w:szCs w:val="24"/>
      <w:lang w:eastAsia="en-GB" w:bidi="ar-AE"/>
    </w:rPr>
  </w:style>
  <w:style w:type="paragraph" w:customStyle="1" w:styleId="BodyText1">
    <w:name w:val="Body Text 1"/>
    <w:basedOn w:val="a"/>
    <w:pPr>
      <w:ind w:left="720"/>
    </w:pPr>
    <w:rPr>
      <w:lang w:eastAsia="en-GB"/>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0"/>
    </w:pPr>
    <w:rPr>
      <w:lang w:eastAsia="en-GB"/>
    </w:rPr>
  </w:style>
  <w:style w:type="paragraph" w:customStyle="1" w:styleId="BodyText7">
    <w:name w:val="Body Text 7"/>
    <w:basedOn w:val="a"/>
    <w:pPr>
      <w:ind w:left="5041"/>
    </w:pPr>
    <w:rPr>
      <w:lang w:eastAsia="en-GB"/>
    </w:rPr>
  </w:style>
  <w:style w:type="paragraph" w:customStyle="1" w:styleId="FooterRight">
    <w:name w:val="Footer Right"/>
    <w:basedOn w:val="aff4"/>
    <w:pPr>
      <w:jc w:val="right"/>
    </w:pPr>
  </w:style>
  <w:style w:type="paragraph" w:customStyle="1" w:styleId="Footnote">
    <w:name w:val="Footnote"/>
    <w:basedOn w:val="afff"/>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rPr>
      <w:b/>
      <w:bCs/>
    </w:rPr>
  </w:style>
  <w:style w:type="paragraph" w:customStyle="1" w:styleId="NormalBoldNS">
    <w:name w:val="NormalBoldNS"/>
    <w:basedOn w:val="a"/>
    <w:next w:val="a"/>
    <w:pPr>
      <w:spacing w:after="0"/>
      <w:jc w:val="left"/>
    </w:pPr>
    <w:rPr>
      <w:b/>
      <w:bCs/>
    </w:rPr>
  </w:style>
  <w:style w:type="paragraph" w:customStyle="1" w:styleId="NormalNS">
    <w:name w:val="NormalNS"/>
    <w:basedOn w:val="a"/>
    <w:pPr>
      <w:spacing w:after="0"/>
    </w:pPr>
  </w:style>
  <w:style w:type="paragraph" w:customStyle="1" w:styleId="NormalRight">
    <w:name w:val="NormalRight"/>
    <w:basedOn w:val="NormalNS"/>
    <w:pPr>
      <w:jc w:val="right"/>
    </w:pPr>
  </w:style>
  <w:style w:type="paragraph" w:customStyle="1" w:styleId="NoteContinuation">
    <w:name w:val="Note Continuation"/>
    <w:basedOn w:val="a"/>
    <w:pPr>
      <w:spacing w:after="120"/>
      <w:ind w:left="340"/>
    </w:pPr>
    <w:rPr>
      <w:sz w:val="20"/>
      <w:szCs w:val="20"/>
    </w:rPr>
  </w:style>
  <w:style w:type="paragraph" w:customStyle="1" w:styleId="affffa">
    <w:basedOn w:val="a"/>
    <w:next w:val="a"/>
    <w:qFormat/>
    <w:pPr>
      <w:jc w:val="center"/>
    </w:pPr>
    <w:rPr>
      <w:b/>
      <w:bCs/>
      <w:caps/>
    </w:rPr>
  </w:style>
  <w:style w:type="paragraph" w:customStyle="1" w:styleId="BGHStandard">
    <w:name w:val="BGH Standard"/>
    <w:basedOn w:val="a"/>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affc"/>
    <w:pPr>
      <w:spacing w:after="0"/>
    </w:pPr>
  </w:style>
  <w:style w:type="paragraph" w:customStyle="1" w:styleId="OptionLabel">
    <w:name w:val="OptionLabel"/>
    <w:rPr>
      <w:b/>
      <w:bCs/>
      <w:sz w:val="24"/>
      <w:szCs w:val="24"/>
      <w:lang w:val="en-GB" w:bidi="ar-AE"/>
    </w:rPr>
  </w:style>
  <w:style w:type="paragraph" w:customStyle="1" w:styleId="NormalLeft0">
    <w:name w:val="NormalLeft"/>
    <w:basedOn w:val="a"/>
    <w:next w:val="a"/>
    <w:pPr>
      <w:jc w:val="left"/>
    </w:pPr>
  </w:style>
  <w:style w:type="paragraph" w:customStyle="1" w:styleId="affffb">
    <w:basedOn w:val="a"/>
    <w:next w:val="a"/>
  </w:style>
  <w:style w:type="table" w:customStyle="1" w:styleId="ColorfulGrid1">
    <w:name w:val="Colorful Grid1"/>
    <w:basedOn w:val="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rPr>
      <w:color w:val="000000"/>
    </w:rPr>
    <w:tblPr>
      <w:tblStyleRowBandSize w:val="1"/>
      <w:tblStyleColBandSize w:val="1"/>
    </w:tblPr>
    <w:tcPr>
      <w:shd w:val="clear" w:color="auto" w:fill="E6E6E6"/>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nil"/>
          <w:bottom w:val="single" w:sz="18" w:space="0" w:color="FFFFFF"/>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c">
    <w:name w:val="Intense Quote"/>
    <w:basedOn w:val="a"/>
    <w:next w:val="a"/>
    <w:link w:val="affffd"/>
    <w:qFormat/>
    <w:pPr>
      <w:pBdr>
        <w:bottom w:val="single" w:sz="4" w:space="4" w:color="4F81BD"/>
      </w:pBdr>
      <w:spacing w:before="200" w:after="280"/>
      <w:ind w:left="936" w:right="936"/>
    </w:pPr>
    <w:rPr>
      <w:rFonts w:cs="Simplified Arabic"/>
      <w:b/>
      <w:bCs/>
      <w:i/>
      <w:iCs/>
      <w:color w:val="4F81BD"/>
    </w:rPr>
  </w:style>
  <w:style w:type="character" w:customStyle="1" w:styleId="affffd">
    <w:name w:val="明显引用 字符"/>
    <w:link w:val="affffc"/>
    <w:rPr>
      <w:b/>
      <w:bCs/>
      <w:i/>
      <w:iCs/>
      <w:color w:val="4F81BD"/>
      <w:sz w:val="24"/>
      <w:szCs w:val="24"/>
      <w:lang w:bidi="ar-AE"/>
    </w:rPr>
  </w:style>
  <w:style w:type="table" w:customStyle="1" w:styleId="LightGrid1">
    <w:name w:val="Light Grid1"/>
    <w:basedOn w:val="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mbol" w:eastAsia="Symbol" w:hAnsi="Symbol" w:cs="Symbol"/>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LightGrid-Accent11">
    <w:name w:val="Light Grid - Accent 11"/>
    <w:basedOn w:val="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Symbol" w:hAnsi="Symbol" w:cs="Symbol"/>
        <w:b/>
        <w:bCs/>
      </w:rPr>
      <w:tblPr/>
      <w:tcPr>
        <w:tcBorders>
          <w:top w:val="single" w:sz="8" w:space="0" w:color="4F81BD"/>
          <w:left w:val="single" w:sz="18" w:space="0" w:color="4F81BD"/>
          <w:bottom w:val="single" w:sz="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ascii="Symbol" w:eastAsia="Symbol" w:hAnsi="Symbol" w:cs="Symbol"/>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ascii="Symbol" w:eastAsia="Symbol" w:hAnsi="Symbol" w:cs="Symbol"/>
        <w:b/>
        <w:bCs/>
      </w:rPr>
    </w:tblStylePr>
    <w:tblStylePr w:type="lastCol">
      <w:rPr>
        <w:rFonts w:ascii="Symbol" w:eastAsia="Symbol" w:hAnsi="Symbol" w:cs="Symbol"/>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customStyle="1" w:styleId="LightList1">
    <w:name w:val="Light List1"/>
    <w:basedOn w:val="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customStyle="1" w:styleId="MediumList11">
    <w:name w:val="Medium List 11"/>
    <w:basedOn w:val="a2"/>
    <w:rPr>
      <w:color w:val="000000"/>
    </w:rPr>
    <w:tblPr>
      <w:tblStyleRowBandSize w:val="1"/>
      <w:tblStyleColBandSize w:val="1"/>
      <w:tblBorders>
        <w:top w:val="single" w:sz="8" w:space="0" w:color="000000"/>
        <w:bottom w:val="single" w:sz="8" w:space="0" w:color="000000"/>
      </w:tblBorders>
    </w:tblPr>
    <w:tblStylePr w:type="firstRow">
      <w:rPr>
        <w:rFonts w:ascii="Symbol" w:eastAsia="Symbol" w:hAnsi="Symbol" w:cs="Symbol"/>
      </w:rPr>
      <w:tblPr/>
      <w:tcPr>
        <w:tcBorders>
          <w:top w:val="nil"/>
          <w:left w:val="single" w:sz="8" w:space="0" w:color="000000"/>
          <w:bottom w:val="nil"/>
          <w:right w:val="nil"/>
          <w:insideH w:val="nil"/>
          <w:insideV w:val="nil"/>
          <w:tl2br w:val="nil"/>
          <w:tr2bl w:val="nil"/>
        </w:tcBorders>
      </w:tcPr>
    </w:tblStylePr>
    <w:tblStylePr w:type="lastRow">
      <w:rPr>
        <w:b/>
        <w:bCs/>
        <w:color w:val="1F497D"/>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single" w:sz="8" w:space="0" w:color="000000"/>
          <w:bottom w:val="nil"/>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rPr>
      <w:color w:val="000000"/>
    </w:rPr>
    <w:tblPr>
      <w:tblStyleRowBandSize w:val="1"/>
      <w:tblStyleColBandSize w:val="1"/>
      <w:tblBorders>
        <w:top w:val="single" w:sz="8" w:space="0" w:color="4F81BD"/>
        <w:bottom w:val="single" w:sz="8" w:space="0" w:color="4F81BD"/>
      </w:tblBorders>
    </w:tblPr>
    <w:tblStylePr w:type="firstRow">
      <w:rPr>
        <w:rFonts w:ascii="Symbol" w:eastAsia="Symbol" w:hAnsi="Symbol" w:cs="Symbol"/>
      </w:rPr>
      <w:tblPr/>
      <w:tcPr>
        <w:tcBorders>
          <w:top w:val="nil"/>
          <w:left w:val="single" w:sz="8" w:space="0" w:color="4F81BD"/>
          <w:bottom w:val="nil"/>
          <w:right w:val="nil"/>
          <w:insideH w:val="nil"/>
          <w:insideV w:val="nil"/>
          <w:tl2br w:val="nil"/>
          <w:tr2bl w:val="nil"/>
        </w:tcBorders>
      </w:tcPr>
    </w:tblStylePr>
    <w:tblStylePr w:type="lastRow">
      <w:rPr>
        <w:b/>
        <w:bCs/>
        <w:color w:val="1F497D"/>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single" w:sz="8" w:space="0" w:color="4F81BD"/>
          <w:bottom w:val="nil"/>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nil"/>
          <w:bottom w:val="single" w:sz="8" w:space="0" w:color="000000"/>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MediumShading2-Accent11">
    <w:name w:val="Medium Shading 2 - Accent 1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paragraph" w:styleId="affffe">
    <w:name w:val="Quote"/>
    <w:basedOn w:val="a"/>
    <w:next w:val="a"/>
    <w:link w:val="afffff"/>
    <w:qFormat/>
    <w:rPr>
      <w:rFonts w:cs="Simplified Arabic"/>
      <w:i/>
      <w:iCs/>
      <w:color w:val="000000"/>
    </w:rPr>
  </w:style>
  <w:style w:type="character" w:customStyle="1" w:styleId="afffff">
    <w:name w:val="引用 字符"/>
    <w:link w:val="affffe"/>
    <w:rPr>
      <w:i/>
      <w:iCs/>
      <w:color w:val="000000"/>
      <w:sz w:val="24"/>
      <w:szCs w:val="24"/>
      <w:lang w:bidi="ar-AE"/>
    </w:rPr>
  </w:style>
  <w:style w:type="paragraph" w:customStyle="1" w:styleId="StandardL9">
    <w:name w:val="Standard L9"/>
    <w:basedOn w:val="a"/>
    <w:next w:val="32"/>
    <w:link w:val="StandardL9Char"/>
    <w:pPr>
      <w:numPr>
        <w:ilvl w:val="8"/>
        <w:numId w:val="1"/>
      </w:numPr>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a"/>
    <w:next w:val="24"/>
    <w:link w:val="StandardL8Char"/>
    <w:pPr>
      <w:numPr>
        <w:ilvl w:val="7"/>
        <w:numId w:val="1"/>
      </w:numPr>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a"/>
    <w:next w:val="BodyText6"/>
    <w:link w:val="StandardL7Char"/>
    <w:pPr>
      <w:numPr>
        <w:ilvl w:val="6"/>
        <w:numId w:val="1"/>
      </w:numPr>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a"/>
    <w:next w:val="BodyText5"/>
    <w:link w:val="StandardL6Char"/>
    <w:pPr>
      <w:numPr>
        <w:ilvl w:val="5"/>
        <w:numId w:val="1"/>
      </w:numPr>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a"/>
    <w:next w:val="BodyText4"/>
    <w:link w:val="StandardL5Char"/>
    <w:pPr>
      <w:numPr>
        <w:ilvl w:val="4"/>
        <w:numId w:val="1"/>
      </w:numPr>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a"/>
    <w:link w:val="BulletL9Char"/>
    <w:pPr>
      <w:numPr>
        <w:ilvl w:val="8"/>
        <w:numId w:val="2"/>
      </w:numPr>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a"/>
    <w:link w:val="BulletL8Char"/>
    <w:pPr>
      <w:numPr>
        <w:ilvl w:val="7"/>
        <w:numId w:val="2"/>
      </w:numPr>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a"/>
    <w:link w:val="BulletL7Char"/>
    <w:pPr>
      <w:numPr>
        <w:ilvl w:val="6"/>
        <w:numId w:val="2"/>
      </w:numPr>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a"/>
    <w:link w:val="BulletL6Char"/>
    <w:pPr>
      <w:numPr>
        <w:ilvl w:val="5"/>
        <w:numId w:val="2"/>
      </w:numPr>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a"/>
    <w:link w:val="BulletL5Char"/>
    <w:pPr>
      <w:numPr>
        <w:ilvl w:val="4"/>
        <w:numId w:val="2"/>
      </w:numPr>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a"/>
    <w:link w:val="BulletL4Char"/>
    <w:pPr>
      <w:numPr>
        <w:ilvl w:val="3"/>
        <w:numId w:val="2"/>
      </w:numPr>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a"/>
    <w:link w:val="BulletL3Char"/>
    <w:pPr>
      <w:numPr>
        <w:ilvl w:val="2"/>
        <w:numId w:val="2"/>
      </w:numPr>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a"/>
    <w:link w:val="BulletL2Char"/>
    <w:pPr>
      <w:numPr>
        <w:ilvl w:val="1"/>
        <w:numId w:val="2"/>
      </w:numPr>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a"/>
    <w:link w:val="BulletL1Char"/>
    <w:pPr>
      <w:numPr>
        <w:numId w:val="2"/>
      </w:numPr>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a"/>
    <w:next w:val="32"/>
    <w:link w:val="StandardL4Char"/>
    <w:pPr>
      <w:numPr>
        <w:ilvl w:val="3"/>
        <w:numId w:val="1"/>
      </w:numPr>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a"/>
    <w:next w:val="24"/>
    <w:link w:val="StandardL3Char"/>
    <w:pPr>
      <w:numPr>
        <w:ilvl w:val="2"/>
        <w:numId w:val="1"/>
      </w:numPr>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a"/>
    <w:next w:val="BodyText1"/>
    <w:link w:val="StandardL2Char"/>
    <w:pPr>
      <w:numPr>
        <w:ilvl w:val="1"/>
        <w:numId w:val="1"/>
      </w:numPr>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a"/>
    <w:next w:val="BodyText1"/>
    <w:link w:val="StandardL1Char"/>
    <w:pPr>
      <w:keepNext/>
      <w:numPr>
        <w:numId w:val="1"/>
      </w:numPr>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pPr>
      <w:numPr>
        <w:numId w:val="3"/>
      </w:numPr>
      <w:spacing w:before="0"/>
    </w:pPr>
    <w:rPr>
      <w:rFonts w:eastAsia="仿宋_GB2312"/>
      <w:bCs/>
      <w:sz w:val="21"/>
      <w:szCs w:val="21"/>
    </w:rPr>
  </w:style>
  <w:style w:type="paragraph" w:customStyle="1" w:styleId="afffff0">
    <w:uiPriority w:val="99"/>
    <w:unhideWhenUsed/>
    <w:rPr>
      <w:sz w:val="24"/>
      <w:szCs w:val="24"/>
      <w:lang w:val="en-GB" w:bidi="ar-AE"/>
    </w:rPr>
  </w:style>
  <w:style w:type="character" w:customStyle="1" w:styleId="s4">
    <w:name w:val="s4"/>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经营者集中简易案件公示表模版及填表说明</dc:title>
  <dc:creator>KWM</dc:creator>
  <cp:lastModifiedBy>Alex Chen</cp:lastModifiedBy>
  <cp:revision>14</cp:revision>
  <cp:lastPrinted>2022-03-24T13:18:00Z</cp:lastPrinted>
  <dcterms:created xsi:type="dcterms:W3CDTF">2025-09-02T13:26:00Z</dcterms:created>
  <dcterms:modified xsi:type="dcterms:W3CDTF">2025-09-09T09:21:00Z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7593E2E7F82C225C42ACE366FD32FEC3_43</vt:lpwstr>
  </property>
  <property fmtid="{D5CDD505-2E9C-101B-9397-08002B2CF9AE}" pid="4" name="GrammarlyDocumentId">
    <vt:lpwstr>38d67ea448793c1f0ba1d8a21688192d6059871c977dba35f654af7bc9786ee6</vt:lpwstr>
  </property>
</Properties>
</file>