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F" w:rsidRPr="00406ED5" w:rsidRDefault="002D706F" w:rsidP="00406ED5">
      <w:pPr>
        <w:widowControl/>
        <w:spacing w:line="432" w:lineRule="auto"/>
        <w:jc w:val="center"/>
        <w:rPr>
          <w:rFonts w:ascii="宋体" w:hAnsi="宋体" w:cs="宋体"/>
          <w:b/>
          <w:color w:val="333333"/>
          <w:kern w:val="0"/>
          <w:sz w:val="36"/>
          <w:szCs w:val="36"/>
        </w:rPr>
      </w:pPr>
      <w:bookmarkStart w:id="0" w:name="_Toc21520290"/>
      <w:r w:rsidRPr="00406ED5">
        <w:rPr>
          <w:rFonts w:ascii="宋体" w:hAnsi="宋体" w:cs="宋体" w:hint="eastAsia"/>
          <w:b/>
          <w:color w:val="333333"/>
          <w:kern w:val="0"/>
          <w:sz w:val="36"/>
          <w:szCs w:val="36"/>
        </w:rPr>
        <w:t>国务院关于调整工业产品生产许可证管理目录加强事中事后监管的决定</w:t>
      </w:r>
      <w:bookmarkEnd w:id="0"/>
    </w:p>
    <w:p w:rsidR="002D706F" w:rsidRPr="005D1026" w:rsidRDefault="002D706F" w:rsidP="002D706F">
      <w:pPr>
        <w:widowControl/>
        <w:spacing w:line="432" w:lineRule="auto"/>
        <w:jc w:val="center"/>
        <w:rPr>
          <w:rFonts w:ascii="宋体" w:hAnsi="宋体" w:cs="宋体"/>
          <w:color w:val="333333"/>
          <w:kern w:val="0"/>
          <w:sz w:val="24"/>
          <w:szCs w:val="24"/>
        </w:rPr>
      </w:pPr>
      <w:r w:rsidRPr="005D1026">
        <w:rPr>
          <w:rFonts w:ascii="楷体" w:eastAsia="楷体" w:hAnsi="楷体" w:cs="宋体" w:hint="eastAsia"/>
          <w:color w:val="333333"/>
          <w:kern w:val="0"/>
          <w:sz w:val="24"/>
          <w:szCs w:val="24"/>
        </w:rPr>
        <w:t>国发〔2019〕19号</w:t>
      </w:r>
    </w:p>
    <w:p w:rsidR="002D706F" w:rsidRPr="005D1026" w:rsidRDefault="002D706F" w:rsidP="002D706F">
      <w:pPr>
        <w:widowControl/>
        <w:spacing w:line="432" w:lineRule="auto"/>
        <w:ind w:firstLine="480"/>
        <w:rPr>
          <w:rFonts w:ascii="宋体" w:hAnsi="宋体" w:cs="宋体"/>
          <w:color w:val="333333"/>
          <w:kern w:val="0"/>
          <w:sz w:val="24"/>
          <w:szCs w:val="24"/>
        </w:rPr>
      </w:pPr>
    </w:p>
    <w:p w:rsidR="002D706F" w:rsidRPr="005D1026" w:rsidRDefault="002D706F" w:rsidP="002D706F">
      <w:pPr>
        <w:widowControl/>
        <w:spacing w:line="432" w:lineRule="auto"/>
        <w:rPr>
          <w:rFonts w:ascii="宋体" w:hAnsi="宋体" w:cs="宋体"/>
          <w:color w:val="333333"/>
          <w:kern w:val="0"/>
          <w:sz w:val="24"/>
          <w:szCs w:val="24"/>
        </w:rPr>
      </w:pPr>
      <w:r w:rsidRPr="005D1026">
        <w:rPr>
          <w:rFonts w:ascii="宋体" w:hAnsi="宋体" w:cs="宋体" w:hint="eastAsia"/>
          <w:color w:val="333333"/>
          <w:kern w:val="0"/>
          <w:sz w:val="24"/>
          <w:szCs w:val="24"/>
        </w:rPr>
        <w:t>各省、自治区、直辖市人民政府，国务院各部委、各直属机构：</w:t>
      </w:r>
    </w:p>
    <w:p w:rsidR="002D706F" w:rsidRPr="005D1026" w:rsidRDefault="002D706F" w:rsidP="002D706F">
      <w:pPr>
        <w:widowControl/>
        <w:spacing w:line="432" w:lineRule="auto"/>
        <w:ind w:firstLine="480"/>
        <w:rPr>
          <w:rFonts w:ascii="宋体" w:hAnsi="宋体" w:cs="宋体"/>
          <w:color w:val="333333"/>
          <w:kern w:val="0"/>
          <w:sz w:val="24"/>
          <w:szCs w:val="24"/>
        </w:rPr>
      </w:pPr>
      <w:r w:rsidRPr="005D1026">
        <w:rPr>
          <w:rFonts w:ascii="宋体" w:hAnsi="宋体" w:cs="宋体" w:hint="eastAsia"/>
          <w:color w:val="333333"/>
          <w:kern w:val="0"/>
          <w:sz w:val="24"/>
          <w:szCs w:val="24"/>
        </w:rPr>
        <w:t>经研究论证，国务院决定，压减工业产品生产许可证管理目录，取消内燃机、汽车制动液等13类工业产品生产许可证管理，将卫星电视广播地面接收设备与无线广播电视发射设备2类产品压减合并为1类，对其中涉及安全、健康、环保的，转为强制性产品认证管理，认证费用由财政负担。调整后继续实施工业产品生产许可证管理的产品共计10类，其中，由国家市场监督管理总局实施的5类，由省级市场监督管理部门实施的5类。</w:t>
      </w:r>
    </w:p>
    <w:p w:rsidR="002D706F" w:rsidRPr="005D1026" w:rsidRDefault="002D706F" w:rsidP="002D706F">
      <w:pPr>
        <w:widowControl/>
        <w:spacing w:line="432" w:lineRule="auto"/>
        <w:ind w:firstLine="480"/>
        <w:rPr>
          <w:rFonts w:ascii="宋体" w:hAnsi="宋体" w:cs="宋体"/>
          <w:color w:val="333333"/>
          <w:kern w:val="0"/>
          <w:sz w:val="24"/>
          <w:szCs w:val="24"/>
        </w:rPr>
      </w:pPr>
      <w:r w:rsidRPr="005D1026">
        <w:rPr>
          <w:rFonts w:ascii="宋体" w:hAnsi="宋体" w:cs="宋体" w:hint="eastAsia"/>
          <w:color w:val="333333"/>
          <w:kern w:val="0"/>
          <w:sz w:val="24"/>
          <w:szCs w:val="24"/>
        </w:rPr>
        <w:t>各地区、各有关部门要督促企业严格履行主体责任，强化信用监督和约束手段，对通过告知承诺和后置现场审查方式取得生产许可证的企业，发现以欺骗手段取得的，依法严肃处理。要研究建立质量追溯体系和奖励举报制度，对恶意违法行为依法严惩重罚。相关企业要切实承担质量安全管理责任，建立健全产品质量验收、检验检测和售后服务等制度，确保产品符合相关标准要求。</w:t>
      </w:r>
    </w:p>
    <w:p w:rsidR="002D706F" w:rsidRPr="005D1026" w:rsidRDefault="002D706F" w:rsidP="002D706F">
      <w:pPr>
        <w:widowControl/>
        <w:spacing w:line="432" w:lineRule="auto"/>
        <w:ind w:firstLine="480"/>
        <w:rPr>
          <w:rFonts w:ascii="宋体" w:hAnsi="宋体" w:cs="宋体"/>
          <w:color w:val="333333"/>
          <w:kern w:val="0"/>
          <w:sz w:val="24"/>
          <w:szCs w:val="24"/>
        </w:rPr>
      </w:pPr>
      <w:r w:rsidRPr="005D1026">
        <w:rPr>
          <w:rFonts w:ascii="宋体" w:hAnsi="宋体" w:cs="宋体" w:hint="eastAsia"/>
          <w:color w:val="333333"/>
          <w:kern w:val="0"/>
          <w:sz w:val="24"/>
          <w:szCs w:val="24"/>
        </w:rPr>
        <w:t>各地区、各有关部门要抓紧做好工业产品生产许可证管理目录调整工作，</w:t>
      </w:r>
      <w:proofErr w:type="gramStart"/>
      <w:r w:rsidRPr="005D1026">
        <w:rPr>
          <w:rFonts w:ascii="宋体" w:hAnsi="宋体" w:cs="宋体" w:hint="eastAsia"/>
          <w:color w:val="333333"/>
          <w:kern w:val="0"/>
          <w:sz w:val="24"/>
          <w:szCs w:val="24"/>
        </w:rPr>
        <w:t>减证不减</w:t>
      </w:r>
      <w:proofErr w:type="gramEnd"/>
      <w:r w:rsidRPr="005D1026">
        <w:rPr>
          <w:rFonts w:ascii="宋体" w:hAnsi="宋体" w:cs="宋体" w:hint="eastAsia"/>
          <w:color w:val="333333"/>
          <w:kern w:val="0"/>
          <w:sz w:val="24"/>
          <w:szCs w:val="24"/>
        </w:rPr>
        <w:t>责任，全面加强事中事后监管，按照“谁审批谁监管、谁主管谁监管”的原则，认真履行监管责任，及时有效防范和化解风险。对继续实施生产许可证管理的产品，要完善对企业现场审查和检查的技术规范，以“双随机、</w:t>
      </w:r>
      <w:proofErr w:type="gramStart"/>
      <w:r w:rsidRPr="005D1026">
        <w:rPr>
          <w:rFonts w:ascii="宋体" w:hAnsi="宋体" w:cs="宋体" w:hint="eastAsia"/>
          <w:color w:val="333333"/>
          <w:kern w:val="0"/>
          <w:sz w:val="24"/>
          <w:szCs w:val="24"/>
        </w:rPr>
        <w:t>一</w:t>
      </w:r>
      <w:proofErr w:type="gramEnd"/>
      <w:r w:rsidRPr="005D1026">
        <w:rPr>
          <w:rFonts w:ascii="宋体" w:hAnsi="宋体" w:cs="宋体" w:hint="eastAsia"/>
          <w:color w:val="333333"/>
          <w:kern w:val="0"/>
          <w:sz w:val="24"/>
          <w:szCs w:val="24"/>
        </w:rPr>
        <w:t>公开”监管为手段，进一步加强和规范对获证企业的日常检查，对问题线索企业实施飞行检查。对取消生产许可证管理的产品，要充分利用信息化手段，建立健全检验检测机构、科研院所、行业协会等广泛参与的质量安全监测预警机制。要完善问题导向的监督抽查机制，加大对取消生产许可证管理产品的监督抽查力度，扩大重</w:t>
      </w:r>
      <w:r w:rsidRPr="005D1026">
        <w:rPr>
          <w:rFonts w:ascii="宋体" w:hAnsi="宋体" w:cs="宋体" w:hint="eastAsia"/>
          <w:color w:val="333333"/>
          <w:kern w:val="0"/>
          <w:sz w:val="24"/>
          <w:szCs w:val="24"/>
        </w:rPr>
        <w:lastRenderedPageBreak/>
        <w:t>点产品、重点领域监督抽查覆盖面和增加频次，依法及时公开抽查信息，加大对不合格产品的查处力度，对存在行业性、苗头性质量安全风险的产品开展专项整治。要加快制修订产业发展和监管工作急需的标准，严格落实认证机构对认证结果的主体责任和对产品质量持续符合认证要求的连带责任，鼓励相关行业、用户采信认证结果，充分发挥行业监管、社会监督作用，推动构建以标准引领、企业履责、政府监管为基础的管理体系，确保工业产品质量安全。</w:t>
      </w:r>
    </w:p>
    <w:p w:rsidR="002D706F" w:rsidRPr="005D1026" w:rsidRDefault="002D706F" w:rsidP="002D706F">
      <w:pPr>
        <w:widowControl/>
        <w:spacing w:line="432" w:lineRule="auto"/>
        <w:ind w:firstLine="480"/>
        <w:rPr>
          <w:rFonts w:ascii="宋体" w:hAnsi="宋体" w:cs="宋体"/>
          <w:color w:val="333333"/>
          <w:kern w:val="0"/>
          <w:sz w:val="24"/>
          <w:szCs w:val="24"/>
        </w:rPr>
      </w:pPr>
    </w:p>
    <w:p w:rsidR="002D706F" w:rsidRPr="005D1026" w:rsidRDefault="002D706F" w:rsidP="002D706F">
      <w:pPr>
        <w:widowControl/>
        <w:spacing w:line="432" w:lineRule="auto"/>
        <w:ind w:firstLine="480"/>
        <w:rPr>
          <w:rFonts w:ascii="宋体" w:hAnsi="宋体" w:cs="宋体"/>
          <w:color w:val="333333"/>
          <w:kern w:val="0"/>
          <w:sz w:val="24"/>
          <w:szCs w:val="24"/>
        </w:rPr>
      </w:pPr>
      <w:r w:rsidRPr="005D1026">
        <w:rPr>
          <w:rFonts w:ascii="宋体" w:hAnsi="宋体" w:cs="宋体" w:hint="eastAsia"/>
          <w:color w:val="333333"/>
          <w:kern w:val="0"/>
          <w:sz w:val="24"/>
          <w:szCs w:val="24"/>
        </w:rPr>
        <w:t>附件：1.工业产品生产许可证取消、合并管理的产品目录（共计15类）</w:t>
      </w:r>
    </w:p>
    <w:p w:rsidR="002D706F" w:rsidRPr="005D1026" w:rsidRDefault="002D706F" w:rsidP="002D706F">
      <w:pPr>
        <w:widowControl/>
        <w:spacing w:line="432" w:lineRule="auto"/>
        <w:ind w:firstLine="480"/>
        <w:rPr>
          <w:rFonts w:ascii="宋体" w:hAnsi="宋体" w:cs="宋体"/>
          <w:color w:val="333333"/>
          <w:kern w:val="0"/>
          <w:sz w:val="24"/>
          <w:szCs w:val="24"/>
        </w:rPr>
      </w:pPr>
      <w:r w:rsidRPr="005D1026">
        <w:rPr>
          <w:rFonts w:ascii="宋体" w:hAnsi="宋体" w:cs="宋体" w:hint="eastAsia"/>
          <w:color w:val="333333"/>
          <w:kern w:val="0"/>
          <w:sz w:val="24"/>
          <w:szCs w:val="24"/>
        </w:rPr>
        <w:t xml:space="preserve">　　　2.调整后继续实施工业产品生产许可证管理的产品目录（共计10类）</w:t>
      </w:r>
    </w:p>
    <w:p w:rsidR="002D706F" w:rsidRDefault="002D706F" w:rsidP="002D706F">
      <w:pPr>
        <w:widowControl/>
        <w:spacing w:line="432" w:lineRule="auto"/>
        <w:jc w:val="right"/>
        <w:rPr>
          <w:rFonts w:ascii="宋体" w:hAnsi="宋体" w:cs="宋体"/>
          <w:color w:val="333333"/>
          <w:kern w:val="0"/>
          <w:sz w:val="24"/>
          <w:szCs w:val="24"/>
        </w:rPr>
      </w:pPr>
      <w:r>
        <w:rPr>
          <w:rFonts w:ascii="宋体" w:hAnsi="宋体" w:cs="宋体" w:hint="eastAsia"/>
          <w:color w:val="333333"/>
          <w:kern w:val="0"/>
          <w:sz w:val="24"/>
          <w:szCs w:val="24"/>
        </w:rPr>
        <w:t xml:space="preserve">        </w:t>
      </w:r>
    </w:p>
    <w:p w:rsidR="002D706F" w:rsidRPr="005D1026" w:rsidRDefault="002D706F" w:rsidP="002D706F">
      <w:pPr>
        <w:widowControl/>
        <w:spacing w:line="432" w:lineRule="auto"/>
        <w:jc w:val="right"/>
        <w:rPr>
          <w:rFonts w:ascii="宋体" w:hAnsi="宋体" w:cs="宋体"/>
          <w:color w:val="333333"/>
          <w:kern w:val="0"/>
          <w:sz w:val="24"/>
          <w:szCs w:val="24"/>
        </w:rPr>
      </w:pPr>
      <w:r w:rsidRPr="005D1026">
        <w:rPr>
          <w:rFonts w:ascii="宋体" w:hAnsi="宋体" w:cs="宋体" w:hint="eastAsia"/>
          <w:color w:val="333333"/>
          <w:kern w:val="0"/>
          <w:sz w:val="24"/>
          <w:szCs w:val="24"/>
        </w:rPr>
        <w:t>国务院</w:t>
      </w:r>
      <w:r>
        <w:rPr>
          <w:rFonts w:ascii="宋体" w:hAnsi="宋体" w:cs="宋体" w:hint="eastAsia"/>
          <w:color w:val="333333"/>
          <w:kern w:val="0"/>
          <w:sz w:val="24"/>
          <w:szCs w:val="24"/>
        </w:rPr>
        <w:t xml:space="preserve">           </w:t>
      </w:r>
    </w:p>
    <w:p w:rsidR="002D706F" w:rsidRPr="005D1026" w:rsidRDefault="002D706F" w:rsidP="002D706F">
      <w:pPr>
        <w:widowControl/>
        <w:spacing w:line="432" w:lineRule="auto"/>
        <w:jc w:val="left"/>
        <w:rPr>
          <w:rFonts w:ascii="宋体" w:hAnsi="宋体" w:cs="宋体"/>
          <w:color w:val="333333"/>
          <w:kern w:val="0"/>
          <w:sz w:val="24"/>
          <w:szCs w:val="24"/>
        </w:rPr>
      </w:pPr>
      <w:r>
        <w:rPr>
          <w:rFonts w:ascii="宋体" w:hAnsi="宋体" w:cs="宋体" w:hint="eastAsia"/>
          <w:color w:val="333333"/>
          <w:kern w:val="0"/>
          <w:sz w:val="24"/>
          <w:szCs w:val="24"/>
        </w:rPr>
        <w:t xml:space="preserve">                                           </w:t>
      </w:r>
      <w:r w:rsidRPr="005D1026">
        <w:rPr>
          <w:rFonts w:ascii="宋体" w:hAnsi="宋体" w:cs="宋体" w:hint="eastAsia"/>
          <w:color w:val="333333"/>
          <w:kern w:val="0"/>
          <w:sz w:val="24"/>
          <w:szCs w:val="24"/>
        </w:rPr>
        <w:t>2019年9月8日</w:t>
      </w:r>
    </w:p>
    <w:p w:rsidR="002D706F" w:rsidRPr="005D1026" w:rsidRDefault="002D706F" w:rsidP="002D706F">
      <w:pPr>
        <w:widowControl/>
        <w:spacing w:line="432" w:lineRule="auto"/>
        <w:ind w:firstLine="480"/>
        <w:rPr>
          <w:rFonts w:ascii="宋体" w:hAnsi="宋体" w:cs="宋体"/>
          <w:color w:val="333333"/>
          <w:kern w:val="0"/>
          <w:sz w:val="24"/>
          <w:szCs w:val="24"/>
        </w:rPr>
      </w:pPr>
      <w:r w:rsidRPr="005D1026">
        <w:rPr>
          <w:rFonts w:ascii="宋体" w:hAnsi="宋体" w:cs="宋体" w:hint="eastAsia"/>
          <w:color w:val="333333"/>
          <w:kern w:val="0"/>
          <w:sz w:val="24"/>
          <w:szCs w:val="24"/>
        </w:rPr>
        <w:t>（此件公开发布）</w:t>
      </w:r>
    </w:p>
    <w:p w:rsidR="002D706F" w:rsidRPr="005D1026" w:rsidRDefault="002D706F" w:rsidP="002D706F">
      <w:pPr>
        <w:widowControl/>
        <w:spacing w:line="432" w:lineRule="auto"/>
        <w:ind w:firstLine="480"/>
        <w:rPr>
          <w:rFonts w:ascii="宋体" w:hAnsi="宋体" w:cs="宋体"/>
          <w:color w:val="333333"/>
          <w:kern w:val="0"/>
          <w:sz w:val="24"/>
          <w:szCs w:val="24"/>
        </w:rPr>
      </w:pPr>
    </w:p>
    <w:p w:rsidR="002D706F" w:rsidRDefault="002D706F"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b/>
          <w:bCs/>
          <w:color w:val="333333"/>
          <w:kern w:val="0"/>
          <w:sz w:val="24"/>
          <w:szCs w:val="24"/>
        </w:rPr>
      </w:pPr>
    </w:p>
    <w:p w:rsidR="002D706F" w:rsidRPr="005D1026" w:rsidRDefault="002D706F" w:rsidP="002D706F">
      <w:pPr>
        <w:widowControl/>
        <w:spacing w:line="432" w:lineRule="auto"/>
        <w:rPr>
          <w:rFonts w:ascii="宋体" w:hAnsi="宋体" w:cs="宋体"/>
          <w:color w:val="333333"/>
          <w:kern w:val="0"/>
          <w:sz w:val="24"/>
          <w:szCs w:val="24"/>
        </w:rPr>
      </w:pPr>
      <w:r w:rsidRPr="005D1026">
        <w:rPr>
          <w:rFonts w:ascii="宋体" w:hAnsi="宋体" w:cs="宋体" w:hint="eastAsia"/>
          <w:b/>
          <w:bCs/>
          <w:color w:val="333333"/>
          <w:kern w:val="0"/>
          <w:sz w:val="24"/>
          <w:szCs w:val="24"/>
        </w:rPr>
        <w:lastRenderedPageBreak/>
        <w:t>附件1</w:t>
      </w:r>
    </w:p>
    <w:p w:rsidR="002D706F" w:rsidRPr="005D1026" w:rsidRDefault="002D706F" w:rsidP="002D706F">
      <w:pPr>
        <w:widowControl/>
        <w:spacing w:line="432" w:lineRule="auto"/>
        <w:ind w:firstLine="480"/>
        <w:rPr>
          <w:rFonts w:ascii="宋体" w:hAnsi="宋体" w:cs="宋体"/>
          <w:color w:val="333333"/>
          <w:kern w:val="0"/>
          <w:sz w:val="24"/>
          <w:szCs w:val="24"/>
        </w:rPr>
      </w:pPr>
    </w:p>
    <w:p w:rsidR="002D706F" w:rsidRPr="005D1026" w:rsidRDefault="002D706F" w:rsidP="002D706F">
      <w:pPr>
        <w:widowControl/>
        <w:spacing w:line="432" w:lineRule="auto"/>
        <w:jc w:val="center"/>
        <w:rPr>
          <w:rFonts w:ascii="宋体" w:hAnsi="宋体" w:cs="宋体"/>
          <w:color w:val="333333"/>
          <w:kern w:val="0"/>
          <w:sz w:val="24"/>
          <w:szCs w:val="24"/>
        </w:rPr>
      </w:pPr>
      <w:r w:rsidRPr="005D1026">
        <w:rPr>
          <w:rFonts w:ascii="宋体" w:hAnsi="宋体" w:cs="宋体" w:hint="eastAsia"/>
          <w:b/>
          <w:bCs/>
          <w:color w:val="333333"/>
          <w:kern w:val="0"/>
          <w:sz w:val="36"/>
          <w:szCs w:val="36"/>
        </w:rPr>
        <w:t>工业产品生产许可证取消、合并</w:t>
      </w:r>
    </w:p>
    <w:p w:rsidR="002D706F" w:rsidRPr="005D1026" w:rsidRDefault="002D706F" w:rsidP="002D706F">
      <w:pPr>
        <w:widowControl/>
        <w:spacing w:after="240" w:line="432" w:lineRule="auto"/>
        <w:jc w:val="center"/>
        <w:rPr>
          <w:rFonts w:ascii="宋体" w:hAnsi="宋体" w:cs="宋体"/>
          <w:color w:val="333333"/>
          <w:kern w:val="0"/>
          <w:sz w:val="24"/>
          <w:szCs w:val="24"/>
        </w:rPr>
      </w:pPr>
      <w:r w:rsidRPr="005D1026">
        <w:rPr>
          <w:rFonts w:ascii="宋体" w:hAnsi="宋体" w:cs="宋体" w:hint="eastAsia"/>
          <w:b/>
          <w:bCs/>
          <w:color w:val="333333"/>
          <w:kern w:val="0"/>
          <w:sz w:val="36"/>
          <w:szCs w:val="36"/>
        </w:rPr>
        <w:t>管理的产品目录（共计15类）</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92"/>
        <w:gridCol w:w="2363"/>
        <w:gridCol w:w="2359"/>
        <w:gridCol w:w="3557"/>
      </w:tblGrid>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b/>
                <w:bCs/>
                <w:color w:val="333333"/>
                <w:sz w:val="20"/>
                <w:szCs w:val="20"/>
              </w:rPr>
              <w:t>序号</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b/>
                <w:bCs/>
                <w:color w:val="333333"/>
                <w:sz w:val="20"/>
                <w:szCs w:val="20"/>
              </w:rPr>
              <w:t>产品名称</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b/>
                <w:bCs/>
                <w:color w:val="333333"/>
                <w:sz w:val="20"/>
                <w:szCs w:val="20"/>
              </w:rPr>
              <w:t>目前实施机关</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b/>
                <w:bCs/>
                <w:color w:val="333333"/>
                <w:sz w:val="20"/>
                <w:szCs w:val="20"/>
              </w:rPr>
              <w:t>调整情况</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轴承钢材</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国家市场监督管理总局</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2</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防伪技术产品</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3</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摩擦材料及密封制品</w:t>
            </w:r>
            <w:r w:rsidRPr="005D1026">
              <w:rPr>
                <w:rFonts w:cs="Calibri" w:hint="eastAsia"/>
                <w:color w:val="333333"/>
                <w:sz w:val="20"/>
                <w:szCs w:val="20"/>
              </w:rPr>
              <w:t>*</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4</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公路桥梁支座</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5</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内燃机</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6</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砂轮</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7</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钢丝绳</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8</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预应力混凝土用钢材</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9</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预应力混凝土枕</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10</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特种劳动防护用品</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11</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耐火材料</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12</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建筑防水卷材</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lastRenderedPageBreak/>
              <w:t>13</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汽车制动液</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取消</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14</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卫星电视广播地面接收设备</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国家市场监督管理总局</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取消室外单元等单元，与无线广播电视发射设备合并为广播电视传输设备</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15</w:t>
            </w:r>
          </w:p>
        </w:tc>
        <w:tc>
          <w:tcPr>
            <w:tcW w:w="2363"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无线广播电视发射设备</w:t>
            </w:r>
          </w:p>
        </w:tc>
        <w:tc>
          <w:tcPr>
            <w:tcW w:w="2359"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国家市场监督管理总局</w:t>
            </w:r>
          </w:p>
        </w:tc>
        <w:tc>
          <w:tcPr>
            <w:tcW w:w="3557" w:type="dxa"/>
            <w:tcBorders>
              <w:top w:val="single" w:sz="6" w:space="0" w:color="auto"/>
              <w:left w:val="nil"/>
              <w:bottom w:val="single" w:sz="6" w:space="0" w:color="auto"/>
              <w:right w:val="single" w:sz="6" w:space="0" w:color="auto"/>
            </w:tcBorders>
            <w:vAlign w:val="center"/>
            <w:hideMark/>
          </w:tcPr>
          <w:p w:rsidR="002D706F" w:rsidRPr="005D1026" w:rsidRDefault="002D706F" w:rsidP="001D2835">
            <w:pPr>
              <w:widowControl/>
              <w:spacing w:before="100" w:beforeAutospacing="1" w:after="180" w:line="480" w:lineRule="auto"/>
              <w:rPr>
                <w:rFonts w:ascii="宋体" w:hAnsi="宋体" w:cs="宋体"/>
                <w:color w:val="333333"/>
                <w:kern w:val="0"/>
                <w:sz w:val="24"/>
                <w:szCs w:val="24"/>
              </w:rPr>
            </w:pPr>
            <w:r w:rsidRPr="005D1026">
              <w:rPr>
                <w:rFonts w:cs="Times New Roman" w:hint="eastAsia"/>
                <w:color w:val="333333"/>
                <w:sz w:val="20"/>
                <w:szCs w:val="20"/>
              </w:rPr>
              <w:t>取消发射天线等单元，与卫星电视广播地面接收设备合并为广播电视传输设备</w:t>
            </w:r>
          </w:p>
        </w:tc>
      </w:tr>
    </w:tbl>
    <w:p w:rsidR="002D706F" w:rsidRPr="005D1026" w:rsidRDefault="002D706F" w:rsidP="002D706F">
      <w:pPr>
        <w:widowControl/>
        <w:spacing w:line="432" w:lineRule="auto"/>
        <w:jc w:val="left"/>
        <w:rPr>
          <w:rFonts w:ascii="宋体" w:hAnsi="宋体" w:cs="宋体"/>
          <w:color w:val="333333"/>
          <w:kern w:val="0"/>
          <w:sz w:val="24"/>
          <w:szCs w:val="24"/>
        </w:rPr>
      </w:pPr>
      <w:r w:rsidRPr="005D1026">
        <w:rPr>
          <w:rFonts w:ascii="宋体" w:hAnsi="宋体" w:cs="宋体" w:hint="eastAsia"/>
          <w:color w:val="333333"/>
          <w:kern w:val="0"/>
          <w:sz w:val="20"/>
          <w:szCs w:val="20"/>
        </w:rPr>
        <w:t xml:space="preserve">　　*“摩擦材料及密封制品”中的刹车片产品需在完成相关程序后转为强制性产品认证管理，在此之前仍对其实施生产许可证管理。</w:t>
      </w:r>
      <w:r w:rsidRPr="005D1026">
        <w:rPr>
          <w:rFonts w:ascii="宋体" w:hAnsi="宋体" w:cs="宋体" w:hint="eastAsia"/>
          <w:color w:val="333333"/>
          <w:kern w:val="0"/>
          <w:sz w:val="24"/>
          <w:szCs w:val="24"/>
        </w:rPr>
        <w:t xml:space="preserve"> </w:t>
      </w: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406ED5" w:rsidRDefault="00406ED5" w:rsidP="002D706F">
      <w:pPr>
        <w:widowControl/>
        <w:spacing w:line="432" w:lineRule="auto"/>
        <w:rPr>
          <w:rFonts w:ascii="宋体" w:hAnsi="宋体" w:cs="宋体" w:hint="eastAsia"/>
          <w:b/>
          <w:bCs/>
          <w:color w:val="333333"/>
          <w:kern w:val="0"/>
          <w:sz w:val="24"/>
          <w:szCs w:val="24"/>
        </w:rPr>
      </w:pPr>
    </w:p>
    <w:p w:rsidR="002D706F" w:rsidRPr="005D1026" w:rsidRDefault="002D706F" w:rsidP="002D706F">
      <w:pPr>
        <w:widowControl/>
        <w:spacing w:line="432" w:lineRule="auto"/>
        <w:rPr>
          <w:rFonts w:ascii="宋体" w:hAnsi="宋体" w:cs="宋体"/>
          <w:color w:val="333333"/>
          <w:kern w:val="0"/>
          <w:sz w:val="24"/>
          <w:szCs w:val="24"/>
        </w:rPr>
      </w:pPr>
      <w:r w:rsidRPr="005D1026">
        <w:rPr>
          <w:rFonts w:ascii="宋体" w:hAnsi="宋体" w:cs="宋体" w:hint="eastAsia"/>
          <w:b/>
          <w:bCs/>
          <w:color w:val="333333"/>
          <w:kern w:val="0"/>
          <w:sz w:val="24"/>
          <w:szCs w:val="24"/>
        </w:rPr>
        <w:lastRenderedPageBreak/>
        <w:t>附件2</w:t>
      </w:r>
    </w:p>
    <w:p w:rsidR="002D706F" w:rsidRPr="005D1026" w:rsidRDefault="002D706F" w:rsidP="002D706F">
      <w:pPr>
        <w:widowControl/>
        <w:spacing w:line="432" w:lineRule="auto"/>
        <w:rPr>
          <w:rFonts w:ascii="宋体" w:hAnsi="宋体" w:cs="宋体"/>
          <w:color w:val="333333"/>
          <w:kern w:val="0"/>
          <w:sz w:val="24"/>
          <w:szCs w:val="24"/>
        </w:rPr>
      </w:pPr>
    </w:p>
    <w:p w:rsidR="002D706F" w:rsidRPr="005D1026" w:rsidRDefault="002D706F" w:rsidP="002D706F">
      <w:pPr>
        <w:widowControl/>
        <w:spacing w:after="240" w:line="432" w:lineRule="auto"/>
        <w:jc w:val="center"/>
        <w:rPr>
          <w:rFonts w:ascii="宋体" w:hAnsi="宋体" w:cs="宋体"/>
          <w:color w:val="333333"/>
          <w:kern w:val="0"/>
          <w:sz w:val="24"/>
          <w:szCs w:val="24"/>
        </w:rPr>
      </w:pPr>
      <w:r w:rsidRPr="005D1026">
        <w:rPr>
          <w:rFonts w:ascii="宋体" w:hAnsi="宋体" w:cs="宋体" w:hint="eastAsia"/>
          <w:b/>
          <w:bCs/>
          <w:color w:val="333333"/>
          <w:kern w:val="0"/>
          <w:sz w:val="36"/>
          <w:szCs w:val="36"/>
        </w:rPr>
        <w:t xml:space="preserve">调整后继续实施工业产品生产许可证 </w:t>
      </w:r>
      <w:r w:rsidRPr="005D1026">
        <w:rPr>
          <w:rFonts w:ascii="宋体" w:hAnsi="宋体" w:cs="宋体" w:hint="eastAsia"/>
          <w:b/>
          <w:bCs/>
          <w:color w:val="333333"/>
          <w:kern w:val="0"/>
          <w:sz w:val="24"/>
          <w:szCs w:val="24"/>
        </w:rPr>
        <w:br/>
      </w:r>
      <w:r w:rsidRPr="005D1026">
        <w:rPr>
          <w:rFonts w:ascii="宋体" w:hAnsi="宋体" w:cs="宋体" w:hint="eastAsia"/>
          <w:b/>
          <w:bCs/>
          <w:color w:val="333333"/>
          <w:kern w:val="0"/>
          <w:sz w:val="36"/>
          <w:szCs w:val="36"/>
        </w:rPr>
        <w:t>管理的产品目录（共计10类）</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92"/>
        <w:gridCol w:w="4055"/>
        <w:gridCol w:w="4224"/>
      </w:tblGrid>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b/>
                <w:bCs/>
                <w:color w:val="333333"/>
                <w:sz w:val="20"/>
                <w:szCs w:val="20"/>
              </w:rPr>
              <w:t>序号</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b/>
                <w:bCs/>
                <w:color w:val="333333"/>
                <w:sz w:val="20"/>
                <w:szCs w:val="20"/>
              </w:rPr>
              <w:t>产品名称</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b/>
                <w:bCs/>
                <w:color w:val="333333"/>
                <w:sz w:val="20"/>
                <w:szCs w:val="20"/>
              </w:rPr>
              <w:t>实施机关</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建筑用钢筋</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国家市场监督管理总局</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2</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水泥</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国家市场监督管理总局</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3</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广播电视传输设备</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国家市场监督管理总局</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4</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人民币鉴别仪</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国家市场监督管理总局</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5</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预应力混凝土铁路桥简支梁</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国家市场监督管理总局</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6</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电线电缆</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省级市场监督管理部门</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7</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危险化学品</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省级市场监督管理部门</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8</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危险化学品包装物及容器</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省级市场监督管理部门</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9</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化肥</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省级市场监督管理部门</w:t>
            </w:r>
          </w:p>
        </w:tc>
      </w:tr>
      <w:tr w:rsidR="002D706F" w:rsidRPr="005D1026" w:rsidTr="001D2835">
        <w:trPr>
          <w:jc w:val="center"/>
        </w:trPr>
        <w:tc>
          <w:tcPr>
            <w:tcW w:w="792" w:type="dxa"/>
            <w:tcBorders>
              <w:top w:val="single" w:sz="6" w:space="0" w:color="auto"/>
              <w:left w:val="single" w:sz="6" w:space="0" w:color="auto"/>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10</w:t>
            </w:r>
          </w:p>
        </w:tc>
        <w:tc>
          <w:tcPr>
            <w:tcW w:w="4055"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left"/>
              <w:rPr>
                <w:rFonts w:ascii="宋体" w:hAnsi="宋体" w:cs="宋体"/>
                <w:color w:val="333333"/>
                <w:kern w:val="0"/>
                <w:sz w:val="24"/>
                <w:szCs w:val="24"/>
              </w:rPr>
            </w:pPr>
            <w:r w:rsidRPr="005D1026">
              <w:rPr>
                <w:rFonts w:cs="Times New Roman" w:hint="eastAsia"/>
                <w:color w:val="333333"/>
                <w:sz w:val="20"/>
                <w:szCs w:val="20"/>
              </w:rPr>
              <w:t>直接接触食品的材料等相关产品</w:t>
            </w:r>
          </w:p>
        </w:tc>
        <w:tc>
          <w:tcPr>
            <w:tcW w:w="4224" w:type="dxa"/>
            <w:tcBorders>
              <w:top w:val="single" w:sz="6" w:space="0" w:color="auto"/>
              <w:left w:val="nil"/>
              <w:bottom w:val="single" w:sz="6" w:space="0" w:color="auto"/>
              <w:right w:val="single" w:sz="6" w:space="0" w:color="auto"/>
            </w:tcBorders>
            <w:hideMark/>
          </w:tcPr>
          <w:p w:rsidR="002D706F" w:rsidRPr="005D1026" w:rsidRDefault="002D706F" w:rsidP="001D2835">
            <w:pPr>
              <w:widowControl/>
              <w:spacing w:before="100" w:beforeAutospacing="1" w:after="180" w:line="480" w:lineRule="auto"/>
              <w:jc w:val="center"/>
              <w:rPr>
                <w:rFonts w:ascii="宋体" w:hAnsi="宋体" w:cs="宋体"/>
                <w:color w:val="333333"/>
                <w:kern w:val="0"/>
                <w:sz w:val="24"/>
                <w:szCs w:val="24"/>
              </w:rPr>
            </w:pPr>
            <w:r w:rsidRPr="005D1026">
              <w:rPr>
                <w:rFonts w:cs="Times New Roman" w:hint="eastAsia"/>
                <w:color w:val="333333"/>
                <w:sz w:val="20"/>
                <w:szCs w:val="20"/>
              </w:rPr>
              <w:t>省级市场监督管理部门</w:t>
            </w:r>
          </w:p>
        </w:tc>
      </w:tr>
    </w:tbl>
    <w:p w:rsidR="002D706F" w:rsidRDefault="002D706F" w:rsidP="002D706F"/>
    <w:p w:rsidR="00F543BE" w:rsidRPr="002D706F" w:rsidRDefault="00F543BE"/>
    <w:sectPr w:rsidR="00F543BE" w:rsidRPr="002D706F" w:rsidSect="00F54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92" w:rsidRDefault="00702D92" w:rsidP="002D706F">
      <w:r>
        <w:separator/>
      </w:r>
    </w:p>
  </w:endnote>
  <w:endnote w:type="continuationSeparator" w:id="0">
    <w:p w:rsidR="00702D92" w:rsidRDefault="00702D92" w:rsidP="002D7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92" w:rsidRDefault="00702D92" w:rsidP="002D706F">
      <w:r>
        <w:separator/>
      </w:r>
    </w:p>
  </w:footnote>
  <w:footnote w:type="continuationSeparator" w:id="0">
    <w:p w:rsidR="00702D92" w:rsidRDefault="00702D92" w:rsidP="002D7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06F"/>
    <w:rsid w:val="001D3F5F"/>
    <w:rsid w:val="002D706F"/>
    <w:rsid w:val="00406ED5"/>
    <w:rsid w:val="00432D72"/>
    <w:rsid w:val="00702D92"/>
    <w:rsid w:val="007F1BDE"/>
    <w:rsid w:val="00F54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06F"/>
    <w:pPr>
      <w:widowControl w:val="0"/>
      <w:jc w:val="both"/>
    </w:pPr>
    <w:rPr>
      <w:rFonts w:ascii="Calibri" w:eastAsia="宋体" w:hAnsi="Calibri" w:cs="黑体"/>
    </w:rPr>
  </w:style>
  <w:style w:type="paragraph" w:styleId="1">
    <w:name w:val="heading 1"/>
    <w:basedOn w:val="a"/>
    <w:next w:val="a"/>
    <w:link w:val="1Char"/>
    <w:uiPriority w:val="99"/>
    <w:qFormat/>
    <w:rsid w:val="002D70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0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706F"/>
    <w:rPr>
      <w:sz w:val="18"/>
      <w:szCs w:val="18"/>
    </w:rPr>
  </w:style>
  <w:style w:type="paragraph" w:styleId="a4">
    <w:name w:val="footer"/>
    <w:basedOn w:val="a"/>
    <w:link w:val="Char0"/>
    <w:uiPriority w:val="99"/>
    <w:semiHidden/>
    <w:unhideWhenUsed/>
    <w:rsid w:val="002D70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706F"/>
    <w:rPr>
      <w:sz w:val="18"/>
      <w:szCs w:val="18"/>
    </w:rPr>
  </w:style>
  <w:style w:type="character" w:customStyle="1" w:styleId="1Char">
    <w:name w:val="标题 1 Char"/>
    <w:basedOn w:val="a0"/>
    <w:link w:val="1"/>
    <w:uiPriority w:val="99"/>
    <w:rsid w:val="002D706F"/>
    <w:rPr>
      <w:rFonts w:ascii="Calibri" w:eastAsia="宋体"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287</Words>
  <Characters>1638</Characters>
  <Application>Microsoft Office Word</Application>
  <DocSecurity>0</DocSecurity>
  <Lines>13</Lines>
  <Paragraphs>3</Paragraphs>
  <ScaleCrop>false</ScaleCrop>
  <Company>Microsoft</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孙衎</dc:creator>
  <cp:keywords/>
  <dc:description/>
  <cp:lastModifiedBy>孙衎</cp:lastModifiedBy>
  <cp:revision>3</cp:revision>
  <dcterms:created xsi:type="dcterms:W3CDTF">2020-10-19T07:03:00Z</dcterms:created>
  <dcterms:modified xsi:type="dcterms:W3CDTF">2021-07-13T08:42:00Z</dcterms:modified>
</cp:coreProperties>
</file>