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CAC3F4">
      <w:pPr>
        <w:spacing w:line="440" w:lineRule="exact"/>
        <w:jc w:val="center"/>
        <w:rPr>
          <w:rFonts w:ascii="黑体" w:hAnsi="黑体" w:eastAsia="黑体" w:cs="黑体"/>
          <w:bCs/>
          <w:kern w:val="0"/>
          <w:sz w:val="36"/>
          <w:szCs w:val="36"/>
          <w:lang w:val="en-GB" w:bidi="ar-AE"/>
        </w:rPr>
      </w:pPr>
      <w:bookmarkStart w:id="0" w:name="_Hlk166074271"/>
      <w:r>
        <w:rPr>
          <w:rFonts w:ascii="黑体" w:hAnsi="黑体" w:eastAsia="黑体" w:cs="黑体"/>
          <w:bCs/>
          <w:kern w:val="0"/>
          <w:sz w:val="36"/>
          <w:szCs w:val="36"/>
          <w:lang w:val="en-GB" w:bidi="ar-AE"/>
        </w:rPr>
        <w:t>经营者集中简易案件公示表</w:t>
      </w:r>
    </w:p>
    <w:p w14:paraId="3F51B84F">
      <w:pPr>
        <w:spacing w:line="440" w:lineRule="exact"/>
        <w:jc w:val="center"/>
        <w:rPr>
          <w:rFonts w:ascii="黑体" w:hAnsi="黑体" w:eastAsia="黑体" w:cs="黑体"/>
          <w:bCs/>
          <w:kern w:val="0"/>
          <w:sz w:val="36"/>
          <w:szCs w:val="36"/>
          <w:lang w:val="en-GB" w:bidi="ar-AE"/>
        </w:rPr>
      </w:pPr>
    </w:p>
    <w:tbl>
      <w:tblPr>
        <w:tblStyle w:val="8"/>
        <w:tblW w:w="87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1796"/>
        <w:gridCol w:w="5153"/>
      </w:tblGrid>
      <w:tr w14:paraId="3A9F8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shd w:val="clear" w:color="auto" w:fill="D9D9D9"/>
          </w:tcPr>
          <w:p w14:paraId="79EC0882">
            <w:pPr>
              <w:rPr>
                <w:rFonts w:hint="default" w:ascii="Times New Roman" w:hAnsi="Times New Roman" w:cs="Times New Roman"/>
                <w:b/>
                <w:sz w:val="24"/>
                <w:szCs w:val="24"/>
              </w:rPr>
            </w:pPr>
            <w:r>
              <w:rPr>
                <w:rFonts w:hint="default" w:ascii="Times New Roman" w:hAnsi="Times New Roman" w:cs="Times New Roman"/>
                <w:b/>
                <w:sz w:val="24"/>
                <w:szCs w:val="24"/>
              </w:rPr>
              <w:t>案件名称</w:t>
            </w:r>
          </w:p>
        </w:tc>
        <w:tc>
          <w:tcPr>
            <w:tcW w:w="6949" w:type="dxa"/>
            <w:gridSpan w:val="2"/>
          </w:tcPr>
          <w:p w14:paraId="251B191A">
            <w:pPr>
              <w:rPr>
                <w:rFonts w:hint="default" w:ascii="Times New Roman" w:hAnsi="Times New Roman" w:cs="Times New Roman"/>
                <w:kern w:val="0"/>
                <w:sz w:val="24"/>
                <w:szCs w:val="24"/>
              </w:rPr>
            </w:pPr>
            <w:r>
              <w:rPr>
                <w:rFonts w:hint="default" w:ascii="Times New Roman" w:hAnsi="Times New Roman" w:cs="Times New Roman"/>
                <w:kern w:val="0"/>
                <w:sz w:val="24"/>
                <w:szCs w:val="24"/>
                <w:lang w:val="en-US" w:eastAsia="zh-CN"/>
              </w:rPr>
              <w:t>安徽墨擎股权投资有限公司与芜湖经济技术开发区伟达创业投资有限公司</w:t>
            </w:r>
            <w:r>
              <w:rPr>
                <w:rFonts w:hint="eastAsia" w:ascii="Times New Roman" w:hAnsi="Times New Roman" w:cs="Times New Roman"/>
                <w:kern w:val="0"/>
                <w:sz w:val="24"/>
                <w:szCs w:val="24"/>
                <w:lang w:val="en-US" w:eastAsia="zh-CN"/>
              </w:rPr>
              <w:t>等经营者</w:t>
            </w:r>
            <w:r>
              <w:rPr>
                <w:rFonts w:hint="default" w:ascii="Times New Roman" w:hAnsi="Times New Roman" w:cs="Times New Roman"/>
                <w:kern w:val="0"/>
                <w:sz w:val="24"/>
                <w:szCs w:val="24"/>
                <w:lang w:val="en-US" w:eastAsia="zh-CN"/>
              </w:rPr>
              <w:t>新设合营企业案</w:t>
            </w:r>
          </w:p>
        </w:tc>
      </w:tr>
      <w:tr w14:paraId="2DC7B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trPr>
        <w:tc>
          <w:tcPr>
            <w:tcW w:w="1809" w:type="dxa"/>
            <w:shd w:val="clear" w:color="auto" w:fill="D9D9D9"/>
          </w:tcPr>
          <w:p w14:paraId="6AE22DDC">
            <w:pPr>
              <w:rPr>
                <w:rFonts w:hint="default" w:ascii="Times New Roman" w:hAnsi="Times New Roman" w:cs="Times New Roman"/>
                <w:b/>
                <w:sz w:val="24"/>
                <w:szCs w:val="24"/>
              </w:rPr>
            </w:pPr>
            <w:r>
              <w:rPr>
                <w:rFonts w:hint="default" w:ascii="Times New Roman" w:hAnsi="Times New Roman" w:cs="Times New Roman"/>
                <w:b/>
                <w:sz w:val="24"/>
                <w:szCs w:val="24"/>
              </w:rPr>
              <w:t>交易概况</w:t>
            </w:r>
          </w:p>
        </w:tc>
        <w:tc>
          <w:tcPr>
            <w:tcW w:w="6949" w:type="dxa"/>
            <w:gridSpan w:val="2"/>
          </w:tcPr>
          <w:p w14:paraId="2E9E0727">
            <w:pPr>
              <w:rPr>
                <w:rFonts w:hint="default" w:ascii="Times New Roman" w:hAnsi="Times New Roman" w:cs="Times New Roman"/>
                <w:kern w:val="0"/>
                <w:sz w:val="24"/>
                <w:szCs w:val="24"/>
                <w:lang w:val="en-US" w:eastAsia="zh-CN"/>
              </w:rPr>
            </w:pPr>
            <w:r>
              <w:rPr>
                <w:rFonts w:hint="default" w:ascii="Times New Roman" w:hAnsi="Times New Roman" w:cs="Times New Roman"/>
                <w:kern w:val="0"/>
                <w:sz w:val="24"/>
                <w:szCs w:val="24"/>
                <w:lang w:val="en-US" w:eastAsia="zh-CN"/>
              </w:rPr>
              <w:t>安徽墨擎股权投资有限公司（“墨擎投资”）、芜湖经济技术开发区伟达创业投资有限公司（“伟达创投”）及芜湖产业投资基金有限公司（“芜湖产投”）</w:t>
            </w:r>
            <w:r>
              <w:rPr>
                <w:rFonts w:hint="eastAsia" w:ascii="Times New Roman" w:hAnsi="Times New Roman" w:cs="Times New Roman"/>
                <w:kern w:val="0"/>
                <w:sz w:val="24"/>
                <w:szCs w:val="24"/>
                <w:lang w:val="en-US" w:eastAsia="zh-CN"/>
              </w:rPr>
              <w:t>签署协议，</w:t>
            </w:r>
            <w:r>
              <w:rPr>
                <w:rFonts w:hint="default" w:ascii="Times New Roman" w:hAnsi="Times New Roman" w:cs="Times New Roman"/>
                <w:kern w:val="0"/>
                <w:sz w:val="24"/>
                <w:szCs w:val="24"/>
                <w:lang w:val="en-US" w:eastAsia="zh-CN"/>
              </w:rPr>
              <w:t>拟在</w:t>
            </w:r>
            <w:r>
              <w:rPr>
                <w:rFonts w:hint="eastAsia" w:ascii="Times New Roman" w:hAnsi="Times New Roman" w:cs="Times New Roman"/>
                <w:kern w:val="0"/>
                <w:sz w:val="24"/>
                <w:szCs w:val="24"/>
                <w:lang w:val="en-US" w:eastAsia="zh-CN"/>
              </w:rPr>
              <w:t>安徽省芜湖市</w:t>
            </w:r>
            <w:r>
              <w:rPr>
                <w:rFonts w:hint="default" w:ascii="Times New Roman" w:hAnsi="Times New Roman" w:cs="Times New Roman"/>
                <w:kern w:val="0"/>
                <w:sz w:val="24"/>
                <w:szCs w:val="24"/>
                <w:lang w:val="en-US" w:eastAsia="zh-CN"/>
              </w:rPr>
              <w:t>新设合营企业（“本次交易”）。</w:t>
            </w:r>
            <w:r>
              <w:rPr>
                <w:rFonts w:hint="eastAsia" w:ascii="Times New Roman" w:hAnsi="Times New Roman" w:cs="Times New Roman"/>
                <w:kern w:val="0"/>
                <w:sz w:val="24"/>
                <w:szCs w:val="24"/>
                <w:lang w:val="en-US" w:eastAsia="zh-CN"/>
              </w:rPr>
              <w:t>合营企业主要从事人形机器人租赁业务。</w:t>
            </w:r>
            <w:r>
              <w:rPr>
                <w:rFonts w:hint="default" w:ascii="Times New Roman" w:hAnsi="Times New Roman" w:cs="Times New Roman"/>
                <w:kern w:val="0"/>
                <w:sz w:val="24"/>
                <w:szCs w:val="24"/>
                <w:lang w:val="en-US" w:eastAsia="zh-CN"/>
              </w:rPr>
              <w:t>本次交易完成后，墨擎投资持有合营企业3</w:t>
            </w:r>
            <w:r>
              <w:rPr>
                <w:rFonts w:hint="eastAsia" w:ascii="Times New Roman" w:hAnsi="Times New Roman" w:cs="Times New Roman"/>
                <w:kern w:val="0"/>
                <w:sz w:val="24"/>
                <w:szCs w:val="24"/>
                <w:lang w:val="en-US" w:eastAsia="zh-CN"/>
              </w:rPr>
              <w:t>4</w:t>
            </w:r>
            <w:r>
              <w:rPr>
                <w:rFonts w:hint="default" w:ascii="Times New Roman" w:hAnsi="Times New Roman" w:cs="Times New Roman"/>
                <w:kern w:val="0"/>
                <w:sz w:val="24"/>
                <w:szCs w:val="24"/>
                <w:lang w:val="en-US" w:eastAsia="zh-CN"/>
              </w:rPr>
              <w:t>.</w:t>
            </w:r>
            <w:r>
              <w:rPr>
                <w:rFonts w:hint="eastAsia" w:ascii="Times New Roman" w:hAnsi="Times New Roman" w:cs="Times New Roman"/>
                <w:kern w:val="0"/>
                <w:sz w:val="24"/>
                <w:szCs w:val="24"/>
                <w:lang w:val="en-US" w:eastAsia="zh-CN"/>
              </w:rPr>
              <w:t>00</w:t>
            </w:r>
            <w:r>
              <w:rPr>
                <w:rFonts w:hint="default" w:ascii="Times New Roman" w:hAnsi="Times New Roman" w:cs="Times New Roman"/>
                <w:kern w:val="0"/>
                <w:sz w:val="24"/>
                <w:szCs w:val="24"/>
                <w:lang w:val="en-US" w:eastAsia="zh-CN"/>
              </w:rPr>
              <w:t>%股权，伟达创投持有合营企业33.00%股权，芜湖产投持有合营企业33.00%股权。墨擎投资</w:t>
            </w:r>
            <w:r>
              <w:rPr>
                <w:rFonts w:hint="eastAsia" w:ascii="Times New Roman" w:hAnsi="Times New Roman" w:cs="Times New Roman"/>
                <w:kern w:val="0"/>
                <w:sz w:val="24"/>
                <w:szCs w:val="24"/>
                <w:lang w:val="en-US" w:eastAsia="zh-CN"/>
              </w:rPr>
              <w:t>、伟达创投及芜湖产投共同控制合营企业。</w:t>
            </w:r>
          </w:p>
        </w:tc>
      </w:tr>
      <w:tr w14:paraId="6F453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809" w:type="dxa"/>
            <w:vMerge w:val="restart"/>
            <w:shd w:val="clear" w:color="auto" w:fill="D9D9D9"/>
          </w:tcPr>
          <w:p w14:paraId="37232CB1">
            <w:pPr>
              <w:rPr>
                <w:rFonts w:hint="default" w:ascii="Times New Roman" w:hAnsi="Times New Roman" w:cs="Times New Roman"/>
                <w:b/>
                <w:sz w:val="24"/>
                <w:szCs w:val="24"/>
              </w:rPr>
            </w:pPr>
            <w:r>
              <w:rPr>
                <w:rFonts w:hint="default" w:ascii="Times New Roman" w:hAnsi="Times New Roman" w:cs="Times New Roman"/>
                <w:b/>
                <w:sz w:val="24"/>
                <w:szCs w:val="24"/>
              </w:rPr>
              <w:t>参与集中的经营者简介</w:t>
            </w:r>
          </w:p>
        </w:tc>
        <w:tc>
          <w:tcPr>
            <w:tcW w:w="1796" w:type="dxa"/>
          </w:tcPr>
          <w:p w14:paraId="761C67BE">
            <w:pPr>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rPr>
              <w:t>1.</w:t>
            </w:r>
            <w:r>
              <w:rPr>
                <w:rFonts w:hint="eastAsia" w:ascii="Times New Roman" w:hAnsi="Times New Roman" w:cs="Times New Roman"/>
                <w:kern w:val="0"/>
                <w:sz w:val="24"/>
                <w:szCs w:val="24"/>
                <w:lang w:val="en-US" w:eastAsia="zh-CN"/>
              </w:rPr>
              <w:t>墨擎投资</w:t>
            </w:r>
          </w:p>
        </w:tc>
        <w:tc>
          <w:tcPr>
            <w:tcW w:w="5153" w:type="dxa"/>
          </w:tcPr>
          <w:p w14:paraId="5997A052">
            <w:pPr>
              <w:rPr>
                <w:rFonts w:hint="default" w:ascii="Times New Roman" w:hAnsi="Times New Roman" w:cs="Times New Roman"/>
                <w:sz w:val="24"/>
                <w:szCs w:val="24"/>
              </w:rPr>
            </w:pPr>
            <w:r>
              <w:rPr>
                <w:rFonts w:hint="eastAsia" w:ascii="Times New Roman" w:hAnsi="Times New Roman" w:cs="Times New Roman"/>
                <w:kern w:val="0"/>
                <w:sz w:val="24"/>
                <w:szCs w:val="24"/>
                <w:lang w:val="en-US" w:eastAsia="zh-CN"/>
              </w:rPr>
              <w:t>墨擎投资</w:t>
            </w:r>
            <w:r>
              <w:rPr>
                <w:rFonts w:hint="default" w:ascii="Times New Roman" w:hAnsi="Times New Roman" w:cs="Times New Roman"/>
                <w:sz w:val="24"/>
                <w:szCs w:val="24"/>
              </w:rPr>
              <w:t>于20</w:t>
            </w:r>
            <w:r>
              <w:rPr>
                <w:rFonts w:hint="eastAsia" w:ascii="Times New Roman" w:hAnsi="Times New Roman" w:cs="Times New Roman"/>
                <w:sz w:val="24"/>
                <w:szCs w:val="24"/>
                <w:lang w:val="en-US" w:eastAsia="zh-CN"/>
              </w:rPr>
              <w:t>26年5月29日</w:t>
            </w:r>
            <w:r>
              <w:rPr>
                <w:rFonts w:hint="default" w:ascii="Times New Roman" w:hAnsi="Times New Roman" w:cs="Times New Roman"/>
                <w:sz w:val="24"/>
                <w:szCs w:val="24"/>
              </w:rPr>
              <w:t>成立于</w:t>
            </w:r>
            <w:r>
              <w:rPr>
                <w:rFonts w:hint="eastAsia" w:ascii="Times New Roman" w:hAnsi="Times New Roman" w:cs="Times New Roman"/>
                <w:sz w:val="24"/>
                <w:szCs w:val="24"/>
                <w:lang w:val="en-US" w:eastAsia="zh-CN"/>
              </w:rPr>
              <w:t>安徽省芜湖市</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主要从事</w:t>
            </w:r>
            <w:r>
              <w:rPr>
                <w:rFonts w:hint="eastAsia" w:ascii="Times New Roman" w:hAnsi="Times New Roman" w:cs="Times New Roman"/>
                <w:sz w:val="24"/>
                <w:szCs w:val="24"/>
                <w:lang w:val="en-US" w:eastAsia="zh-CN"/>
              </w:rPr>
              <w:t>股权投资业务</w:t>
            </w:r>
            <w:r>
              <w:rPr>
                <w:rFonts w:hint="default" w:ascii="Times New Roman" w:hAnsi="Times New Roman" w:cs="Times New Roman"/>
                <w:sz w:val="24"/>
                <w:szCs w:val="24"/>
              </w:rPr>
              <w:t>。</w:t>
            </w:r>
          </w:p>
          <w:p w14:paraId="748963C3">
            <w:pPr>
              <w:rPr>
                <w:rFonts w:hint="default" w:ascii="Times New Roman" w:hAnsi="Times New Roman" w:cs="Times New Roman"/>
                <w:sz w:val="24"/>
                <w:szCs w:val="24"/>
              </w:rPr>
            </w:pPr>
            <w:r>
              <w:rPr>
                <w:rFonts w:hint="eastAsia" w:ascii="Times New Roman" w:hAnsi="Times New Roman" w:cs="Times New Roman"/>
                <w:kern w:val="0"/>
                <w:sz w:val="24"/>
                <w:szCs w:val="24"/>
                <w:lang w:val="en-US" w:eastAsia="zh-CN"/>
              </w:rPr>
              <w:t>墨擎投资</w:t>
            </w:r>
            <w:r>
              <w:rPr>
                <w:rFonts w:hint="default" w:ascii="Times New Roman" w:hAnsi="Times New Roman" w:cs="Times New Roman"/>
                <w:kern w:val="0"/>
                <w:sz w:val="24"/>
                <w:szCs w:val="24"/>
              </w:rPr>
              <w:t>最终控制人为奇瑞汽车股份有限公司，主要从事乘用车、汽车组件及零部件</w:t>
            </w:r>
            <w:r>
              <w:rPr>
                <w:rFonts w:hint="eastAsia" w:ascii="Times New Roman" w:hAnsi="Times New Roman" w:cs="Times New Roman"/>
                <w:kern w:val="0"/>
                <w:sz w:val="24"/>
                <w:szCs w:val="24"/>
                <w:lang w:val="en-US" w:eastAsia="zh-CN"/>
              </w:rPr>
              <w:t>的</w:t>
            </w:r>
            <w:r>
              <w:rPr>
                <w:rFonts w:hint="default" w:ascii="Times New Roman" w:hAnsi="Times New Roman" w:cs="Times New Roman"/>
                <w:kern w:val="0"/>
                <w:sz w:val="24"/>
                <w:szCs w:val="24"/>
              </w:rPr>
              <w:t>制造及销售</w:t>
            </w:r>
            <w:r>
              <w:rPr>
                <w:rFonts w:hint="eastAsia" w:ascii="Times New Roman" w:hAnsi="Times New Roman" w:cs="Times New Roman"/>
                <w:kern w:val="0"/>
                <w:sz w:val="24"/>
                <w:szCs w:val="24"/>
                <w:lang w:val="en-US" w:eastAsia="zh-CN"/>
              </w:rPr>
              <w:t>业务</w:t>
            </w:r>
            <w:r>
              <w:rPr>
                <w:rFonts w:hint="default" w:ascii="Times New Roman" w:hAnsi="Times New Roman" w:cs="Times New Roman"/>
                <w:kern w:val="0"/>
                <w:sz w:val="24"/>
                <w:szCs w:val="24"/>
              </w:rPr>
              <w:t>。</w:t>
            </w:r>
          </w:p>
        </w:tc>
      </w:tr>
      <w:tr w14:paraId="7A833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809" w:type="dxa"/>
            <w:vMerge w:val="continue"/>
            <w:shd w:val="clear" w:color="auto" w:fill="D9D9D9"/>
          </w:tcPr>
          <w:p w14:paraId="3D504803">
            <w:pPr>
              <w:rPr>
                <w:rFonts w:hint="default" w:ascii="Times New Roman" w:hAnsi="Times New Roman" w:cs="Times New Roman"/>
                <w:b/>
                <w:sz w:val="24"/>
                <w:szCs w:val="24"/>
              </w:rPr>
            </w:pPr>
          </w:p>
        </w:tc>
        <w:tc>
          <w:tcPr>
            <w:tcW w:w="1796" w:type="dxa"/>
          </w:tcPr>
          <w:p w14:paraId="155F00E7">
            <w:pPr>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伟达创投</w:t>
            </w:r>
          </w:p>
        </w:tc>
        <w:tc>
          <w:tcPr>
            <w:tcW w:w="5153" w:type="dxa"/>
          </w:tcPr>
          <w:p w14:paraId="5286D374">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eastAsia="宋体" w:cs="Times New Roman"/>
                <w:b w:val="0"/>
                <w:bCs/>
                <w:color w:val="000000"/>
                <w:kern w:val="0"/>
                <w:sz w:val="24"/>
                <w:szCs w:val="24"/>
                <w:lang w:val="en-GB" w:eastAsia="zh-CN" w:bidi="ar-AE"/>
              </w:rPr>
            </w:pPr>
            <w:r>
              <w:rPr>
                <w:rFonts w:hint="eastAsia" w:ascii="Times New Roman" w:hAnsi="Times New Roman" w:cs="Times New Roman"/>
                <w:b w:val="0"/>
                <w:bCs/>
                <w:color w:val="000000"/>
                <w:kern w:val="0"/>
                <w:sz w:val="24"/>
                <w:szCs w:val="24"/>
                <w:lang w:val="en-US" w:eastAsia="zh-CN" w:bidi="ar-AE"/>
              </w:rPr>
              <w:t>伟达创投</w:t>
            </w:r>
            <w:r>
              <w:rPr>
                <w:rFonts w:hint="default" w:ascii="Times New Roman" w:hAnsi="Times New Roman" w:eastAsia="宋体" w:cs="Times New Roman"/>
                <w:b w:val="0"/>
                <w:bCs/>
                <w:color w:val="000000"/>
                <w:kern w:val="0"/>
                <w:sz w:val="24"/>
                <w:szCs w:val="24"/>
                <w:lang w:val="en-GB" w:eastAsia="zh-CN" w:bidi="ar-AE"/>
              </w:rPr>
              <w:t>于</w:t>
            </w:r>
            <w:r>
              <w:rPr>
                <w:rFonts w:hint="default" w:ascii="Times New Roman" w:hAnsi="Times New Roman" w:cs="Times New Roman"/>
                <w:b w:val="0"/>
                <w:bCs/>
                <w:color w:val="000000"/>
                <w:kern w:val="0"/>
                <w:sz w:val="24"/>
                <w:szCs w:val="24"/>
                <w:lang w:val="en-US" w:eastAsia="zh-CN" w:bidi="ar-AE"/>
              </w:rPr>
              <w:t>202</w:t>
            </w:r>
            <w:r>
              <w:rPr>
                <w:rFonts w:hint="eastAsia" w:ascii="Times New Roman" w:hAnsi="Times New Roman" w:cs="Times New Roman"/>
                <w:b w:val="0"/>
                <w:bCs/>
                <w:color w:val="000000"/>
                <w:kern w:val="0"/>
                <w:sz w:val="24"/>
                <w:szCs w:val="24"/>
                <w:lang w:val="en-US" w:eastAsia="zh-CN" w:bidi="ar-AE"/>
              </w:rPr>
              <w:t>1年1月4</w:t>
            </w:r>
            <w:r>
              <w:rPr>
                <w:rFonts w:hint="default" w:ascii="Times New Roman" w:hAnsi="Times New Roman" w:eastAsia="宋体" w:cs="Times New Roman"/>
                <w:b w:val="0"/>
                <w:bCs/>
                <w:color w:val="000000"/>
                <w:kern w:val="0"/>
                <w:sz w:val="24"/>
                <w:szCs w:val="24"/>
                <w:lang w:val="en-GB" w:eastAsia="zh-CN" w:bidi="ar-AE"/>
              </w:rPr>
              <w:t>日成立于</w:t>
            </w:r>
            <w:r>
              <w:rPr>
                <w:rFonts w:hint="eastAsia" w:ascii="Times New Roman" w:hAnsi="Times New Roman" w:cs="Times New Roman"/>
                <w:b w:val="0"/>
                <w:bCs/>
                <w:color w:val="000000"/>
                <w:kern w:val="0"/>
                <w:sz w:val="24"/>
                <w:szCs w:val="24"/>
                <w:lang w:val="en-US" w:eastAsia="zh-CN" w:bidi="ar-AE"/>
              </w:rPr>
              <w:t>安徽省芜湖市</w:t>
            </w:r>
            <w:r>
              <w:rPr>
                <w:rFonts w:hint="default" w:ascii="Times New Roman" w:hAnsi="Times New Roman" w:eastAsia="宋体" w:cs="Times New Roman"/>
                <w:b w:val="0"/>
                <w:bCs/>
                <w:color w:val="000000"/>
                <w:kern w:val="0"/>
                <w:sz w:val="24"/>
                <w:szCs w:val="24"/>
                <w:lang w:val="en-GB" w:eastAsia="zh-CN" w:bidi="ar-AE"/>
              </w:rPr>
              <w:t>，主要</w:t>
            </w:r>
            <w:r>
              <w:rPr>
                <w:rFonts w:hint="default" w:ascii="Times New Roman" w:hAnsi="Times New Roman" w:eastAsia="宋体" w:cs="Times New Roman"/>
                <w:b w:val="0"/>
                <w:bCs/>
                <w:color w:val="000000"/>
                <w:kern w:val="0"/>
                <w:sz w:val="24"/>
                <w:szCs w:val="24"/>
                <w:lang w:val="en-US" w:eastAsia="zh-CN" w:bidi="ar-AE"/>
              </w:rPr>
              <w:t>从事</w:t>
            </w:r>
            <w:r>
              <w:rPr>
                <w:rFonts w:hint="default" w:ascii="Times New Roman" w:hAnsi="Times New Roman" w:cs="Times New Roman"/>
                <w:sz w:val="24"/>
                <w:szCs w:val="24"/>
              </w:rPr>
              <w:t>高新技术企业、自主创业企业、中小科技企业的股权投资。</w:t>
            </w:r>
          </w:p>
          <w:p w14:paraId="185932E4">
            <w:pPr>
              <w:rPr>
                <w:rFonts w:hint="default" w:ascii="Times New Roman" w:hAnsi="Times New Roman" w:cs="Times New Roman"/>
                <w:sz w:val="24"/>
                <w:szCs w:val="24"/>
              </w:rPr>
            </w:pPr>
            <w:r>
              <w:rPr>
                <w:rFonts w:hint="eastAsia" w:ascii="Times New Roman" w:hAnsi="Times New Roman" w:cs="Times New Roman"/>
                <w:b w:val="0"/>
                <w:bCs/>
                <w:color w:val="000000"/>
                <w:kern w:val="0"/>
                <w:sz w:val="24"/>
                <w:szCs w:val="24"/>
                <w:lang w:val="en-US" w:eastAsia="zh-CN" w:bidi="ar-AE"/>
              </w:rPr>
              <w:t>伟达创投</w:t>
            </w:r>
            <w:r>
              <w:rPr>
                <w:rFonts w:hint="default" w:ascii="Times New Roman" w:hAnsi="Times New Roman" w:eastAsia="宋体" w:cs="Times New Roman"/>
                <w:b w:val="0"/>
                <w:bCs/>
                <w:color w:val="000000"/>
                <w:kern w:val="0"/>
                <w:sz w:val="24"/>
                <w:szCs w:val="24"/>
                <w:lang w:val="en-US" w:eastAsia="zh-CN" w:bidi="ar-AE"/>
              </w:rPr>
              <w:t>最终控制人为芜湖凤鸣控股集团有限公司</w:t>
            </w:r>
            <w:r>
              <w:rPr>
                <w:rFonts w:hint="eastAsia" w:ascii="Times New Roman" w:hAnsi="Times New Roman" w:cs="Times New Roman"/>
                <w:b w:val="0"/>
                <w:bCs/>
                <w:color w:val="000000"/>
                <w:kern w:val="0"/>
                <w:sz w:val="24"/>
                <w:szCs w:val="24"/>
                <w:lang w:val="en-US" w:eastAsia="zh-CN" w:bidi="ar-AE"/>
              </w:rPr>
              <w:t>，主要从事</w:t>
            </w:r>
            <w:r>
              <w:rPr>
                <w:rFonts w:hint="default" w:ascii="Times New Roman" w:hAnsi="Times New Roman" w:eastAsia="宋体" w:cs="Times New Roman"/>
                <w:b w:val="0"/>
                <w:bCs/>
                <w:color w:val="000000"/>
                <w:kern w:val="0"/>
                <w:sz w:val="24"/>
                <w:szCs w:val="24"/>
                <w:lang w:val="en-US" w:eastAsia="zh-CN" w:bidi="ar-AE"/>
              </w:rPr>
              <w:t>产业投资、城市建设、城市运营、产业服务</w:t>
            </w:r>
            <w:r>
              <w:rPr>
                <w:rFonts w:hint="eastAsia" w:ascii="Times New Roman" w:hAnsi="Times New Roman" w:cs="Times New Roman"/>
                <w:b w:val="0"/>
                <w:bCs/>
                <w:color w:val="000000"/>
                <w:kern w:val="0"/>
                <w:sz w:val="24"/>
                <w:szCs w:val="24"/>
                <w:lang w:val="en-US" w:eastAsia="zh-CN" w:bidi="ar-AE"/>
              </w:rPr>
              <w:t>业务</w:t>
            </w:r>
            <w:r>
              <w:rPr>
                <w:rFonts w:hint="default" w:ascii="Times New Roman" w:hAnsi="Times New Roman" w:eastAsia="宋体" w:cs="Times New Roman"/>
                <w:b w:val="0"/>
                <w:bCs/>
                <w:color w:val="000000"/>
                <w:kern w:val="0"/>
                <w:sz w:val="24"/>
                <w:szCs w:val="24"/>
                <w:lang w:val="en-US" w:eastAsia="zh-CN" w:bidi="ar-AE"/>
              </w:rPr>
              <w:t>。</w:t>
            </w:r>
          </w:p>
        </w:tc>
      </w:tr>
      <w:tr w14:paraId="7975C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809" w:type="dxa"/>
            <w:vMerge w:val="continue"/>
            <w:shd w:val="clear" w:color="auto" w:fill="D9D9D9"/>
          </w:tcPr>
          <w:p w14:paraId="05CF2A59">
            <w:pPr>
              <w:rPr>
                <w:rFonts w:hint="default" w:ascii="Times New Roman" w:hAnsi="Times New Roman" w:cs="Times New Roman"/>
                <w:b/>
                <w:sz w:val="24"/>
                <w:szCs w:val="24"/>
              </w:rPr>
            </w:pPr>
          </w:p>
        </w:tc>
        <w:tc>
          <w:tcPr>
            <w:tcW w:w="1796" w:type="dxa"/>
          </w:tcPr>
          <w:p w14:paraId="262F8951">
            <w:pPr>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3.芜湖产投</w:t>
            </w:r>
          </w:p>
        </w:tc>
        <w:tc>
          <w:tcPr>
            <w:tcW w:w="5153" w:type="dxa"/>
          </w:tcPr>
          <w:p w14:paraId="1CC00E99">
            <w:pPr>
              <w:rPr>
                <w:rFonts w:hint="eastAsia" w:ascii="Times New Roman" w:hAnsi="Times New Roman" w:cs="Times New Roman"/>
                <w:b w:val="0"/>
                <w:bCs/>
                <w:color w:val="000000"/>
                <w:kern w:val="0"/>
                <w:sz w:val="24"/>
                <w:szCs w:val="24"/>
                <w:lang w:val="en-US" w:eastAsia="zh-CN" w:bidi="ar-AE"/>
              </w:rPr>
            </w:pPr>
            <w:r>
              <w:rPr>
                <w:rFonts w:hint="eastAsia" w:ascii="Times New Roman" w:hAnsi="Times New Roman" w:cs="Times New Roman"/>
                <w:b w:val="0"/>
                <w:bCs/>
                <w:color w:val="000000"/>
                <w:kern w:val="0"/>
                <w:sz w:val="24"/>
                <w:szCs w:val="24"/>
                <w:lang w:val="en-US" w:eastAsia="zh-CN" w:bidi="ar-AE"/>
              </w:rPr>
              <w:t>芜湖产投于2017年6月16日成立于安徽省芜湖市，主要从事股权投资业务。</w:t>
            </w:r>
          </w:p>
          <w:p w14:paraId="25A5A12E">
            <w:pPr>
              <w:rPr>
                <w:rFonts w:hint="default" w:ascii="Times New Roman" w:hAnsi="Times New Roman" w:cs="Times New Roman"/>
                <w:b w:val="0"/>
                <w:bCs/>
                <w:color w:val="000000"/>
                <w:kern w:val="0"/>
                <w:sz w:val="24"/>
                <w:szCs w:val="24"/>
                <w:lang w:val="en-US" w:eastAsia="zh-CN" w:bidi="ar-AE"/>
              </w:rPr>
            </w:pPr>
            <w:r>
              <w:rPr>
                <w:rFonts w:hint="eastAsia" w:ascii="Times New Roman" w:hAnsi="Times New Roman" w:cs="Times New Roman"/>
                <w:b w:val="0"/>
                <w:bCs/>
                <w:color w:val="000000"/>
                <w:kern w:val="0"/>
                <w:sz w:val="24"/>
                <w:szCs w:val="24"/>
                <w:lang w:val="en-US" w:eastAsia="zh-CN" w:bidi="ar-AE"/>
              </w:rPr>
              <w:t>芜湖产投最终控制人为芜湖市投资控股集团有限公司，主要从事投资管理、汽车组件及零部件、智能设备及集成、工程和项目管理、航空航天等业务。</w:t>
            </w:r>
          </w:p>
        </w:tc>
      </w:tr>
      <w:tr w14:paraId="1DAF1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1809" w:type="dxa"/>
            <w:vMerge w:val="restart"/>
            <w:shd w:val="clear" w:color="auto" w:fill="D9D9D9"/>
          </w:tcPr>
          <w:p w14:paraId="3385E119">
            <w:pPr>
              <w:rPr>
                <w:rFonts w:hint="default" w:ascii="Times New Roman" w:hAnsi="Times New Roman" w:cs="Times New Roman"/>
                <w:b/>
                <w:sz w:val="24"/>
                <w:szCs w:val="24"/>
              </w:rPr>
            </w:pPr>
            <w:r>
              <w:rPr>
                <w:rFonts w:hint="default" w:ascii="Times New Roman" w:hAnsi="Times New Roman" w:cs="Times New Roman"/>
                <w:b/>
                <w:sz w:val="24"/>
                <w:szCs w:val="24"/>
              </w:rPr>
              <w:t>简易案件理由（可以单选，也可以多选）</w:t>
            </w:r>
          </w:p>
        </w:tc>
        <w:tc>
          <w:tcPr>
            <w:tcW w:w="6949" w:type="dxa"/>
            <w:gridSpan w:val="2"/>
          </w:tcPr>
          <w:p w14:paraId="316EDA7E">
            <w:pPr>
              <w:rPr>
                <w:rFonts w:hint="default" w:ascii="Times New Roman" w:hAnsi="Times New Roman" w:cs="Times New Roman"/>
                <w:sz w:val="24"/>
                <w:szCs w:val="24"/>
              </w:rPr>
            </w:pPr>
            <w:r>
              <w:rPr>
                <w:rFonts w:hint="default" w:ascii="Times New Roman" w:hAnsi="Times New Roman" w:cs="Times New Roman"/>
                <w:sz w:val="24"/>
                <w:szCs w:val="24"/>
              </w:rPr>
              <w:sym w:font="Wingdings" w:char="00A8"/>
            </w:r>
            <w:r>
              <w:rPr>
                <w:rFonts w:hint="default" w:ascii="Times New Roman" w:hAnsi="Times New Roman" w:cs="Times New Roman"/>
                <w:sz w:val="24"/>
                <w:szCs w:val="24"/>
              </w:rPr>
              <w:t xml:space="preserve"> 1、在同一相关市场，所有参与集中的经营者所占市场份额之和小于15%。</w:t>
            </w:r>
          </w:p>
        </w:tc>
      </w:tr>
      <w:tr w14:paraId="6DBC8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809" w:type="dxa"/>
            <w:vMerge w:val="continue"/>
            <w:shd w:val="clear" w:color="auto" w:fill="D9D9D9"/>
          </w:tcPr>
          <w:p w14:paraId="72EAAED9">
            <w:pPr>
              <w:rPr>
                <w:rFonts w:hint="default" w:ascii="Times New Roman" w:hAnsi="Times New Roman" w:cs="Times New Roman"/>
                <w:b/>
                <w:sz w:val="24"/>
                <w:szCs w:val="24"/>
              </w:rPr>
            </w:pPr>
          </w:p>
        </w:tc>
        <w:tc>
          <w:tcPr>
            <w:tcW w:w="6949" w:type="dxa"/>
            <w:gridSpan w:val="2"/>
          </w:tcPr>
          <w:p w14:paraId="6C87F464">
            <w:pPr>
              <w:rPr>
                <w:rFonts w:hint="default" w:ascii="Times New Roman" w:hAnsi="Times New Roman" w:cs="Times New Roman"/>
                <w:sz w:val="24"/>
                <w:szCs w:val="24"/>
              </w:rPr>
            </w:pPr>
            <w:r>
              <w:rPr>
                <w:rFonts w:hint="default" w:ascii="Times New Roman" w:hAnsi="Times New Roman" w:cs="Times New Roman"/>
                <w:sz w:val="24"/>
                <w:szCs w:val="24"/>
              </w:rPr>
              <w:sym w:font="Wingdings" w:char="00A8"/>
            </w:r>
            <w:r>
              <w:rPr>
                <w:rFonts w:hint="default" w:ascii="Times New Roman" w:hAnsi="Times New Roman" w:cs="Times New Roman"/>
                <w:sz w:val="24"/>
                <w:szCs w:val="24"/>
              </w:rPr>
              <w:t xml:space="preserve"> 2、存在上下游关系的参与集中的经营者，在上下游市场所占的市场份额均小于25%。</w:t>
            </w:r>
          </w:p>
        </w:tc>
      </w:tr>
      <w:tr w14:paraId="24954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809" w:type="dxa"/>
            <w:vMerge w:val="continue"/>
            <w:shd w:val="clear" w:color="auto" w:fill="D9D9D9"/>
          </w:tcPr>
          <w:p w14:paraId="5D6BB087">
            <w:pPr>
              <w:rPr>
                <w:rFonts w:hint="default" w:ascii="Times New Roman" w:hAnsi="Times New Roman" w:cs="Times New Roman"/>
                <w:b/>
                <w:sz w:val="24"/>
                <w:szCs w:val="24"/>
              </w:rPr>
            </w:pPr>
          </w:p>
        </w:tc>
        <w:tc>
          <w:tcPr>
            <w:tcW w:w="6949" w:type="dxa"/>
            <w:gridSpan w:val="2"/>
          </w:tcPr>
          <w:p w14:paraId="15C9AB8B">
            <w:pPr>
              <w:rPr>
                <w:rFonts w:hint="default" w:ascii="Times New Roman" w:hAnsi="Times New Roman" w:cs="Times New Roman"/>
                <w:sz w:val="24"/>
                <w:szCs w:val="24"/>
              </w:rPr>
            </w:pPr>
            <w:r>
              <w:rPr>
                <w:rFonts w:hint="default" w:ascii="Times New Roman" w:hAnsi="Times New Roman" w:cs="Times New Roman"/>
                <w:sz w:val="24"/>
                <w:szCs w:val="24"/>
              </w:rPr>
              <w:sym w:font="Wingdings" w:char="00FE"/>
            </w:r>
            <w:r>
              <w:rPr>
                <w:rFonts w:hint="default" w:ascii="Times New Roman" w:hAnsi="Times New Roman" w:cs="Times New Roman"/>
                <w:sz w:val="24"/>
                <w:szCs w:val="24"/>
              </w:rPr>
              <w:t xml:space="preserve"> 3、不在同一相关市场、也不存在上下游关系的参与集中的经营者，在与交易有关的每个市场所占的份额均小于25%。</w:t>
            </w:r>
          </w:p>
        </w:tc>
      </w:tr>
      <w:tr w14:paraId="3CDF3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809" w:type="dxa"/>
            <w:vMerge w:val="continue"/>
            <w:shd w:val="clear" w:color="auto" w:fill="D9D9D9"/>
          </w:tcPr>
          <w:p w14:paraId="7464F5D3">
            <w:pPr>
              <w:rPr>
                <w:rFonts w:hint="default" w:ascii="Times New Roman" w:hAnsi="Times New Roman" w:cs="Times New Roman"/>
                <w:b/>
                <w:sz w:val="24"/>
                <w:szCs w:val="24"/>
              </w:rPr>
            </w:pPr>
          </w:p>
        </w:tc>
        <w:tc>
          <w:tcPr>
            <w:tcW w:w="6949" w:type="dxa"/>
            <w:gridSpan w:val="2"/>
          </w:tcPr>
          <w:p w14:paraId="0A4505A3">
            <w:pPr>
              <w:rPr>
                <w:rFonts w:hint="default" w:ascii="Times New Roman" w:hAnsi="Times New Roman" w:cs="Times New Roman"/>
                <w:sz w:val="24"/>
                <w:szCs w:val="24"/>
              </w:rPr>
            </w:pPr>
            <w:r>
              <w:rPr>
                <w:rFonts w:hint="default" w:ascii="Times New Roman" w:hAnsi="Times New Roman" w:cs="Times New Roman"/>
                <w:sz w:val="24"/>
                <w:szCs w:val="24"/>
              </w:rPr>
              <w:sym w:font="Wingdings" w:char="F0A8"/>
            </w:r>
            <w:r>
              <w:rPr>
                <w:rFonts w:hint="default" w:ascii="Times New Roman" w:hAnsi="Times New Roman" w:cs="Times New Roman"/>
                <w:sz w:val="24"/>
                <w:szCs w:val="24"/>
              </w:rPr>
              <w:t xml:space="preserve"> 4、参与集中的经营者在中国境外设立合营企业，合营企业不在中国境内从事经济活动。</w:t>
            </w:r>
          </w:p>
        </w:tc>
      </w:tr>
      <w:tr w14:paraId="53B6C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1809" w:type="dxa"/>
            <w:vMerge w:val="continue"/>
            <w:shd w:val="clear" w:color="auto" w:fill="D9D9D9"/>
          </w:tcPr>
          <w:p w14:paraId="49A19ED5">
            <w:pPr>
              <w:rPr>
                <w:rFonts w:hint="default" w:ascii="Times New Roman" w:hAnsi="Times New Roman" w:cs="Times New Roman"/>
                <w:b/>
                <w:sz w:val="24"/>
                <w:szCs w:val="24"/>
              </w:rPr>
            </w:pPr>
          </w:p>
        </w:tc>
        <w:tc>
          <w:tcPr>
            <w:tcW w:w="6949" w:type="dxa"/>
            <w:gridSpan w:val="2"/>
          </w:tcPr>
          <w:p w14:paraId="5BFA8215">
            <w:pPr>
              <w:rPr>
                <w:rFonts w:hint="default" w:ascii="Times New Roman" w:hAnsi="Times New Roman" w:cs="Times New Roman"/>
                <w:sz w:val="24"/>
                <w:szCs w:val="24"/>
              </w:rPr>
            </w:pPr>
            <w:r>
              <w:rPr>
                <w:rFonts w:hint="default" w:ascii="Times New Roman" w:hAnsi="Times New Roman" w:cs="Times New Roman"/>
                <w:sz w:val="24"/>
                <w:szCs w:val="24"/>
              </w:rPr>
              <w:sym w:font="Wingdings" w:char="F0A8"/>
            </w:r>
            <w:r>
              <w:rPr>
                <w:rFonts w:hint="default" w:ascii="Times New Roman" w:hAnsi="Times New Roman" w:cs="Times New Roman"/>
                <w:sz w:val="24"/>
                <w:szCs w:val="24"/>
              </w:rPr>
              <w:t xml:space="preserve"> 5、参与集中的经营者收购境外企业股权或资产的，该境外企业不在中国境内从事经济活动。</w:t>
            </w:r>
          </w:p>
        </w:tc>
      </w:tr>
      <w:tr w14:paraId="48BCC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809" w:type="dxa"/>
            <w:vMerge w:val="continue"/>
            <w:shd w:val="clear" w:color="auto" w:fill="D9D9D9"/>
          </w:tcPr>
          <w:p w14:paraId="2AA79D9B">
            <w:pPr>
              <w:rPr>
                <w:rFonts w:hint="default" w:ascii="Times New Roman" w:hAnsi="Times New Roman" w:cs="Times New Roman"/>
                <w:b/>
                <w:sz w:val="24"/>
                <w:szCs w:val="24"/>
              </w:rPr>
            </w:pPr>
          </w:p>
        </w:tc>
        <w:tc>
          <w:tcPr>
            <w:tcW w:w="6949" w:type="dxa"/>
            <w:gridSpan w:val="2"/>
          </w:tcPr>
          <w:p w14:paraId="5D3A5AA4">
            <w:pPr>
              <w:rPr>
                <w:rFonts w:hint="default" w:ascii="Times New Roman" w:hAnsi="Times New Roman" w:cs="Times New Roman"/>
                <w:sz w:val="24"/>
                <w:szCs w:val="24"/>
              </w:rPr>
            </w:pPr>
            <w:r>
              <w:rPr>
                <w:rFonts w:hint="default" w:ascii="Times New Roman" w:hAnsi="Times New Roman" w:cs="Times New Roman"/>
                <w:sz w:val="24"/>
                <w:szCs w:val="24"/>
              </w:rPr>
              <w:sym w:font="Wingdings" w:char="00A8"/>
            </w:r>
            <w:r>
              <w:rPr>
                <w:rFonts w:hint="default" w:ascii="Times New Roman" w:hAnsi="Times New Roman" w:cs="Times New Roman"/>
                <w:sz w:val="24"/>
                <w:szCs w:val="24"/>
              </w:rPr>
              <w:t xml:space="preserve"> 6、由两个以上的经营者共同控制的合营企业，通过集中被其中一个或一个以上经营者控制。</w:t>
            </w:r>
          </w:p>
        </w:tc>
      </w:tr>
      <w:tr w14:paraId="6CAB5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shd w:val="clear" w:color="auto" w:fill="D9D9D9"/>
          </w:tcPr>
          <w:p w14:paraId="5E28FE6B">
            <w:pPr>
              <w:rPr>
                <w:rFonts w:hint="default" w:ascii="Times New Roman" w:hAnsi="Times New Roman" w:cs="Times New Roman"/>
                <w:b/>
                <w:sz w:val="24"/>
                <w:szCs w:val="24"/>
              </w:rPr>
            </w:pPr>
            <w:r>
              <w:rPr>
                <w:rFonts w:hint="default" w:ascii="Times New Roman" w:hAnsi="Times New Roman" w:cs="Times New Roman"/>
                <w:b/>
                <w:sz w:val="24"/>
                <w:szCs w:val="24"/>
              </w:rPr>
              <w:t>备注</w:t>
            </w:r>
          </w:p>
        </w:tc>
        <w:tc>
          <w:tcPr>
            <w:tcW w:w="6949" w:type="dxa"/>
            <w:gridSpan w:val="2"/>
          </w:tcPr>
          <w:p w14:paraId="5C285DE6">
            <w:pPr>
              <w:rPr>
                <w:rFonts w:hint="default" w:ascii="Times New Roman" w:hAnsi="Times New Roman" w:cs="Times New Roman"/>
                <w:b/>
                <w:bCs/>
                <w:sz w:val="24"/>
                <w:szCs w:val="24"/>
              </w:rPr>
            </w:pPr>
            <w:r>
              <w:rPr>
                <w:rFonts w:hint="eastAsia" w:ascii="Times New Roman" w:hAnsi="Times New Roman" w:cs="Times New Roman"/>
                <w:b/>
                <w:bCs/>
                <w:sz w:val="24"/>
                <w:szCs w:val="24"/>
                <w:lang w:val="en-US" w:eastAsia="zh-CN"/>
              </w:rPr>
              <w:t>混合集中</w:t>
            </w:r>
            <w:r>
              <w:rPr>
                <w:rFonts w:hint="default" w:ascii="Times New Roman" w:hAnsi="Times New Roman" w:cs="Times New Roman"/>
                <w:b/>
                <w:bCs/>
                <w:sz w:val="24"/>
                <w:szCs w:val="24"/>
              </w:rPr>
              <w:t>：</w:t>
            </w:r>
          </w:p>
          <w:p w14:paraId="08FD1C4F">
            <w:pPr>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2025年全球人形机器人市场：</w:t>
            </w:r>
          </w:p>
          <w:p w14:paraId="03C8675A">
            <w:pPr>
              <w:rPr>
                <w:rFonts w:hint="eastAsia" w:ascii="Times New Roman" w:hAnsi="Times New Roman" w:cs="Times New Roman"/>
                <w:sz w:val="24"/>
                <w:szCs w:val="24"/>
              </w:rPr>
            </w:pPr>
            <w:r>
              <w:rPr>
                <w:rFonts w:hint="eastAsia" w:ascii="Times New Roman" w:hAnsi="Times New Roman" w:cs="Times New Roman"/>
                <w:sz w:val="24"/>
                <w:szCs w:val="24"/>
                <w:lang w:val="en-US" w:eastAsia="zh-CN"/>
              </w:rPr>
              <w:t>墨擎投资</w:t>
            </w:r>
            <w:r>
              <w:rPr>
                <w:rFonts w:hint="eastAsia" w:ascii="Times New Roman" w:hAnsi="Times New Roman" w:cs="Times New Roman"/>
                <w:sz w:val="24"/>
                <w:szCs w:val="24"/>
              </w:rPr>
              <w:t>：</w:t>
            </w:r>
            <w:r>
              <w:rPr>
                <w:rFonts w:hint="eastAsia" w:ascii="Times New Roman" w:hAnsi="Times New Roman" w:cs="Times New Roman"/>
                <w:sz w:val="24"/>
                <w:szCs w:val="24"/>
                <w:lang w:val="en-US" w:eastAsia="zh-CN"/>
              </w:rPr>
              <w:t>0~5</w:t>
            </w:r>
            <w:r>
              <w:rPr>
                <w:rFonts w:hint="eastAsia" w:ascii="Times New Roman" w:hAnsi="Times New Roman" w:cs="Times New Roman"/>
                <w:sz w:val="24"/>
                <w:szCs w:val="24"/>
              </w:rPr>
              <w:t>%</w:t>
            </w:r>
          </w:p>
          <w:p w14:paraId="5CB6EC6B">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2025年中国境内人形机器人市场：</w:t>
            </w:r>
          </w:p>
          <w:p w14:paraId="2B0017D9">
            <w:pPr>
              <w:rPr>
                <w:rFonts w:hint="default" w:ascii="Times New Roman" w:hAnsi="Times New Roman" w:cs="Times New Roman"/>
                <w:sz w:val="24"/>
                <w:szCs w:val="24"/>
              </w:rPr>
            </w:pPr>
            <w:bookmarkStart w:id="1" w:name="_GoBack"/>
            <w:bookmarkEnd w:id="1"/>
            <w:r>
              <w:rPr>
                <w:rFonts w:hint="eastAsia" w:ascii="Times New Roman" w:hAnsi="Times New Roman" w:cs="Times New Roman"/>
                <w:sz w:val="24"/>
                <w:szCs w:val="24"/>
                <w:lang w:val="en-US" w:eastAsia="zh-CN"/>
              </w:rPr>
              <w:t>墨擎投资</w:t>
            </w:r>
            <w:r>
              <w:rPr>
                <w:rFonts w:hint="eastAsia" w:ascii="Times New Roman" w:hAnsi="Times New Roman" w:cs="Times New Roman"/>
                <w:sz w:val="24"/>
                <w:szCs w:val="24"/>
              </w:rPr>
              <w:t>：</w:t>
            </w:r>
            <w:r>
              <w:rPr>
                <w:rFonts w:hint="eastAsia" w:ascii="Times New Roman" w:hAnsi="Times New Roman" w:cs="Times New Roman"/>
                <w:sz w:val="24"/>
                <w:szCs w:val="24"/>
                <w:lang w:val="en-US" w:eastAsia="zh-CN"/>
              </w:rPr>
              <w:t>0~5</w:t>
            </w:r>
            <w:r>
              <w:rPr>
                <w:rFonts w:hint="eastAsia" w:ascii="Times New Roman" w:hAnsi="Times New Roman" w:cs="Times New Roman"/>
                <w:sz w:val="24"/>
                <w:szCs w:val="24"/>
              </w:rPr>
              <w:t>%</w:t>
            </w:r>
          </w:p>
        </w:tc>
      </w:tr>
      <w:bookmarkEnd w:id="0"/>
    </w:tbl>
    <w:p w14:paraId="5AE0BB71">
      <w:pPr>
        <w:rPr>
          <w:rFonts w:ascii="Times New Roman" w:hAnsi="Times New Roman"/>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E79BB5F5-E776-43B6-83C3-55DAD5018B4A}"/>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9B599522-6030-4445-AD5E-4108F4B13FF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Wingdings">
    <w:panose1 w:val="05000000000000000000"/>
    <w:charset w:val="00"/>
    <w:family w:val="auto"/>
    <w:pitch w:val="default"/>
    <w:sig w:usb0="00000000" w:usb1="00000000" w:usb2="00000000" w:usb3="00000000" w:csb0="80000000" w:csb1="00000000"/>
    <w:embedRegular r:id="rId3" w:fontKey="{C9923F42-149F-469D-BCB9-2BBD7CEACC89}"/>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095"/>
    <w:rsid w:val="000028B9"/>
    <w:rsid w:val="00002BB4"/>
    <w:rsid w:val="0002190B"/>
    <w:rsid w:val="00023510"/>
    <w:rsid w:val="00045966"/>
    <w:rsid w:val="000675A7"/>
    <w:rsid w:val="00081C11"/>
    <w:rsid w:val="00094095"/>
    <w:rsid w:val="000A7223"/>
    <w:rsid w:val="000B347D"/>
    <w:rsid w:val="000B4D65"/>
    <w:rsid w:val="000C0828"/>
    <w:rsid w:val="000E1188"/>
    <w:rsid w:val="000E363D"/>
    <w:rsid w:val="00103F1F"/>
    <w:rsid w:val="00113024"/>
    <w:rsid w:val="00113B7D"/>
    <w:rsid w:val="00113F95"/>
    <w:rsid w:val="00115F2B"/>
    <w:rsid w:val="001469CA"/>
    <w:rsid w:val="001530C8"/>
    <w:rsid w:val="00172D73"/>
    <w:rsid w:val="00174A37"/>
    <w:rsid w:val="00181E00"/>
    <w:rsid w:val="001A1F68"/>
    <w:rsid w:val="001B6BE7"/>
    <w:rsid w:val="001D2727"/>
    <w:rsid w:val="001D60C2"/>
    <w:rsid w:val="001D6EEA"/>
    <w:rsid w:val="001E6C23"/>
    <w:rsid w:val="001E72E6"/>
    <w:rsid w:val="00212883"/>
    <w:rsid w:val="00233B32"/>
    <w:rsid w:val="00242187"/>
    <w:rsid w:val="00245776"/>
    <w:rsid w:val="0025104F"/>
    <w:rsid w:val="00251FFF"/>
    <w:rsid w:val="002716AF"/>
    <w:rsid w:val="0027728C"/>
    <w:rsid w:val="002813E3"/>
    <w:rsid w:val="00286F12"/>
    <w:rsid w:val="0029266B"/>
    <w:rsid w:val="002A0992"/>
    <w:rsid w:val="002A2976"/>
    <w:rsid w:val="002A2A64"/>
    <w:rsid w:val="002A5221"/>
    <w:rsid w:val="002A5816"/>
    <w:rsid w:val="002B769E"/>
    <w:rsid w:val="002C0878"/>
    <w:rsid w:val="002C150A"/>
    <w:rsid w:val="002C2E9A"/>
    <w:rsid w:val="002C62AF"/>
    <w:rsid w:val="002D3E80"/>
    <w:rsid w:val="002F2D60"/>
    <w:rsid w:val="002F54BC"/>
    <w:rsid w:val="00307976"/>
    <w:rsid w:val="00315C44"/>
    <w:rsid w:val="003437D6"/>
    <w:rsid w:val="00344CBE"/>
    <w:rsid w:val="00356FF1"/>
    <w:rsid w:val="00372412"/>
    <w:rsid w:val="003774E4"/>
    <w:rsid w:val="003B4AF2"/>
    <w:rsid w:val="003C4E9F"/>
    <w:rsid w:val="003E60C3"/>
    <w:rsid w:val="003F3A3D"/>
    <w:rsid w:val="003F3F2D"/>
    <w:rsid w:val="004137D8"/>
    <w:rsid w:val="004203A2"/>
    <w:rsid w:val="00436C0C"/>
    <w:rsid w:val="00452181"/>
    <w:rsid w:val="00462174"/>
    <w:rsid w:val="00466906"/>
    <w:rsid w:val="004A6517"/>
    <w:rsid w:val="004A72D5"/>
    <w:rsid w:val="004B048E"/>
    <w:rsid w:val="004C37D8"/>
    <w:rsid w:val="004C3E23"/>
    <w:rsid w:val="004D1A60"/>
    <w:rsid w:val="00511B0C"/>
    <w:rsid w:val="00523151"/>
    <w:rsid w:val="00533635"/>
    <w:rsid w:val="00547709"/>
    <w:rsid w:val="0055631E"/>
    <w:rsid w:val="00563F1C"/>
    <w:rsid w:val="00586928"/>
    <w:rsid w:val="00587541"/>
    <w:rsid w:val="005A0F48"/>
    <w:rsid w:val="005A31C8"/>
    <w:rsid w:val="005A5B31"/>
    <w:rsid w:val="005B29A6"/>
    <w:rsid w:val="005B2A20"/>
    <w:rsid w:val="005B2A61"/>
    <w:rsid w:val="005D1F1F"/>
    <w:rsid w:val="005D3977"/>
    <w:rsid w:val="005E3C20"/>
    <w:rsid w:val="005F167B"/>
    <w:rsid w:val="006041D2"/>
    <w:rsid w:val="006100B9"/>
    <w:rsid w:val="00610AE9"/>
    <w:rsid w:val="00611DE4"/>
    <w:rsid w:val="006302F7"/>
    <w:rsid w:val="00634511"/>
    <w:rsid w:val="00644282"/>
    <w:rsid w:val="006472DE"/>
    <w:rsid w:val="0065422A"/>
    <w:rsid w:val="006557DC"/>
    <w:rsid w:val="006571B5"/>
    <w:rsid w:val="006A088E"/>
    <w:rsid w:val="006C3910"/>
    <w:rsid w:val="006C59FA"/>
    <w:rsid w:val="006D069E"/>
    <w:rsid w:val="006D1520"/>
    <w:rsid w:val="006D36E3"/>
    <w:rsid w:val="006E538B"/>
    <w:rsid w:val="00706527"/>
    <w:rsid w:val="00706B49"/>
    <w:rsid w:val="00706C14"/>
    <w:rsid w:val="007421E3"/>
    <w:rsid w:val="00760695"/>
    <w:rsid w:val="00780DAA"/>
    <w:rsid w:val="00784A67"/>
    <w:rsid w:val="007A5837"/>
    <w:rsid w:val="007B64AD"/>
    <w:rsid w:val="007C0297"/>
    <w:rsid w:val="007C60A7"/>
    <w:rsid w:val="007D4D02"/>
    <w:rsid w:val="007E07D5"/>
    <w:rsid w:val="00806E95"/>
    <w:rsid w:val="008107B4"/>
    <w:rsid w:val="00811E74"/>
    <w:rsid w:val="008356DA"/>
    <w:rsid w:val="00836E2D"/>
    <w:rsid w:val="00862608"/>
    <w:rsid w:val="008721F6"/>
    <w:rsid w:val="00886997"/>
    <w:rsid w:val="00890504"/>
    <w:rsid w:val="008A1FF1"/>
    <w:rsid w:val="008A21F2"/>
    <w:rsid w:val="008A3827"/>
    <w:rsid w:val="008A70B2"/>
    <w:rsid w:val="008B2DDF"/>
    <w:rsid w:val="008D3D13"/>
    <w:rsid w:val="008E34BF"/>
    <w:rsid w:val="008E5233"/>
    <w:rsid w:val="008F04A2"/>
    <w:rsid w:val="008F3D13"/>
    <w:rsid w:val="008F6B86"/>
    <w:rsid w:val="00921469"/>
    <w:rsid w:val="009270BA"/>
    <w:rsid w:val="00955419"/>
    <w:rsid w:val="00957D49"/>
    <w:rsid w:val="00981269"/>
    <w:rsid w:val="009910F5"/>
    <w:rsid w:val="009B5F0D"/>
    <w:rsid w:val="009B68C5"/>
    <w:rsid w:val="009D344D"/>
    <w:rsid w:val="009E42AF"/>
    <w:rsid w:val="009E66B3"/>
    <w:rsid w:val="009F50D7"/>
    <w:rsid w:val="00A022A4"/>
    <w:rsid w:val="00A03B12"/>
    <w:rsid w:val="00A1517B"/>
    <w:rsid w:val="00A15F64"/>
    <w:rsid w:val="00A41B45"/>
    <w:rsid w:val="00A44ED8"/>
    <w:rsid w:val="00A665BC"/>
    <w:rsid w:val="00A83243"/>
    <w:rsid w:val="00A87FEF"/>
    <w:rsid w:val="00A9684C"/>
    <w:rsid w:val="00AA0D58"/>
    <w:rsid w:val="00AB5008"/>
    <w:rsid w:val="00AC0172"/>
    <w:rsid w:val="00AC4929"/>
    <w:rsid w:val="00AC6ECA"/>
    <w:rsid w:val="00AD0AE2"/>
    <w:rsid w:val="00AE4242"/>
    <w:rsid w:val="00B06644"/>
    <w:rsid w:val="00B25D98"/>
    <w:rsid w:val="00B34F97"/>
    <w:rsid w:val="00B356C9"/>
    <w:rsid w:val="00B43DE3"/>
    <w:rsid w:val="00B54D27"/>
    <w:rsid w:val="00B5530C"/>
    <w:rsid w:val="00B5675D"/>
    <w:rsid w:val="00B577EB"/>
    <w:rsid w:val="00B9346D"/>
    <w:rsid w:val="00BA0750"/>
    <w:rsid w:val="00BA5C49"/>
    <w:rsid w:val="00BA625B"/>
    <w:rsid w:val="00BA6300"/>
    <w:rsid w:val="00BA6FC1"/>
    <w:rsid w:val="00BB2377"/>
    <w:rsid w:val="00BD3B0B"/>
    <w:rsid w:val="00BF7086"/>
    <w:rsid w:val="00C00A22"/>
    <w:rsid w:val="00C013BD"/>
    <w:rsid w:val="00C21FDF"/>
    <w:rsid w:val="00C4585B"/>
    <w:rsid w:val="00C569EB"/>
    <w:rsid w:val="00C64E86"/>
    <w:rsid w:val="00C65086"/>
    <w:rsid w:val="00C8636B"/>
    <w:rsid w:val="00C86C98"/>
    <w:rsid w:val="00C9068E"/>
    <w:rsid w:val="00C91A03"/>
    <w:rsid w:val="00C96603"/>
    <w:rsid w:val="00CA5F18"/>
    <w:rsid w:val="00CA6C50"/>
    <w:rsid w:val="00CB4BBA"/>
    <w:rsid w:val="00CC4B1B"/>
    <w:rsid w:val="00CE537D"/>
    <w:rsid w:val="00CF60DF"/>
    <w:rsid w:val="00D02388"/>
    <w:rsid w:val="00D11C3C"/>
    <w:rsid w:val="00D12436"/>
    <w:rsid w:val="00D21633"/>
    <w:rsid w:val="00D2163D"/>
    <w:rsid w:val="00D21777"/>
    <w:rsid w:val="00D3032F"/>
    <w:rsid w:val="00D30389"/>
    <w:rsid w:val="00D32065"/>
    <w:rsid w:val="00D368E0"/>
    <w:rsid w:val="00D4025F"/>
    <w:rsid w:val="00D45F07"/>
    <w:rsid w:val="00D671EF"/>
    <w:rsid w:val="00D74F3E"/>
    <w:rsid w:val="00D753A8"/>
    <w:rsid w:val="00DA02CB"/>
    <w:rsid w:val="00DB5392"/>
    <w:rsid w:val="00DB6A8B"/>
    <w:rsid w:val="00DD24A1"/>
    <w:rsid w:val="00DD5AC0"/>
    <w:rsid w:val="00DD7DFA"/>
    <w:rsid w:val="00DF4497"/>
    <w:rsid w:val="00E02606"/>
    <w:rsid w:val="00E3225D"/>
    <w:rsid w:val="00E35572"/>
    <w:rsid w:val="00E54F55"/>
    <w:rsid w:val="00E65ED7"/>
    <w:rsid w:val="00E761B9"/>
    <w:rsid w:val="00E845A7"/>
    <w:rsid w:val="00EA6518"/>
    <w:rsid w:val="00EC7CC2"/>
    <w:rsid w:val="00ED21B1"/>
    <w:rsid w:val="00EE0E6B"/>
    <w:rsid w:val="00EE3DDA"/>
    <w:rsid w:val="00EF03F5"/>
    <w:rsid w:val="00EF1B89"/>
    <w:rsid w:val="00EF250E"/>
    <w:rsid w:val="00EF59BE"/>
    <w:rsid w:val="00F004B1"/>
    <w:rsid w:val="00F02E06"/>
    <w:rsid w:val="00F04325"/>
    <w:rsid w:val="00F71627"/>
    <w:rsid w:val="00F730F2"/>
    <w:rsid w:val="00F74404"/>
    <w:rsid w:val="00F80D6E"/>
    <w:rsid w:val="00F85488"/>
    <w:rsid w:val="00F87C1F"/>
    <w:rsid w:val="00FA02FD"/>
    <w:rsid w:val="00FA0C1A"/>
    <w:rsid w:val="00FA395D"/>
    <w:rsid w:val="00FD2F77"/>
    <w:rsid w:val="00FD72B7"/>
    <w:rsid w:val="00FD7A17"/>
    <w:rsid w:val="00FE4003"/>
    <w:rsid w:val="03EC6033"/>
    <w:rsid w:val="049174C0"/>
    <w:rsid w:val="0C7F4BFA"/>
    <w:rsid w:val="0F506BC4"/>
    <w:rsid w:val="14070EF2"/>
    <w:rsid w:val="17A169E5"/>
    <w:rsid w:val="1A527D06"/>
    <w:rsid w:val="1CBA5FDB"/>
    <w:rsid w:val="1DBF7725"/>
    <w:rsid w:val="1F09499E"/>
    <w:rsid w:val="244C61C9"/>
    <w:rsid w:val="25CE1E7F"/>
    <w:rsid w:val="26006355"/>
    <w:rsid w:val="34843C8B"/>
    <w:rsid w:val="34FB1F45"/>
    <w:rsid w:val="35BD1E53"/>
    <w:rsid w:val="36253E76"/>
    <w:rsid w:val="38F7345D"/>
    <w:rsid w:val="3EB63508"/>
    <w:rsid w:val="3EBC62C8"/>
    <w:rsid w:val="3FFE0CCC"/>
    <w:rsid w:val="404B5EE1"/>
    <w:rsid w:val="437B01A5"/>
    <w:rsid w:val="44C35EBF"/>
    <w:rsid w:val="49F800C5"/>
    <w:rsid w:val="49FF54A5"/>
    <w:rsid w:val="4C1D443B"/>
    <w:rsid w:val="4C8578C0"/>
    <w:rsid w:val="4CA94424"/>
    <w:rsid w:val="4F3B7F03"/>
    <w:rsid w:val="52AD3954"/>
    <w:rsid w:val="574F1D59"/>
    <w:rsid w:val="57E57F98"/>
    <w:rsid w:val="5BA3015F"/>
    <w:rsid w:val="5E5B1C8A"/>
    <w:rsid w:val="5EBFA7C0"/>
    <w:rsid w:val="640953F2"/>
    <w:rsid w:val="65AC7F80"/>
    <w:rsid w:val="66094477"/>
    <w:rsid w:val="69807179"/>
    <w:rsid w:val="6F01677F"/>
    <w:rsid w:val="70982851"/>
    <w:rsid w:val="77B446A2"/>
    <w:rsid w:val="7DBB9FB1"/>
    <w:rsid w:val="7EE77F63"/>
    <w:rsid w:val="7F0D2F16"/>
    <w:rsid w:val="9BFF3072"/>
    <w:rsid w:val="DFE7E169"/>
    <w:rsid w:val="E7F4AA55"/>
    <w:rsid w:val="EF7F9247"/>
    <w:rsid w:val="FFDB054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9"/>
    <w:unhideWhenUsed/>
    <w:qFormat/>
    <w:uiPriority w:val="99"/>
    <w:pPr>
      <w:jc w:val="left"/>
    </w:pPr>
  </w:style>
  <w:style w:type="paragraph" w:styleId="3">
    <w:name w:val="endnote text"/>
    <w:basedOn w:val="1"/>
    <w:link w:val="13"/>
    <w:semiHidden/>
    <w:unhideWhenUsed/>
    <w:qFormat/>
    <w:uiPriority w:val="99"/>
    <w:pPr>
      <w:snapToGrid w:val="0"/>
      <w:jc w:val="left"/>
    </w:pPr>
  </w:style>
  <w:style w:type="paragraph" w:styleId="4">
    <w:name w:val="Balloon Text"/>
    <w:basedOn w:val="1"/>
    <w:link w:val="16"/>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2"/>
    <w:next w:val="2"/>
    <w:link w:val="20"/>
    <w:semiHidden/>
    <w:unhideWhenUsed/>
    <w:qFormat/>
    <w:uiPriority w:val="99"/>
    <w:rPr>
      <w:b/>
      <w:bCs/>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endnote reference"/>
    <w:semiHidden/>
    <w:unhideWhenUsed/>
    <w:qFormat/>
    <w:uiPriority w:val="99"/>
    <w:rPr>
      <w:vertAlign w:val="superscript"/>
    </w:rPr>
  </w:style>
  <w:style w:type="character" w:styleId="12">
    <w:name w:val="annotation reference"/>
    <w:basedOn w:val="10"/>
    <w:semiHidden/>
    <w:unhideWhenUsed/>
    <w:qFormat/>
    <w:uiPriority w:val="99"/>
    <w:rPr>
      <w:sz w:val="21"/>
      <w:szCs w:val="21"/>
    </w:rPr>
  </w:style>
  <w:style w:type="character" w:customStyle="1" w:styleId="13">
    <w:name w:val="尾注文本 字符"/>
    <w:basedOn w:val="10"/>
    <w:link w:val="3"/>
    <w:semiHidden/>
    <w:qFormat/>
    <w:uiPriority w:val="99"/>
  </w:style>
  <w:style w:type="character" w:customStyle="1" w:styleId="14">
    <w:name w:val="页眉 字符"/>
    <w:link w:val="6"/>
    <w:qFormat/>
    <w:uiPriority w:val="99"/>
    <w:rPr>
      <w:sz w:val="18"/>
      <w:szCs w:val="18"/>
    </w:rPr>
  </w:style>
  <w:style w:type="character" w:customStyle="1" w:styleId="15">
    <w:name w:val="页脚 字符"/>
    <w:link w:val="5"/>
    <w:qFormat/>
    <w:uiPriority w:val="99"/>
    <w:rPr>
      <w:sz w:val="18"/>
      <w:szCs w:val="18"/>
    </w:rPr>
  </w:style>
  <w:style w:type="character" w:customStyle="1" w:styleId="16">
    <w:name w:val="批注框文本 字符"/>
    <w:link w:val="4"/>
    <w:semiHidden/>
    <w:qFormat/>
    <w:uiPriority w:val="99"/>
    <w:rPr>
      <w:kern w:val="2"/>
      <w:sz w:val="18"/>
      <w:szCs w:val="18"/>
    </w:rPr>
  </w:style>
  <w:style w:type="paragraph" w:styleId="17">
    <w:name w:val="List Paragraph"/>
    <w:basedOn w:val="1"/>
    <w:qFormat/>
    <w:uiPriority w:val="34"/>
    <w:pPr>
      <w:ind w:firstLine="420" w:firstLineChars="200"/>
    </w:pPr>
  </w:style>
  <w:style w:type="paragraph" w:customStyle="1" w:styleId="18">
    <w:name w:val="Revision"/>
    <w:hidden/>
    <w:semiHidden/>
    <w:qFormat/>
    <w:uiPriority w:val="99"/>
    <w:rPr>
      <w:rFonts w:ascii="Calibri" w:hAnsi="Calibri" w:eastAsia="宋体" w:cs="Times New Roman"/>
      <w:kern w:val="2"/>
      <w:sz w:val="21"/>
      <w:szCs w:val="22"/>
      <w:lang w:val="en-US" w:eastAsia="zh-CN" w:bidi="ar-SA"/>
    </w:rPr>
  </w:style>
  <w:style w:type="character" w:customStyle="1" w:styleId="19">
    <w:name w:val="批注文字 字符"/>
    <w:basedOn w:val="10"/>
    <w:link w:val="2"/>
    <w:qFormat/>
    <w:uiPriority w:val="99"/>
    <w:rPr>
      <w:kern w:val="2"/>
      <w:sz w:val="21"/>
      <w:szCs w:val="22"/>
    </w:rPr>
  </w:style>
  <w:style w:type="character" w:customStyle="1" w:styleId="20">
    <w:name w:val="批注主题 字符"/>
    <w:basedOn w:val="19"/>
    <w:link w:val="7"/>
    <w:semiHidden/>
    <w:qFormat/>
    <w:uiPriority w:val="99"/>
    <w:rPr>
      <w:b/>
      <w:bCs/>
      <w:kern w:val="2"/>
      <w:sz w:val="21"/>
      <w:szCs w:val="22"/>
    </w:rPr>
  </w:style>
  <w:style w:type="paragraph" w:customStyle="1" w:styleId="21">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zhonglun</Company>
  <Pages>2</Pages>
  <Words>900</Words>
  <Characters>947</Characters>
  <Lines>8</Lines>
  <Paragraphs>2</Paragraphs>
  <TotalTime>7</TotalTime>
  <ScaleCrop>false</ScaleCrop>
  <LinksUpToDate>false</LinksUpToDate>
  <CharactersWithSpaces>953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2020-10-15T08:59:00Z</dcterms:created>
  <dc:creator>YIN Yue/Zhong Lun</dc:creator>
  <cp:lastModifiedBy>admin</cp:lastModifiedBy>
  <cp:lastPrinted>2024-05-17T07:23:00Z</cp:lastPrinted>
  <dcterms:modified xsi:type="dcterms:W3CDTF">2026-07-27T06:34:51Z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eyJoZGlkIjoiYjk5ODM0YmMxOWJiYWQyNDU4MGIzYWRmYTA0ZmI5NDciLCJ1c2VySWQiOiI0OTQyMjIzNDkifQ==</vt:lpwstr>
  </property>
  <property fmtid="{D5CDD505-2E9C-101B-9397-08002B2CF9AE}" pid="4" name="ICV">
    <vt:lpwstr>4DC0495B16677672C4F8546AC2101885_43</vt:lpwstr>
  </property>
</Properties>
</file>