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AC3F4">
      <w:pPr>
        <w:spacing w:line="440" w:lineRule="exact"/>
        <w:jc w:val="center"/>
        <w:rPr>
          <w:rFonts w:ascii="黑体" w:hAnsi="黑体" w:eastAsia="黑体" w:cs="黑体"/>
          <w:bCs/>
          <w:kern w:val="0"/>
          <w:sz w:val="36"/>
          <w:szCs w:val="36"/>
          <w:lang w:val="en-GB" w:bidi="ar-AE"/>
        </w:rPr>
      </w:pPr>
      <w:bookmarkStart w:id="0" w:name="_Hlk166074271"/>
      <w:r>
        <w:rPr>
          <w:rFonts w:ascii="黑体" w:hAnsi="黑体" w:eastAsia="黑体" w:cs="黑体"/>
          <w:bCs/>
          <w:kern w:val="0"/>
          <w:sz w:val="36"/>
          <w:szCs w:val="36"/>
          <w:lang w:val="en-GB" w:bidi="ar-AE"/>
        </w:rPr>
        <w:t>经营者集中简易案件公示表</w:t>
      </w:r>
    </w:p>
    <w:p w14:paraId="3F51B84F">
      <w:pPr>
        <w:spacing w:line="440" w:lineRule="exact"/>
        <w:jc w:val="center"/>
        <w:rPr>
          <w:rFonts w:ascii="黑体" w:hAnsi="黑体" w:eastAsia="黑体" w:cs="黑体"/>
          <w:bCs/>
          <w:kern w:val="0"/>
          <w:sz w:val="36"/>
          <w:szCs w:val="36"/>
          <w:lang w:val="en-GB" w:bidi="ar-AE"/>
        </w:rPr>
      </w:pPr>
    </w:p>
    <w:tbl>
      <w:tblPr>
        <w:tblStyle w:val="8"/>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796"/>
        <w:gridCol w:w="5153"/>
      </w:tblGrid>
      <w:tr w14:paraId="3A9F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D9D9D9"/>
          </w:tcPr>
          <w:p w14:paraId="79EC0882">
            <w:pPr>
              <w:rPr>
                <w:rFonts w:hint="default" w:ascii="Times New Roman" w:hAnsi="Times New Roman" w:cs="Times New Roman"/>
                <w:b/>
                <w:sz w:val="24"/>
                <w:szCs w:val="24"/>
              </w:rPr>
            </w:pPr>
            <w:r>
              <w:rPr>
                <w:rFonts w:hint="default" w:ascii="Times New Roman" w:hAnsi="Times New Roman" w:cs="Times New Roman"/>
                <w:b/>
                <w:sz w:val="24"/>
                <w:szCs w:val="24"/>
              </w:rPr>
              <w:t>案件名称</w:t>
            </w:r>
          </w:p>
        </w:tc>
        <w:tc>
          <w:tcPr>
            <w:tcW w:w="6949" w:type="dxa"/>
            <w:gridSpan w:val="2"/>
          </w:tcPr>
          <w:p w14:paraId="251B191A">
            <w:pPr>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安庆新能源投资发展有限公司与安徽墨擎股权投资有限公司新设合营企业案</w:t>
            </w:r>
          </w:p>
        </w:tc>
      </w:tr>
      <w:tr w14:paraId="2DC7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1809" w:type="dxa"/>
            <w:shd w:val="clear" w:color="auto" w:fill="D9D9D9"/>
          </w:tcPr>
          <w:p w14:paraId="6AE22DDC">
            <w:pPr>
              <w:rPr>
                <w:rFonts w:hint="default" w:ascii="Times New Roman" w:hAnsi="Times New Roman" w:cs="Times New Roman"/>
                <w:b/>
                <w:sz w:val="24"/>
                <w:szCs w:val="24"/>
              </w:rPr>
            </w:pPr>
            <w:r>
              <w:rPr>
                <w:rFonts w:hint="default" w:ascii="Times New Roman" w:hAnsi="Times New Roman" w:cs="Times New Roman"/>
                <w:b/>
                <w:sz w:val="24"/>
                <w:szCs w:val="24"/>
              </w:rPr>
              <w:t>交易概况</w:t>
            </w:r>
          </w:p>
        </w:tc>
        <w:tc>
          <w:tcPr>
            <w:tcW w:w="6949" w:type="dxa"/>
            <w:gridSpan w:val="2"/>
          </w:tcPr>
          <w:p w14:paraId="5ED5CF13">
            <w:pPr>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安庆新能源投资发展有限公司（“安庆新能源”）与安徽墨擎股权投资有限公司（“墨擎投资”）签署协议，</w:t>
            </w:r>
            <w:r>
              <w:rPr>
                <w:rFonts w:hint="eastAsia" w:ascii="Times New Roman" w:hAnsi="Times New Roman" w:cs="Times New Roman"/>
                <w:kern w:val="0"/>
                <w:sz w:val="24"/>
                <w:szCs w:val="24"/>
                <w:lang w:val="en-US" w:eastAsia="zh-CN"/>
              </w:rPr>
              <w:t>拟</w:t>
            </w:r>
            <w:r>
              <w:rPr>
                <w:rFonts w:hint="default" w:ascii="Times New Roman" w:hAnsi="Times New Roman" w:cs="Times New Roman"/>
                <w:kern w:val="0"/>
                <w:sz w:val="24"/>
                <w:szCs w:val="24"/>
                <w:lang w:val="en-US" w:eastAsia="zh-CN"/>
              </w:rPr>
              <w:t>在</w:t>
            </w:r>
            <w:r>
              <w:rPr>
                <w:rFonts w:hint="eastAsia" w:ascii="Times New Roman" w:hAnsi="Times New Roman" w:cs="Times New Roman"/>
                <w:kern w:val="0"/>
                <w:sz w:val="24"/>
                <w:szCs w:val="24"/>
                <w:lang w:val="en-US" w:eastAsia="zh-CN"/>
              </w:rPr>
              <w:t>安徽省安庆市</w:t>
            </w:r>
            <w:r>
              <w:rPr>
                <w:rFonts w:hint="default" w:ascii="Times New Roman" w:hAnsi="Times New Roman" w:cs="Times New Roman"/>
                <w:kern w:val="0"/>
                <w:sz w:val="24"/>
                <w:szCs w:val="24"/>
                <w:lang w:val="en-US" w:eastAsia="zh-CN"/>
              </w:rPr>
              <w:t>新设合营企业（“本次交易”）。</w:t>
            </w:r>
            <w:r>
              <w:rPr>
                <w:rFonts w:hint="eastAsia" w:ascii="Times New Roman" w:hAnsi="Times New Roman" w:cs="Times New Roman"/>
                <w:kern w:val="0"/>
                <w:sz w:val="24"/>
                <w:szCs w:val="24"/>
                <w:lang w:val="en-US" w:eastAsia="zh-CN"/>
              </w:rPr>
              <w:t>合营企业主要从事人形机器人租赁业务。</w:t>
            </w:r>
            <w:r>
              <w:rPr>
                <w:rFonts w:hint="default" w:ascii="Times New Roman" w:hAnsi="Times New Roman" w:cs="Times New Roman"/>
                <w:kern w:val="0"/>
                <w:sz w:val="24"/>
                <w:szCs w:val="24"/>
                <w:lang w:val="en-US" w:eastAsia="zh-CN"/>
              </w:rPr>
              <w:t>本次交易</w:t>
            </w:r>
            <w:r>
              <w:rPr>
                <w:rFonts w:hint="eastAsia" w:ascii="Times New Roman" w:hAnsi="Times New Roman" w:cs="Times New Roman"/>
                <w:kern w:val="0"/>
                <w:sz w:val="24"/>
                <w:szCs w:val="24"/>
                <w:lang w:val="en-US" w:eastAsia="zh-CN"/>
              </w:rPr>
              <w:t>完成</w:t>
            </w:r>
            <w:r>
              <w:rPr>
                <w:rFonts w:hint="default" w:ascii="Times New Roman" w:hAnsi="Times New Roman" w:cs="Times New Roman"/>
                <w:kern w:val="0"/>
                <w:sz w:val="24"/>
                <w:szCs w:val="24"/>
                <w:lang w:val="en-US" w:eastAsia="zh-CN"/>
              </w:rPr>
              <w:t>后，安庆新能源持有合营企业66</w:t>
            </w:r>
            <w:r>
              <w:rPr>
                <w:rFonts w:hint="eastAsia" w:ascii="Times New Roman" w:hAnsi="Times New Roman" w:cs="Times New Roman"/>
                <w:kern w:val="0"/>
                <w:sz w:val="24"/>
                <w:szCs w:val="24"/>
                <w:lang w:val="en-US" w:eastAsia="zh-CN"/>
              </w:rPr>
              <w:t>.00</w:t>
            </w:r>
            <w:r>
              <w:rPr>
                <w:rFonts w:hint="default" w:ascii="Times New Roman" w:hAnsi="Times New Roman" w:cs="Times New Roman"/>
                <w:kern w:val="0"/>
                <w:sz w:val="24"/>
                <w:szCs w:val="24"/>
                <w:lang w:val="en-US" w:eastAsia="zh-CN"/>
              </w:rPr>
              <w:t>%股权，墨擎投资持有合营企业34</w:t>
            </w:r>
            <w:r>
              <w:rPr>
                <w:rFonts w:hint="eastAsia" w:ascii="Times New Roman" w:hAnsi="Times New Roman" w:cs="Times New Roman"/>
                <w:kern w:val="0"/>
                <w:sz w:val="24"/>
                <w:szCs w:val="24"/>
                <w:lang w:val="en-US" w:eastAsia="zh-CN"/>
              </w:rPr>
              <w:t>.00</w:t>
            </w:r>
            <w:r>
              <w:rPr>
                <w:rFonts w:hint="default" w:ascii="Times New Roman" w:hAnsi="Times New Roman" w:cs="Times New Roman"/>
                <w:kern w:val="0"/>
                <w:sz w:val="24"/>
                <w:szCs w:val="24"/>
                <w:lang w:val="en-US" w:eastAsia="zh-CN"/>
              </w:rPr>
              <w:t>%股权，安庆新能源及墨擎投资共同控制合营企业。</w:t>
            </w:r>
          </w:p>
        </w:tc>
      </w:tr>
      <w:tr w14:paraId="6F45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09" w:type="dxa"/>
            <w:vMerge w:val="restart"/>
            <w:shd w:val="clear" w:color="auto" w:fill="D9D9D9"/>
          </w:tcPr>
          <w:p w14:paraId="37232CB1">
            <w:pPr>
              <w:rPr>
                <w:rFonts w:hint="default" w:ascii="Times New Roman" w:hAnsi="Times New Roman" w:cs="Times New Roman"/>
                <w:b/>
                <w:sz w:val="24"/>
                <w:szCs w:val="24"/>
              </w:rPr>
            </w:pPr>
            <w:r>
              <w:rPr>
                <w:rFonts w:hint="default" w:ascii="Times New Roman" w:hAnsi="Times New Roman" w:cs="Times New Roman"/>
                <w:b/>
                <w:sz w:val="24"/>
                <w:szCs w:val="24"/>
              </w:rPr>
              <w:t>参与集中的经营者简介</w:t>
            </w:r>
          </w:p>
        </w:tc>
        <w:tc>
          <w:tcPr>
            <w:tcW w:w="1796" w:type="dxa"/>
          </w:tcPr>
          <w:p w14:paraId="761C67BE">
            <w:pP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1.安庆新能源</w:t>
            </w:r>
          </w:p>
        </w:tc>
        <w:tc>
          <w:tcPr>
            <w:tcW w:w="5153" w:type="dxa"/>
          </w:tcPr>
          <w:p w14:paraId="6822ABEC">
            <w:pPr>
              <w:rPr>
                <w:rFonts w:hint="default" w:ascii="Times New Roman" w:hAnsi="Times New Roman" w:cs="Times New Roman"/>
                <w:sz w:val="24"/>
                <w:szCs w:val="24"/>
              </w:rPr>
            </w:pPr>
            <w:r>
              <w:rPr>
                <w:rFonts w:hint="eastAsia" w:ascii="Times New Roman" w:hAnsi="Times New Roman" w:cs="Times New Roman"/>
                <w:kern w:val="0"/>
                <w:sz w:val="24"/>
                <w:szCs w:val="24"/>
                <w:lang w:val="en-US" w:eastAsia="zh-CN"/>
              </w:rPr>
              <w:t>安庆新能源</w:t>
            </w:r>
            <w:r>
              <w:rPr>
                <w:rFonts w:hint="default" w:ascii="Times New Roman" w:hAnsi="Times New Roman" w:cs="Times New Roman"/>
                <w:sz w:val="24"/>
                <w:szCs w:val="24"/>
              </w:rPr>
              <w:t>于20</w:t>
            </w:r>
            <w:r>
              <w:rPr>
                <w:rFonts w:hint="eastAsia" w:ascii="Times New Roman" w:hAnsi="Times New Roman" w:cs="Times New Roman"/>
                <w:sz w:val="24"/>
                <w:szCs w:val="24"/>
                <w:lang w:val="en-US" w:eastAsia="zh-CN"/>
              </w:rPr>
              <w:t>14年6月9日</w:t>
            </w:r>
            <w:r>
              <w:rPr>
                <w:rFonts w:hint="default" w:ascii="Times New Roman" w:hAnsi="Times New Roman" w:cs="Times New Roman"/>
                <w:sz w:val="24"/>
                <w:szCs w:val="24"/>
              </w:rPr>
              <w:t>成立于</w:t>
            </w:r>
            <w:r>
              <w:rPr>
                <w:rFonts w:hint="eastAsia" w:ascii="Times New Roman" w:hAnsi="Times New Roman" w:cs="Times New Roman"/>
                <w:sz w:val="24"/>
                <w:szCs w:val="24"/>
                <w:lang w:val="en-US" w:eastAsia="zh-CN"/>
              </w:rPr>
              <w:t>安徽省安庆市</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主要</w:t>
            </w:r>
            <w:r>
              <w:rPr>
                <w:rFonts w:hint="eastAsia" w:ascii="Times New Roman" w:hAnsi="Times New Roman" w:cs="Times New Roman"/>
                <w:sz w:val="24"/>
                <w:szCs w:val="24"/>
                <w:lang w:val="en-US" w:eastAsia="zh-CN"/>
              </w:rPr>
              <w:t>从事</w:t>
            </w:r>
            <w:r>
              <w:rPr>
                <w:rFonts w:hint="default" w:ascii="Times New Roman" w:hAnsi="Times New Roman" w:cs="Times New Roman"/>
                <w:sz w:val="24"/>
                <w:szCs w:val="24"/>
              </w:rPr>
              <w:t>承建汽车零部件产业园并负责汽车零部件生产基地的建设和运营。</w:t>
            </w:r>
          </w:p>
          <w:p w14:paraId="3CADF340">
            <w:pPr>
              <w:rPr>
                <w:rFonts w:hint="default" w:ascii="Times New Roman" w:hAnsi="Times New Roman" w:cs="Times New Roman"/>
                <w:sz w:val="24"/>
                <w:szCs w:val="24"/>
                <w:lang w:val="en-US"/>
              </w:rPr>
            </w:pPr>
            <w:r>
              <w:rPr>
                <w:rFonts w:hint="eastAsia" w:ascii="Times New Roman" w:hAnsi="Times New Roman" w:cs="Times New Roman"/>
                <w:sz w:val="24"/>
                <w:szCs w:val="24"/>
                <w:lang w:val="en-US" w:eastAsia="zh-CN"/>
              </w:rPr>
              <w:t>安庆新能源为安庆经济技术开发区管理委员会下属企业</w:t>
            </w:r>
            <w:bookmarkStart w:id="1" w:name="_GoBack"/>
            <w:bookmarkEnd w:id="1"/>
            <w:r>
              <w:rPr>
                <w:rFonts w:hint="eastAsia" w:ascii="Times New Roman" w:hAnsi="Times New Roman" w:cs="Times New Roman"/>
                <w:sz w:val="24"/>
                <w:szCs w:val="24"/>
                <w:lang w:val="en-US" w:eastAsia="zh-CN"/>
              </w:rPr>
              <w:t>。</w:t>
            </w:r>
          </w:p>
        </w:tc>
      </w:tr>
      <w:tr w14:paraId="7374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09" w:type="dxa"/>
            <w:vMerge w:val="continue"/>
            <w:shd w:val="clear" w:color="auto" w:fill="D9D9D9"/>
          </w:tcPr>
          <w:p w14:paraId="47F888BB">
            <w:pPr>
              <w:rPr>
                <w:rFonts w:hint="default" w:ascii="Times New Roman" w:hAnsi="Times New Roman" w:cs="Times New Roman"/>
                <w:b/>
                <w:sz w:val="24"/>
                <w:szCs w:val="24"/>
              </w:rPr>
            </w:pPr>
          </w:p>
        </w:tc>
        <w:tc>
          <w:tcPr>
            <w:tcW w:w="1796" w:type="dxa"/>
            <w:shd w:val="clear" w:color="auto" w:fill="auto"/>
            <w:vAlign w:val="top"/>
          </w:tcPr>
          <w:p w14:paraId="4F23700C">
            <w:pP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w:t>
            </w:r>
            <w:r>
              <w:rPr>
                <w:rFonts w:hint="eastAsia" w:ascii="Times New Roman" w:hAnsi="Times New Roman" w:cs="Times New Roman"/>
                <w:kern w:val="0"/>
                <w:sz w:val="24"/>
                <w:szCs w:val="24"/>
                <w:lang w:val="en-US" w:eastAsia="zh-CN"/>
              </w:rPr>
              <w:t>墨擎投资</w:t>
            </w:r>
          </w:p>
        </w:tc>
        <w:tc>
          <w:tcPr>
            <w:tcW w:w="5153" w:type="dxa"/>
            <w:shd w:val="clear" w:color="auto" w:fill="auto"/>
            <w:vAlign w:val="top"/>
          </w:tcPr>
          <w:p w14:paraId="4014E794">
            <w:pPr>
              <w:rPr>
                <w:rFonts w:hint="default" w:ascii="Times New Roman" w:hAnsi="Times New Roman" w:cs="Times New Roman"/>
                <w:sz w:val="24"/>
                <w:szCs w:val="24"/>
              </w:rPr>
            </w:pPr>
            <w:r>
              <w:rPr>
                <w:rFonts w:hint="eastAsia" w:ascii="Times New Roman" w:hAnsi="Times New Roman" w:cs="Times New Roman"/>
                <w:kern w:val="0"/>
                <w:sz w:val="24"/>
                <w:szCs w:val="24"/>
                <w:lang w:val="en-US" w:eastAsia="zh-CN"/>
              </w:rPr>
              <w:t>墨擎投资</w:t>
            </w:r>
            <w:r>
              <w:rPr>
                <w:rFonts w:hint="default" w:ascii="Times New Roman" w:hAnsi="Times New Roman" w:cs="Times New Roman"/>
                <w:sz w:val="24"/>
                <w:szCs w:val="24"/>
              </w:rPr>
              <w:t>于20</w:t>
            </w:r>
            <w:r>
              <w:rPr>
                <w:rFonts w:hint="eastAsia" w:ascii="Times New Roman" w:hAnsi="Times New Roman" w:cs="Times New Roman"/>
                <w:sz w:val="24"/>
                <w:szCs w:val="24"/>
                <w:lang w:val="en-US" w:eastAsia="zh-CN"/>
              </w:rPr>
              <w:t>26年5月29日</w:t>
            </w:r>
            <w:r>
              <w:rPr>
                <w:rFonts w:hint="default" w:ascii="Times New Roman" w:hAnsi="Times New Roman" w:cs="Times New Roman"/>
                <w:sz w:val="24"/>
                <w:szCs w:val="24"/>
              </w:rPr>
              <w:t>成立于</w:t>
            </w:r>
            <w:r>
              <w:rPr>
                <w:rFonts w:hint="eastAsia" w:ascii="Times New Roman" w:hAnsi="Times New Roman" w:cs="Times New Roman"/>
                <w:sz w:val="24"/>
                <w:szCs w:val="24"/>
                <w:lang w:val="en-US" w:eastAsia="zh-CN"/>
              </w:rPr>
              <w:t>安徽省芜湖市</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主要从事</w:t>
            </w:r>
            <w:r>
              <w:rPr>
                <w:rFonts w:hint="eastAsia" w:ascii="Times New Roman" w:hAnsi="Times New Roman" w:cs="Times New Roman"/>
                <w:sz w:val="24"/>
                <w:szCs w:val="24"/>
                <w:lang w:val="en-US" w:eastAsia="zh-CN"/>
              </w:rPr>
              <w:t>人形机器人相关的股权投资业务</w:t>
            </w:r>
            <w:r>
              <w:rPr>
                <w:rFonts w:hint="default" w:ascii="Times New Roman" w:hAnsi="Times New Roman" w:cs="Times New Roman"/>
                <w:sz w:val="24"/>
                <w:szCs w:val="24"/>
              </w:rPr>
              <w:t>。</w:t>
            </w:r>
          </w:p>
          <w:p w14:paraId="64853494">
            <w:pPr>
              <w:rPr>
                <w:rFonts w:hint="eastAsia" w:ascii="Times New Roman" w:hAnsi="Times New Roman" w:eastAsia="宋体" w:cs="Times New Roman"/>
                <w:kern w:val="2"/>
                <w:sz w:val="24"/>
                <w:szCs w:val="24"/>
                <w:lang w:val="en-US" w:eastAsia="zh-CN" w:bidi="ar-SA"/>
              </w:rPr>
            </w:pPr>
            <w:r>
              <w:rPr>
                <w:rFonts w:hint="eastAsia" w:ascii="Times New Roman" w:hAnsi="Times New Roman" w:cs="Times New Roman"/>
                <w:kern w:val="0"/>
                <w:sz w:val="24"/>
                <w:szCs w:val="24"/>
                <w:lang w:val="en-US" w:eastAsia="zh-CN"/>
              </w:rPr>
              <w:t>墨擎投资</w:t>
            </w:r>
            <w:r>
              <w:rPr>
                <w:rFonts w:hint="default" w:ascii="Times New Roman" w:hAnsi="Times New Roman" w:cs="Times New Roman"/>
                <w:kern w:val="0"/>
                <w:sz w:val="24"/>
                <w:szCs w:val="24"/>
              </w:rPr>
              <w:t>最终控制人为奇瑞汽车股份有限公司，主要从事乘用车、汽车组件及零部件</w:t>
            </w:r>
            <w:r>
              <w:rPr>
                <w:rFonts w:hint="eastAsia" w:ascii="Times New Roman" w:hAnsi="Times New Roman" w:cs="Times New Roman"/>
                <w:kern w:val="0"/>
                <w:sz w:val="24"/>
                <w:szCs w:val="24"/>
                <w:lang w:val="en-US" w:eastAsia="zh-CN"/>
              </w:rPr>
              <w:t>的</w:t>
            </w:r>
            <w:r>
              <w:rPr>
                <w:rFonts w:hint="default" w:ascii="Times New Roman" w:hAnsi="Times New Roman" w:cs="Times New Roman"/>
                <w:kern w:val="0"/>
                <w:sz w:val="24"/>
                <w:szCs w:val="24"/>
              </w:rPr>
              <w:t>制造及销售</w:t>
            </w:r>
            <w:r>
              <w:rPr>
                <w:rFonts w:hint="eastAsia" w:ascii="Times New Roman" w:hAnsi="Times New Roman" w:cs="Times New Roman"/>
                <w:kern w:val="0"/>
                <w:sz w:val="24"/>
                <w:szCs w:val="24"/>
                <w:lang w:val="en-US" w:eastAsia="zh-CN"/>
              </w:rPr>
              <w:t>业务</w:t>
            </w:r>
            <w:r>
              <w:rPr>
                <w:rFonts w:hint="default" w:ascii="Times New Roman" w:hAnsi="Times New Roman" w:cs="Times New Roman"/>
                <w:kern w:val="0"/>
                <w:sz w:val="24"/>
                <w:szCs w:val="24"/>
              </w:rPr>
              <w:t>。</w:t>
            </w:r>
          </w:p>
        </w:tc>
      </w:tr>
      <w:tr w14:paraId="1DAF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809" w:type="dxa"/>
            <w:vMerge w:val="restart"/>
            <w:shd w:val="clear" w:color="auto" w:fill="D9D9D9"/>
          </w:tcPr>
          <w:p w14:paraId="3385E119">
            <w:pPr>
              <w:rPr>
                <w:rFonts w:hint="default" w:ascii="Times New Roman" w:hAnsi="Times New Roman" w:cs="Times New Roman"/>
                <w:b/>
                <w:sz w:val="24"/>
                <w:szCs w:val="24"/>
              </w:rPr>
            </w:pPr>
            <w:r>
              <w:rPr>
                <w:rFonts w:hint="default" w:ascii="Times New Roman" w:hAnsi="Times New Roman" w:cs="Times New Roman"/>
                <w:b/>
                <w:sz w:val="24"/>
                <w:szCs w:val="24"/>
              </w:rPr>
              <w:t>简易案件理由（可以单选，也可以多选）</w:t>
            </w:r>
          </w:p>
        </w:tc>
        <w:tc>
          <w:tcPr>
            <w:tcW w:w="6949" w:type="dxa"/>
            <w:gridSpan w:val="2"/>
          </w:tcPr>
          <w:p w14:paraId="316EDA7E">
            <w:pPr>
              <w:rPr>
                <w:rFonts w:hint="default" w:ascii="Times New Roman" w:hAnsi="Times New Roman" w:cs="Times New Roman"/>
                <w:sz w:val="24"/>
                <w:szCs w:val="24"/>
              </w:rPr>
            </w:pPr>
            <w:r>
              <w:rPr>
                <w:rFonts w:hint="default" w:ascii="Times New Roman" w:hAnsi="Times New Roman" w:cs="Times New Roman"/>
                <w:sz w:val="24"/>
                <w:szCs w:val="24"/>
              </w:rPr>
              <w:sym w:font="Wingdings" w:char="00A8"/>
            </w:r>
            <w:r>
              <w:rPr>
                <w:rFonts w:hint="default" w:ascii="Times New Roman" w:hAnsi="Times New Roman" w:cs="Times New Roman"/>
                <w:sz w:val="24"/>
                <w:szCs w:val="24"/>
              </w:rPr>
              <w:t xml:space="preserve"> 1、在同一相关市场，所有参与集中的经营者所占市场份额之和小于15%。</w:t>
            </w:r>
          </w:p>
        </w:tc>
      </w:tr>
      <w:tr w14:paraId="6DBC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09" w:type="dxa"/>
            <w:vMerge w:val="continue"/>
            <w:shd w:val="clear" w:color="auto" w:fill="D9D9D9"/>
          </w:tcPr>
          <w:p w14:paraId="72EAAED9">
            <w:pPr>
              <w:rPr>
                <w:rFonts w:hint="default" w:ascii="Times New Roman" w:hAnsi="Times New Roman" w:cs="Times New Roman"/>
                <w:b/>
                <w:sz w:val="24"/>
                <w:szCs w:val="24"/>
              </w:rPr>
            </w:pPr>
          </w:p>
        </w:tc>
        <w:tc>
          <w:tcPr>
            <w:tcW w:w="6949" w:type="dxa"/>
            <w:gridSpan w:val="2"/>
          </w:tcPr>
          <w:p w14:paraId="6C87F464">
            <w:pPr>
              <w:rPr>
                <w:rFonts w:hint="default" w:ascii="Times New Roman" w:hAnsi="Times New Roman" w:cs="Times New Roman"/>
                <w:sz w:val="24"/>
                <w:szCs w:val="24"/>
              </w:rPr>
            </w:pPr>
            <w:r>
              <w:rPr>
                <w:rFonts w:hint="default" w:ascii="Times New Roman" w:hAnsi="Times New Roman" w:cs="Times New Roman"/>
                <w:sz w:val="24"/>
                <w:szCs w:val="24"/>
              </w:rPr>
              <w:sym w:font="Wingdings" w:char="00A8"/>
            </w:r>
            <w:r>
              <w:rPr>
                <w:rFonts w:hint="default" w:ascii="Times New Roman" w:hAnsi="Times New Roman" w:cs="Times New Roman"/>
                <w:sz w:val="24"/>
                <w:szCs w:val="24"/>
              </w:rPr>
              <w:t xml:space="preserve"> 2、存在上下游关系的参与集中的经营者，在上下游市场所占的市场份额均小于25%。</w:t>
            </w:r>
          </w:p>
        </w:tc>
      </w:tr>
      <w:tr w14:paraId="2495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09" w:type="dxa"/>
            <w:vMerge w:val="continue"/>
            <w:shd w:val="clear" w:color="auto" w:fill="D9D9D9"/>
          </w:tcPr>
          <w:p w14:paraId="5D6BB087">
            <w:pPr>
              <w:rPr>
                <w:rFonts w:hint="default" w:ascii="Times New Roman" w:hAnsi="Times New Roman" w:cs="Times New Roman"/>
                <w:b/>
                <w:sz w:val="24"/>
                <w:szCs w:val="24"/>
              </w:rPr>
            </w:pPr>
          </w:p>
        </w:tc>
        <w:tc>
          <w:tcPr>
            <w:tcW w:w="6949" w:type="dxa"/>
            <w:gridSpan w:val="2"/>
          </w:tcPr>
          <w:p w14:paraId="15C9AB8B">
            <w:pPr>
              <w:rPr>
                <w:rFonts w:hint="default" w:ascii="Times New Roman" w:hAnsi="Times New Roman" w:cs="Times New Roman"/>
                <w:sz w:val="24"/>
                <w:szCs w:val="24"/>
              </w:rPr>
            </w:pPr>
            <w:r>
              <w:rPr>
                <w:rFonts w:hint="default" w:ascii="Times New Roman" w:hAnsi="Times New Roman" w:cs="Times New Roman"/>
                <w:sz w:val="24"/>
                <w:szCs w:val="24"/>
              </w:rPr>
              <w:sym w:font="Wingdings" w:char="00FE"/>
            </w:r>
            <w:r>
              <w:rPr>
                <w:rFonts w:hint="default" w:ascii="Times New Roman" w:hAnsi="Times New Roman" w:cs="Times New Roman"/>
                <w:sz w:val="24"/>
                <w:szCs w:val="24"/>
              </w:rPr>
              <w:t xml:space="preserve"> 3、不在同一相关市场、也不存在上下游关系的参与集中的经营者，在与交易有关的每个市场所占的份额均小于25%。</w:t>
            </w:r>
          </w:p>
        </w:tc>
      </w:tr>
      <w:tr w14:paraId="3CDF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09" w:type="dxa"/>
            <w:vMerge w:val="continue"/>
            <w:shd w:val="clear" w:color="auto" w:fill="D9D9D9"/>
          </w:tcPr>
          <w:p w14:paraId="7464F5D3">
            <w:pPr>
              <w:rPr>
                <w:rFonts w:hint="default" w:ascii="Times New Roman" w:hAnsi="Times New Roman" w:cs="Times New Roman"/>
                <w:b/>
                <w:sz w:val="24"/>
                <w:szCs w:val="24"/>
              </w:rPr>
            </w:pPr>
          </w:p>
        </w:tc>
        <w:tc>
          <w:tcPr>
            <w:tcW w:w="6949" w:type="dxa"/>
            <w:gridSpan w:val="2"/>
          </w:tcPr>
          <w:p w14:paraId="0A4505A3">
            <w:pPr>
              <w:rPr>
                <w:rFonts w:hint="default" w:ascii="Times New Roman" w:hAnsi="Times New Roman" w:cs="Times New Roman"/>
                <w:sz w:val="24"/>
                <w:szCs w:val="24"/>
              </w:rPr>
            </w:pPr>
            <w:r>
              <w:rPr>
                <w:rFonts w:hint="default" w:ascii="Times New Roman" w:hAnsi="Times New Roman" w:cs="Times New Roman"/>
                <w:sz w:val="24"/>
                <w:szCs w:val="24"/>
              </w:rPr>
              <w:sym w:font="Wingdings" w:char="F0A8"/>
            </w:r>
            <w:r>
              <w:rPr>
                <w:rFonts w:hint="default" w:ascii="Times New Roman" w:hAnsi="Times New Roman" w:cs="Times New Roman"/>
                <w:sz w:val="24"/>
                <w:szCs w:val="24"/>
              </w:rPr>
              <w:t xml:space="preserve"> 4、参与集中的经营者在中国境外设立合营企业，合营企业不在中国境内从事经济活动。</w:t>
            </w:r>
          </w:p>
        </w:tc>
      </w:tr>
      <w:tr w14:paraId="53B6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809" w:type="dxa"/>
            <w:vMerge w:val="continue"/>
            <w:shd w:val="clear" w:color="auto" w:fill="D9D9D9"/>
          </w:tcPr>
          <w:p w14:paraId="49A19ED5">
            <w:pPr>
              <w:rPr>
                <w:rFonts w:hint="default" w:ascii="Times New Roman" w:hAnsi="Times New Roman" w:cs="Times New Roman"/>
                <w:b/>
                <w:sz w:val="24"/>
                <w:szCs w:val="24"/>
              </w:rPr>
            </w:pPr>
          </w:p>
        </w:tc>
        <w:tc>
          <w:tcPr>
            <w:tcW w:w="6949" w:type="dxa"/>
            <w:gridSpan w:val="2"/>
          </w:tcPr>
          <w:p w14:paraId="5BFA8215">
            <w:pPr>
              <w:rPr>
                <w:rFonts w:hint="default" w:ascii="Times New Roman" w:hAnsi="Times New Roman" w:cs="Times New Roman"/>
                <w:sz w:val="24"/>
                <w:szCs w:val="24"/>
              </w:rPr>
            </w:pPr>
            <w:r>
              <w:rPr>
                <w:rFonts w:hint="default" w:ascii="Times New Roman" w:hAnsi="Times New Roman" w:cs="Times New Roman"/>
                <w:sz w:val="24"/>
                <w:szCs w:val="24"/>
              </w:rPr>
              <w:sym w:font="Wingdings" w:char="F0A8"/>
            </w:r>
            <w:r>
              <w:rPr>
                <w:rFonts w:hint="default" w:ascii="Times New Roman" w:hAnsi="Times New Roman" w:cs="Times New Roman"/>
                <w:sz w:val="24"/>
                <w:szCs w:val="24"/>
              </w:rPr>
              <w:t xml:space="preserve"> 5、参与集中的经营者收购境外企业股权或资产的，该境外企业不在中国境内从事经济活动。</w:t>
            </w:r>
          </w:p>
        </w:tc>
      </w:tr>
      <w:tr w14:paraId="48BC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809" w:type="dxa"/>
            <w:vMerge w:val="continue"/>
            <w:shd w:val="clear" w:color="auto" w:fill="D9D9D9"/>
          </w:tcPr>
          <w:p w14:paraId="2AA79D9B">
            <w:pPr>
              <w:rPr>
                <w:rFonts w:hint="default" w:ascii="Times New Roman" w:hAnsi="Times New Roman" w:cs="Times New Roman"/>
                <w:b/>
                <w:sz w:val="24"/>
                <w:szCs w:val="24"/>
              </w:rPr>
            </w:pPr>
          </w:p>
        </w:tc>
        <w:tc>
          <w:tcPr>
            <w:tcW w:w="6949" w:type="dxa"/>
            <w:gridSpan w:val="2"/>
          </w:tcPr>
          <w:p w14:paraId="5D3A5AA4">
            <w:pPr>
              <w:rPr>
                <w:rFonts w:hint="default" w:ascii="Times New Roman" w:hAnsi="Times New Roman" w:cs="Times New Roman"/>
                <w:sz w:val="24"/>
                <w:szCs w:val="24"/>
              </w:rPr>
            </w:pPr>
            <w:r>
              <w:rPr>
                <w:rFonts w:hint="default" w:ascii="Times New Roman" w:hAnsi="Times New Roman" w:cs="Times New Roman"/>
                <w:sz w:val="24"/>
                <w:szCs w:val="24"/>
              </w:rPr>
              <w:sym w:font="Wingdings" w:char="00A8"/>
            </w:r>
            <w:r>
              <w:rPr>
                <w:rFonts w:hint="default" w:ascii="Times New Roman" w:hAnsi="Times New Roman" w:cs="Times New Roman"/>
                <w:sz w:val="24"/>
                <w:szCs w:val="24"/>
              </w:rPr>
              <w:t xml:space="preserve"> 6、由两个以上的经营者共同控制的合营企业，通过集中被其中一个或一个以上经营者控制。</w:t>
            </w:r>
          </w:p>
        </w:tc>
      </w:tr>
      <w:tr w14:paraId="6CAB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D9D9D9"/>
          </w:tcPr>
          <w:p w14:paraId="5E28FE6B">
            <w:pPr>
              <w:rPr>
                <w:rFonts w:hint="default" w:ascii="Times New Roman" w:hAnsi="Times New Roman" w:cs="Times New Roman"/>
                <w:b/>
                <w:sz w:val="24"/>
                <w:szCs w:val="24"/>
              </w:rPr>
            </w:pPr>
            <w:r>
              <w:rPr>
                <w:rFonts w:hint="default" w:ascii="Times New Roman" w:hAnsi="Times New Roman" w:cs="Times New Roman"/>
                <w:b/>
                <w:sz w:val="24"/>
                <w:szCs w:val="24"/>
              </w:rPr>
              <w:t>备注</w:t>
            </w:r>
          </w:p>
        </w:tc>
        <w:tc>
          <w:tcPr>
            <w:tcW w:w="6949" w:type="dxa"/>
            <w:gridSpan w:val="2"/>
          </w:tcPr>
          <w:p w14:paraId="715CD483">
            <w:pPr>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混合集中</w:t>
            </w:r>
            <w:r>
              <w:rPr>
                <w:rFonts w:hint="default" w:ascii="Times New Roman" w:hAnsi="Times New Roman" w:cs="Times New Roman"/>
                <w:b/>
                <w:bCs/>
                <w:sz w:val="24"/>
                <w:szCs w:val="24"/>
              </w:rPr>
              <w:t>：</w:t>
            </w:r>
          </w:p>
          <w:p w14:paraId="6CF014EC">
            <w:pPr>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2025年全球人形机器人市场：</w:t>
            </w:r>
          </w:p>
          <w:p w14:paraId="03C8675A">
            <w:pPr>
              <w:rPr>
                <w:rFonts w:hint="eastAsia" w:ascii="Times New Roman" w:hAnsi="Times New Roman" w:cs="Times New Roman"/>
                <w:sz w:val="24"/>
                <w:szCs w:val="24"/>
              </w:rPr>
            </w:pPr>
            <w:r>
              <w:rPr>
                <w:rFonts w:hint="eastAsia" w:ascii="Times New Roman" w:hAnsi="Times New Roman" w:cs="Times New Roman"/>
                <w:sz w:val="24"/>
                <w:szCs w:val="24"/>
                <w:lang w:val="en-US" w:eastAsia="zh-CN"/>
              </w:rPr>
              <w:t>墨擎投资</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0~5</w:t>
            </w:r>
            <w:r>
              <w:rPr>
                <w:rFonts w:hint="eastAsia" w:ascii="Times New Roman" w:hAnsi="Times New Roman" w:cs="Times New Roman"/>
                <w:sz w:val="24"/>
                <w:szCs w:val="24"/>
              </w:rPr>
              <w:t>%</w:t>
            </w:r>
          </w:p>
          <w:p w14:paraId="5CB6EC6B">
            <w:pP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2025年中国境内人形机器人市场：</w:t>
            </w:r>
          </w:p>
          <w:p w14:paraId="27EC0278">
            <w:pPr>
              <w:rPr>
                <w:rFonts w:hint="default" w:ascii="Times New Roman" w:hAnsi="Times New Roman" w:cs="Times New Roman"/>
                <w:sz w:val="24"/>
                <w:szCs w:val="24"/>
              </w:rPr>
            </w:pPr>
            <w:r>
              <w:rPr>
                <w:rFonts w:hint="eastAsia" w:ascii="Times New Roman" w:hAnsi="Times New Roman" w:cs="Times New Roman"/>
                <w:sz w:val="24"/>
                <w:szCs w:val="24"/>
                <w:lang w:val="en-US" w:eastAsia="zh-CN"/>
              </w:rPr>
              <w:t>墨擎投资</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0~5</w:t>
            </w:r>
            <w:r>
              <w:rPr>
                <w:rFonts w:hint="eastAsia" w:ascii="Times New Roman" w:hAnsi="Times New Roman" w:cs="Times New Roman"/>
                <w:sz w:val="24"/>
                <w:szCs w:val="24"/>
              </w:rPr>
              <w:t>%</w:t>
            </w:r>
          </w:p>
        </w:tc>
      </w:tr>
      <w:bookmarkEnd w:id="0"/>
    </w:tbl>
    <w:p w14:paraId="518F5F2B">
      <w:pPr>
        <w:rPr>
          <w:rFonts w:ascii="Times New Roman" w:hAnsi="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DD62B5C-4ED0-471C-B434-9ADC28713FA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8DFBD57-0D54-4ED2-ABE8-D1F115C36B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95"/>
    <w:rsid w:val="000028B9"/>
    <w:rsid w:val="00002BB4"/>
    <w:rsid w:val="0002190B"/>
    <w:rsid w:val="00023510"/>
    <w:rsid w:val="00045966"/>
    <w:rsid w:val="000675A7"/>
    <w:rsid w:val="00081C11"/>
    <w:rsid w:val="00094095"/>
    <w:rsid w:val="000A7223"/>
    <w:rsid w:val="000B347D"/>
    <w:rsid w:val="000B4D65"/>
    <w:rsid w:val="000C0828"/>
    <w:rsid w:val="000E1188"/>
    <w:rsid w:val="000E363D"/>
    <w:rsid w:val="00103F1F"/>
    <w:rsid w:val="00113024"/>
    <w:rsid w:val="00113B7D"/>
    <w:rsid w:val="00113F95"/>
    <w:rsid w:val="00115F2B"/>
    <w:rsid w:val="001469CA"/>
    <w:rsid w:val="001530C8"/>
    <w:rsid w:val="00172D73"/>
    <w:rsid w:val="00174A37"/>
    <w:rsid w:val="00181E00"/>
    <w:rsid w:val="001A1F68"/>
    <w:rsid w:val="001B6BE7"/>
    <w:rsid w:val="001D2727"/>
    <w:rsid w:val="001D60C2"/>
    <w:rsid w:val="001D6EEA"/>
    <w:rsid w:val="001E6C23"/>
    <w:rsid w:val="001E72E6"/>
    <w:rsid w:val="00212883"/>
    <w:rsid w:val="00233B32"/>
    <w:rsid w:val="00242187"/>
    <w:rsid w:val="00245776"/>
    <w:rsid w:val="0025104F"/>
    <w:rsid w:val="00251FFF"/>
    <w:rsid w:val="002716AF"/>
    <w:rsid w:val="0027728C"/>
    <w:rsid w:val="002813E3"/>
    <w:rsid w:val="00286F12"/>
    <w:rsid w:val="0029266B"/>
    <w:rsid w:val="002A0992"/>
    <w:rsid w:val="002A2976"/>
    <w:rsid w:val="002A2A64"/>
    <w:rsid w:val="002A5221"/>
    <w:rsid w:val="002A5816"/>
    <w:rsid w:val="002B769E"/>
    <w:rsid w:val="002C0878"/>
    <w:rsid w:val="002C150A"/>
    <w:rsid w:val="002C2E9A"/>
    <w:rsid w:val="002C62AF"/>
    <w:rsid w:val="002D3E80"/>
    <w:rsid w:val="002F2D60"/>
    <w:rsid w:val="002F54BC"/>
    <w:rsid w:val="00307976"/>
    <w:rsid w:val="00315C44"/>
    <w:rsid w:val="003437D6"/>
    <w:rsid w:val="00344CBE"/>
    <w:rsid w:val="00356FF1"/>
    <w:rsid w:val="00372412"/>
    <w:rsid w:val="003774E4"/>
    <w:rsid w:val="003B4AF2"/>
    <w:rsid w:val="003C4E9F"/>
    <w:rsid w:val="003E60C3"/>
    <w:rsid w:val="003F3A3D"/>
    <w:rsid w:val="003F3F2D"/>
    <w:rsid w:val="004137D8"/>
    <w:rsid w:val="004203A2"/>
    <w:rsid w:val="00436C0C"/>
    <w:rsid w:val="00452181"/>
    <w:rsid w:val="00462174"/>
    <w:rsid w:val="00466906"/>
    <w:rsid w:val="004A6517"/>
    <w:rsid w:val="004A72D5"/>
    <w:rsid w:val="004B048E"/>
    <w:rsid w:val="004C37D8"/>
    <w:rsid w:val="004C3E23"/>
    <w:rsid w:val="004D1A60"/>
    <w:rsid w:val="00511B0C"/>
    <w:rsid w:val="00523151"/>
    <w:rsid w:val="00533635"/>
    <w:rsid w:val="00547709"/>
    <w:rsid w:val="0055631E"/>
    <w:rsid w:val="00563F1C"/>
    <w:rsid w:val="00586928"/>
    <w:rsid w:val="00587541"/>
    <w:rsid w:val="005A0F48"/>
    <w:rsid w:val="005A31C8"/>
    <w:rsid w:val="005A5B31"/>
    <w:rsid w:val="005B29A6"/>
    <w:rsid w:val="005B2A20"/>
    <w:rsid w:val="005B2A61"/>
    <w:rsid w:val="005D1F1F"/>
    <w:rsid w:val="005D3977"/>
    <w:rsid w:val="005E3C20"/>
    <w:rsid w:val="005F167B"/>
    <w:rsid w:val="006041D2"/>
    <w:rsid w:val="006100B9"/>
    <w:rsid w:val="00610AE9"/>
    <w:rsid w:val="00611DE4"/>
    <w:rsid w:val="006302F7"/>
    <w:rsid w:val="00634511"/>
    <w:rsid w:val="00644282"/>
    <w:rsid w:val="006472DE"/>
    <w:rsid w:val="0065422A"/>
    <w:rsid w:val="006557DC"/>
    <w:rsid w:val="006571B5"/>
    <w:rsid w:val="006A088E"/>
    <w:rsid w:val="006C3910"/>
    <w:rsid w:val="006C59FA"/>
    <w:rsid w:val="006D069E"/>
    <w:rsid w:val="006D1520"/>
    <w:rsid w:val="006D36E3"/>
    <w:rsid w:val="006E538B"/>
    <w:rsid w:val="00706527"/>
    <w:rsid w:val="00706B49"/>
    <w:rsid w:val="00706C14"/>
    <w:rsid w:val="007421E3"/>
    <w:rsid w:val="00760695"/>
    <w:rsid w:val="00780DAA"/>
    <w:rsid w:val="00784A67"/>
    <w:rsid w:val="007A5837"/>
    <w:rsid w:val="007B64AD"/>
    <w:rsid w:val="007C0297"/>
    <w:rsid w:val="007C60A7"/>
    <w:rsid w:val="007D4D02"/>
    <w:rsid w:val="007E07D5"/>
    <w:rsid w:val="00806E95"/>
    <w:rsid w:val="008107B4"/>
    <w:rsid w:val="00811E74"/>
    <w:rsid w:val="008356DA"/>
    <w:rsid w:val="00836E2D"/>
    <w:rsid w:val="00862608"/>
    <w:rsid w:val="008721F6"/>
    <w:rsid w:val="00886997"/>
    <w:rsid w:val="00890504"/>
    <w:rsid w:val="008A1FF1"/>
    <w:rsid w:val="008A21F2"/>
    <w:rsid w:val="008A3827"/>
    <w:rsid w:val="008A70B2"/>
    <w:rsid w:val="008B2DDF"/>
    <w:rsid w:val="008D3D13"/>
    <w:rsid w:val="008E34BF"/>
    <w:rsid w:val="008E5233"/>
    <w:rsid w:val="008F04A2"/>
    <w:rsid w:val="008F3D13"/>
    <w:rsid w:val="008F6B86"/>
    <w:rsid w:val="00921469"/>
    <w:rsid w:val="009270BA"/>
    <w:rsid w:val="00955419"/>
    <w:rsid w:val="00957D49"/>
    <w:rsid w:val="00981269"/>
    <w:rsid w:val="009910F5"/>
    <w:rsid w:val="009B5F0D"/>
    <w:rsid w:val="009B68C5"/>
    <w:rsid w:val="009D344D"/>
    <w:rsid w:val="009E42AF"/>
    <w:rsid w:val="009E66B3"/>
    <w:rsid w:val="009F50D7"/>
    <w:rsid w:val="00A022A4"/>
    <w:rsid w:val="00A03B12"/>
    <w:rsid w:val="00A1517B"/>
    <w:rsid w:val="00A15F64"/>
    <w:rsid w:val="00A41B45"/>
    <w:rsid w:val="00A44ED8"/>
    <w:rsid w:val="00A665BC"/>
    <w:rsid w:val="00A83243"/>
    <w:rsid w:val="00A87FEF"/>
    <w:rsid w:val="00A9684C"/>
    <w:rsid w:val="00AA0D58"/>
    <w:rsid w:val="00AB5008"/>
    <w:rsid w:val="00AC0172"/>
    <w:rsid w:val="00AC4929"/>
    <w:rsid w:val="00AC6ECA"/>
    <w:rsid w:val="00AD0AE2"/>
    <w:rsid w:val="00AE4242"/>
    <w:rsid w:val="00B06644"/>
    <w:rsid w:val="00B25D98"/>
    <w:rsid w:val="00B34F97"/>
    <w:rsid w:val="00B356C9"/>
    <w:rsid w:val="00B43DE3"/>
    <w:rsid w:val="00B54D27"/>
    <w:rsid w:val="00B5530C"/>
    <w:rsid w:val="00B5675D"/>
    <w:rsid w:val="00B577EB"/>
    <w:rsid w:val="00B9346D"/>
    <w:rsid w:val="00BA0750"/>
    <w:rsid w:val="00BA5C49"/>
    <w:rsid w:val="00BA625B"/>
    <w:rsid w:val="00BA6300"/>
    <w:rsid w:val="00BA6FC1"/>
    <w:rsid w:val="00BB2377"/>
    <w:rsid w:val="00BD3B0B"/>
    <w:rsid w:val="00BF7086"/>
    <w:rsid w:val="00C00A22"/>
    <w:rsid w:val="00C013BD"/>
    <w:rsid w:val="00C21FDF"/>
    <w:rsid w:val="00C4585B"/>
    <w:rsid w:val="00C569EB"/>
    <w:rsid w:val="00C64E86"/>
    <w:rsid w:val="00C65086"/>
    <w:rsid w:val="00C8636B"/>
    <w:rsid w:val="00C86C98"/>
    <w:rsid w:val="00C9068E"/>
    <w:rsid w:val="00C91A03"/>
    <w:rsid w:val="00C96603"/>
    <w:rsid w:val="00CA5F18"/>
    <w:rsid w:val="00CA6C50"/>
    <w:rsid w:val="00CB4BBA"/>
    <w:rsid w:val="00CC4B1B"/>
    <w:rsid w:val="00CE537D"/>
    <w:rsid w:val="00CF60DF"/>
    <w:rsid w:val="00D02388"/>
    <w:rsid w:val="00D11C3C"/>
    <w:rsid w:val="00D12436"/>
    <w:rsid w:val="00D21633"/>
    <w:rsid w:val="00D2163D"/>
    <w:rsid w:val="00D21777"/>
    <w:rsid w:val="00D3032F"/>
    <w:rsid w:val="00D30389"/>
    <w:rsid w:val="00D32065"/>
    <w:rsid w:val="00D368E0"/>
    <w:rsid w:val="00D4025F"/>
    <w:rsid w:val="00D45F07"/>
    <w:rsid w:val="00D671EF"/>
    <w:rsid w:val="00D74F3E"/>
    <w:rsid w:val="00D753A8"/>
    <w:rsid w:val="00DA02CB"/>
    <w:rsid w:val="00DB5392"/>
    <w:rsid w:val="00DB6A8B"/>
    <w:rsid w:val="00DD24A1"/>
    <w:rsid w:val="00DD5AC0"/>
    <w:rsid w:val="00DD7DFA"/>
    <w:rsid w:val="00DF4497"/>
    <w:rsid w:val="00E02606"/>
    <w:rsid w:val="00E3225D"/>
    <w:rsid w:val="00E35572"/>
    <w:rsid w:val="00E54F55"/>
    <w:rsid w:val="00E65ED7"/>
    <w:rsid w:val="00E761B9"/>
    <w:rsid w:val="00E845A7"/>
    <w:rsid w:val="00EA6518"/>
    <w:rsid w:val="00EC7CC2"/>
    <w:rsid w:val="00ED21B1"/>
    <w:rsid w:val="00EE0E6B"/>
    <w:rsid w:val="00EE3DDA"/>
    <w:rsid w:val="00EF03F5"/>
    <w:rsid w:val="00EF1B89"/>
    <w:rsid w:val="00EF250E"/>
    <w:rsid w:val="00EF59BE"/>
    <w:rsid w:val="00F004B1"/>
    <w:rsid w:val="00F02E06"/>
    <w:rsid w:val="00F04325"/>
    <w:rsid w:val="00F71627"/>
    <w:rsid w:val="00F730F2"/>
    <w:rsid w:val="00F74404"/>
    <w:rsid w:val="00F80D6E"/>
    <w:rsid w:val="00F85488"/>
    <w:rsid w:val="00F87C1F"/>
    <w:rsid w:val="00FA02FD"/>
    <w:rsid w:val="00FA0C1A"/>
    <w:rsid w:val="00FA395D"/>
    <w:rsid w:val="00FD2F77"/>
    <w:rsid w:val="00FD72B7"/>
    <w:rsid w:val="00FD7A17"/>
    <w:rsid w:val="00FE4003"/>
    <w:rsid w:val="049174C0"/>
    <w:rsid w:val="0F506BC4"/>
    <w:rsid w:val="14070EF2"/>
    <w:rsid w:val="17A169E5"/>
    <w:rsid w:val="1A527D06"/>
    <w:rsid w:val="1CBA5FDB"/>
    <w:rsid w:val="1DBF7725"/>
    <w:rsid w:val="1F09499E"/>
    <w:rsid w:val="244C61C9"/>
    <w:rsid w:val="25CE1E7F"/>
    <w:rsid w:val="26006355"/>
    <w:rsid w:val="34843C8B"/>
    <w:rsid w:val="34FB1F45"/>
    <w:rsid w:val="35BD1E53"/>
    <w:rsid w:val="36253E76"/>
    <w:rsid w:val="38F7345D"/>
    <w:rsid w:val="3EB63508"/>
    <w:rsid w:val="3EBC62C8"/>
    <w:rsid w:val="3FFE0CCC"/>
    <w:rsid w:val="404B5EE1"/>
    <w:rsid w:val="42EE19F3"/>
    <w:rsid w:val="437B01A5"/>
    <w:rsid w:val="44C35EBF"/>
    <w:rsid w:val="49F800C5"/>
    <w:rsid w:val="49FF54A5"/>
    <w:rsid w:val="4C1D443B"/>
    <w:rsid w:val="4C8578C0"/>
    <w:rsid w:val="4CA94424"/>
    <w:rsid w:val="4F3B7F03"/>
    <w:rsid w:val="52AD3954"/>
    <w:rsid w:val="574F1D59"/>
    <w:rsid w:val="57E57F98"/>
    <w:rsid w:val="5BA3015F"/>
    <w:rsid w:val="5BD97FC6"/>
    <w:rsid w:val="5E5B1C8A"/>
    <w:rsid w:val="5EBFA7C0"/>
    <w:rsid w:val="640953F2"/>
    <w:rsid w:val="651210A9"/>
    <w:rsid w:val="65AC7F80"/>
    <w:rsid w:val="66094477"/>
    <w:rsid w:val="69807179"/>
    <w:rsid w:val="6F01677F"/>
    <w:rsid w:val="70982851"/>
    <w:rsid w:val="77B446A2"/>
    <w:rsid w:val="7DBB9FB1"/>
    <w:rsid w:val="7E46A337"/>
    <w:rsid w:val="7EE77F63"/>
    <w:rsid w:val="7F0D2F16"/>
    <w:rsid w:val="9BFF3072"/>
    <w:rsid w:val="BFDFBA95"/>
    <w:rsid w:val="D76F51B3"/>
    <w:rsid w:val="DFE7E169"/>
    <w:rsid w:val="E7F4AA55"/>
    <w:rsid w:val="EF7F9247"/>
    <w:rsid w:val="FB4FA366"/>
    <w:rsid w:val="FEFB6013"/>
    <w:rsid w:val="FFDB05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unhideWhenUsed/>
    <w:qFormat/>
    <w:uiPriority w:val="99"/>
    <w:pPr>
      <w:jc w:val="left"/>
    </w:pPr>
  </w:style>
  <w:style w:type="paragraph" w:styleId="3">
    <w:name w:val="endnote text"/>
    <w:basedOn w:val="1"/>
    <w:link w:val="13"/>
    <w:semiHidden/>
    <w:unhideWhenUsed/>
    <w:qFormat/>
    <w:uiPriority w:val="99"/>
    <w:pPr>
      <w:snapToGrid w:val="0"/>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0"/>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ndnote reference"/>
    <w:semiHidden/>
    <w:unhideWhenUsed/>
    <w:qFormat/>
    <w:uiPriority w:val="99"/>
    <w:rPr>
      <w:vertAlign w:val="superscript"/>
    </w:rPr>
  </w:style>
  <w:style w:type="character" w:styleId="12">
    <w:name w:val="annotation reference"/>
    <w:basedOn w:val="10"/>
    <w:semiHidden/>
    <w:unhideWhenUsed/>
    <w:qFormat/>
    <w:uiPriority w:val="99"/>
    <w:rPr>
      <w:sz w:val="21"/>
      <w:szCs w:val="21"/>
    </w:rPr>
  </w:style>
  <w:style w:type="character" w:customStyle="1" w:styleId="13">
    <w:name w:val="尾注文本 字符"/>
    <w:basedOn w:val="10"/>
    <w:link w:val="3"/>
    <w:semiHidden/>
    <w:qFormat/>
    <w:uiPriority w:val="99"/>
  </w:style>
  <w:style w:type="character" w:customStyle="1" w:styleId="14">
    <w:name w:val="页眉 字符"/>
    <w:link w:val="6"/>
    <w:qFormat/>
    <w:uiPriority w:val="99"/>
    <w:rPr>
      <w:sz w:val="18"/>
      <w:szCs w:val="18"/>
    </w:rPr>
  </w:style>
  <w:style w:type="character" w:customStyle="1" w:styleId="15">
    <w:name w:val="页脚 字符"/>
    <w:link w:val="5"/>
    <w:qFormat/>
    <w:uiPriority w:val="99"/>
    <w:rPr>
      <w:sz w:val="18"/>
      <w:szCs w:val="18"/>
    </w:rPr>
  </w:style>
  <w:style w:type="character" w:customStyle="1" w:styleId="16">
    <w:name w:val="批注框文本 字符"/>
    <w:link w:val="4"/>
    <w:semiHidden/>
    <w:qFormat/>
    <w:uiPriority w:val="99"/>
    <w:rPr>
      <w:kern w:val="2"/>
      <w:sz w:val="18"/>
      <w:szCs w:val="18"/>
    </w:rPr>
  </w:style>
  <w:style w:type="paragraph" w:styleId="17">
    <w:name w:val="List Paragraph"/>
    <w:basedOn w:val="1"/>
    <w:qFormat/>
    <w:uiPriority w:val="34"/>
    <w:pPr>
      <w:ind w:firstLine="420" w:firstLineChars="200"/>
    </w:p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 w:type="character" w:customStyle="1" w:styleId="19">
    <w:name w:val="批注文字 字符"/>
    <w:basedOn w:val="10"/>
    <w:link w:val="2"/>
    <w:qFormat/>
    <w:uiPriority w:val="99"/>
    <w:rPr>
      <w:kern w:val="2"/>
      <w:sz w:val="21"/>
      <w:szCs w:val="22"/>
    </w:rPr>
  </w:style>
  <w:style w:type="character" w:customStyle="1" w:styleId="20">
    <w:name w:val="批注主题 字符"/>
    <w:basedOn w:val="19"/>
    <w:link w:val="7"/>
    <w:semiHidden/>
    <w:qFormat/>
    <w:uiPriority w:val="99"/>
    <w:rPr>
      <w:b/>
      <w:bCs/>
      <w:kern w:val="2"/>
      <w:sz w:val="21"/>
      <w:szCs w:val="22"/>
    </w:rPr>
  </w:style>
  <w:style w:type="paragraph" w:customStyle="1" w:styleId="2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zhonglun</Company>
  <Pages>1</Pages>
  <Words>772</Words>
  <Characters>809</Characters>
  <Lines>8</Lines>
  <Paragraphs>2</Paragraphs>
  <TotalTime>2</TotalTime>
  <ScaleCrop>false</ScaleCrop>
  <LinksUpToDate>false</LinksUpToDate>
  <CharactersWithSpaces>815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2020-10-16T08:59:00Z</dcterms:created>
  <dc:creator>YIN Yue/Zhong Lun</dc:creator>
  <cp:lastModifiedBy>admin</cp:lastModifiedBy>
  <cp:lastPrinted>2024-05-18T07:23:00Z</cp:lastPrinted>
  <dcterms:modified xsi:type="dcterms:W3CDTF">2026-08-20T10:17:36Z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eyJoZGlkIjoiNjQwNjNhMWE2ZjQ1NGMwZDk0OTMyNzczNmNkMTZlZDQiLCJ1c2VySWQiOiI0OTQyMjIzNDkifQ==</vt:lpwstr>
  </property>
  <property fmtid="{D5CDD505-2E9C-101B-9397-08002B2CF9AE}" pid="4" name="ICV">
    <vt:lpwstr>A26C4F8E088B454B57DF606ABB6814D3_43</vt:lpwstr>
  </property>
</Properties>
</file>