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0" w:leftChars="0" w:firstLine="5040" w:firstLineChars="0"/>
        <w:jc w:val="both"/>
        <w:textAlignment w:val="auto"/>
        <w:rPr>
          <w:rFonts w:hint="eastAsia"/>
          <w:kern w:val="2"/>
          <w:szCs w:val="32"/>
        </w:rPr>
      </w:pPr>
      <w:r>
        <w:rPr>
          <w:rFonts w:hint="eastAsia"/>
          <w:kern w:val="2"/>
          <w:szCs w:val="32"/>
        </w:rPr>
        <w:t>办理结果：解决采纳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0" w:leftChars="0" w:firstLine="5040" w:firstLineChars="0"/>
        <w:jc w:val="both"/>
        <w:textAlignment w:val="auto"/>
        <w:rPr>
          <w:rFonts w:hint="eastAsia"/>
          <w:kern w:val="2"/>
          <w:szCs w:val="32"/>
        </w:rPr>
      </w:pPr>
      <w:r>
        <w:rPr>
          <w:rFonts w:hint="eastAsia"/>
          <w:kern w:val="2"/>
          <w:szCs w:val="32"/>
        </w:rPr>
        <w:t>公开属性：主动公开</w:t>
      </w:r>
      <w:r>
        <w:rPr>
          <w:rFonts w:hint="eastAsia"/>
          <w:kern w:val="2"/>
          <w:szCs w:val="32"/>
          <w:lang w:val="en-US" w:eastAsia="zh-CN"/>
        </w:rPr>
        <w:t>·全文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left"/>
        <w:textAlignment w:val="auto"/>
        <w:rPr>
          <w:rFonts w:hint="eastAsia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284" w:right="34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120" w:line="336" w:lineRule="auto"/>
        <w:jc w:val="center"/>
        <w:textAlignment w:val="auto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462280</wp:posOffset>
                </wp:positionV>
                <wp:extent cx="5615940" cy="0"/>
                <wp:effectExtent l="0" t="9525" r="3810" b="952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6.4pt;height:0pt;width:442.2pt;z-index:251659264;mso-width-relative:page;mso-height-relative:page;" filled="f" stroked="t" coordsize="21600,21600" o:gfxdata="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BYAAABkcnMvUEsBAhQAFAAAAAgAh07iQAcuj8LUAAAABgEAAA8AAAAAAAAAAQAgAAAAOAAA&#10;AGRycy9kb3ducmV2LnhtbFBLAQIUABQAAAAIAIdO4kCEnuGQ9gEAAOUDAAAOAAAAAAAAAAEAIAAA&#10;ADkBAABkcnMvZTJvRG9jLnhtbFBLBQYAAAAABgAGAFkBAAChBQAAAAA=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书</w:t>
      </w:r>
      <w:r>
        <w:rPr>
          <w:rFonts w:hint="eastAsia"/>
          <w:kern w:val="2"/>
          <w:szCs w:val="32"/>
        </w:rPr>
        <w:t>〔20</w:t>
      </w:r>
      <w:r>
        <w:rPr>
          <w:rFonts w:hint="default"/>
          <w:kern w:val="2"/>
          <w:szCs w:val="32"/>
          <w:lang w:val="en"/>
        </w:rPr>
        <w:t>2</w:t>
      </w:r>
      <w:r>
        <w:rPr>
          <w:rFonts w:hint="eastAsia"/>
          <w:kern w:val="2"/>
          <w:szCs w:val="32"/>
          <w:lang w:val="en-US" w:eastAsia="zh-CN"/>
        </w:rPr>
        <w:t>6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-US"/>
        </w:rPr>
        <w:t>254</w:t>
      </w:r>
      <w:bookmarkStart w:id="0" w:name="_GoBack"/>
      <w:bookmarkEnd w:id="0"/>
      <w:r>
        <w:rPr>
          <w:rFonts w:hint="eastAsia"/>
          <w:kern w:val="2"/>
          <w:szCs w:val="32"/>
        </w:rPr>
        <w:t>号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  <w:tab w:val="left" w:pos="5103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hAnsi="宋体"/>
          <w:kern w:val="2"/>
          <w:szCs w:val="30"/>
        </w:rPr>
      </w:pPr>
    </w:p>
    <w:p>
      <w:pPr>
        <w:overflowPunct w:val="0"/>
        <w:adjustRightInd w:val="0"/>
        <w:snapToGrid w:val="0"/>
        <w:jc w:val="center"/>
        <w:rPr>
          <w:rFonts w:ascii="方正小标宋简体" w:hAnsi="Times New Roman" w:eastAsia="方正小标宋简体" w:cs="Times New Roman"/>
          <w:sz w:val="44"/>
          <w:szCs w:val="44"/>
        </w:rPr>
      </w:pPr>
      <w:r>
        <w:rPr>
          <w:rFonts w:ascii="方正小标宋简体" w:hAnsi="Times New Roman" w:eastAsia="方正小标宋简体" w:cs="Times New Roman"/>
          <w:sz w:val="44"/>
          <w:szCs w:val="44"/>
        </w:rPr>
        <w:t>对市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十六</w:t>
      </w:r>
      <w:r>
        <w:rPr>
          <w:rFonts w:ascii="方正小标宋简体" w:hAnsi="Times New Roman" w:eastAsia="方正小标宋简体" w:cs="Times New Roman"/>
          <w:sz w:val="44"/>
          <w:szCs w:val="44"/>
        </w:rPr>
        <w:t>届人大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四</w:t>
      </w:r>
      <w:r>
        <w:rPr>
          <w:rFonts w:ascii="方正小标宋简体" w:hAnsi="Times New Roman" w:eastAsia="方正小标宋简体" w:cs="Times New Roman"/>
          <w:sz w:val="44"/>
          <w:szCs w:val="44"/>
        </w:rPr>
        <w:t>次会议</w:t>
      </w:r>
    </w:p>
    <w:p>
      <w:pPr>
        <w:overflowPunct w:val="0"/>
        <w:adjustRightInd w:val="0"/>
        <w:snapToGrid w:val="0"/>
        <w:jc w:val="center"/>
        <w:rPr>
          <w:rFonts w:ascii="方正小标宋简体" w:hAnsi="Times New Roman" w:eastAsia="方正小标宋简体" w:cs="Times New Roman"/>
          <w:sz w:val="44"/>
          <w:szCs w:val="44"/>
        </w:rPr>
      </w:pPr>
      <w:r>
        <w:rPr>
          <w:rFonts w:ascii="方正小标宋简体" w:hAnsi="Times New Roman" w:eastAsia="方正小标宋简体" w:cs="Times New Roman"/>
          <w:sz w:val="44"/>
          <w:szCs w:val="44"/>
        </w:rPr>
        <w:t>第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0984</w:t>
      </w:r>
      <w:r>
        <w:rPr>
          <w:rFonts w:ascii="方正小标宋简体" w:hAnsi="Times New Roman" w:eastAsia="方正小标宋简体" w:cs="Times New Roman"/>
          <w:sz w:val="44"/>
          <w:szCs w:val="44"/>
        </w:rPr>
        <w:t>号代表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建议</w:t>
      </w:r>
      <w:r>
        <w:rPr>
          <w:rFonts w:ascii="方正小标宋简体" w:hAnsi="Times New Roman" w:eastAsia="方正小标宋简体" w:cs="Times New Roman"/>
          <w:sz w:val="44"/>
          <w:szCs w:val="44"/>
        </w:rPr>
        <w:t>的答复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eastAsia="zh-CN"/>
        </w:rPr>
        <w:t>俞秋静</w:t>
      </w:r>
      <w:r>
        <w:rPr>
          <w:rFonts w:hint="eastAsia" w:hAnsi="宋体"/>
          <w:kern w:val="2"/>
          <w:szCs w:val="30"/>
        </w:rPr>
        <w:t>代表：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您提出的</w:t>
      </w:r>
      <w:r>
        <w:rPr>
          <w:rFonts w:hint="eastAsia" w:hAnsi="宋体"/>
          <w:kern w:val="2"/>
          <w:szCs w:val="30"/>
          <w:lang w:eastAsia="zh-CN"/>
        </w:rPr>
        <w:t>“</w:t>
      </w:r>
      <w:r>
        <w:rPr>
          <w:rFonts w:hint="eastAsia" w:hAnsi="宋体"/>
          <w:kern w:val="2"/>
          <w:szCs w:val="30"/>
        </w:rPr>
        <w:t>关于</w:t>
      </w:r>
      <w:r>
        <w:rPr>
          <w:rFonts w:hint="eastAsia" w:hAnsi="宋体"/>
          <w:kern w:val="2"/>
          <w:szCs w:val="30"/>
          <w:lang w:val="en-US" w:eastAsia="zh-CN"/>
        </w:rPr>
        <w:t>加强</w:t>
      </w:r>
      <w:r>
        <w:rPr>
          <w:rFonts w:hint="eastAsia" w:hAnsi="宋体"/>
          <w:kern w:val="2"/>
          <w:szCs w:val="30"/>
        </w:rPr>
        <w:t>虚假宣传治理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提</w:t>
      </w:r>
      <w:r>
        <w:rPr>
          <w:rFonts w:hint="eastAsia" w:hAnsi="宋体"/>
          <w:kern w:val="2"/>
          <w:szCs w:val="30"/>
          <w:lang w:val="en-US" w:eastAsia="zh-CN"/>
        </w:rPr>
        <w:t>升</w:t>
      </w:r>
      <w:r>
        <w:rPr>
          <w:rFonts w:hint="eastAsia" w:hAnsi="宋体"/>
          <w:kern w:val="2"/>
          <w:szCs w:val="30"/>
        </w:rPr>
        <w:t>消费信心的建议</w:t>
      </w:r>
      <w:r>
        <w:rPr>
          <w:rFonts w:hint="eastAsia" w:hAnsi="宋体"/>
          <w:kern w:val="2"/>
          <w:szCs w:val="30"/>
          <w:lang w:eastAsia="zh-CN"/>
        </w:rPr>
        <w:t>”</w:t>
      </w:r>
      <w:r>
        <w:rPr>
          <w:rFonts w:hint="eastAsia" w:hAnsi="宋体"/>
          <w:kern w:val="2"/>
          <w:szCs w:val="30"/>
        </w:rPr>
        <w:t>收悉</w:t>
      </w:r>
      <w:r>
        <w:rPr>
          <w:rFonts w:hint="eastAsia" w:hAnsi="宋体"/>
          <w:kern w:val="2"/>
          <w:szCs w:val="30"/>
          <w:lang w:eastAsia="zh-CN"/>
        </w:rPr>
        <w:t>，经</w:t>
      </w:r>
      <w:r>
        <w:rPr>
          <w:rFonts w:hint="eastAsia" w:hAnsi="宋体"/>
          <w:kern w:val="2"/>
          <w:szCs w:val="30"/>
        </w:rPr>
        <w:t>研究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现将办理情况答复如下：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ascii="黑体" w:hAnsi="黑体" w:eastAsia="黑体" w:cs="黑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</w:rPr>
        <w:t>一、关于“加强AI监测技术的课题研究，努力提升虚假宣传查处效能”的建议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eastAsia="zh-CN"/>
        </w:rPr>
        <w:t>我局</w:t>
      </w:r>
      <w:r>
        <w:rPr>
          <w:rFonts w:hint="eastAsia" w:hAnsi="宋体"/>
          <w:kern w:val="2"/>
          <w:szCs w:val="30"/>
        </w:rPr>
        <w:t>持续推动广告监测和网络交易监测的智能化转型，积极探索人工智能技术在虚假宣传发现中的深度应用。一是深化“AI</w:t>
      </w:r>
      <w:r>
        <w:rPr>
          <w:rFonts w:hint="eastAsia" w:hAnsi="宋体"/>
          <w:kern w:val="2"/>
          <w:szCs w:val="30"/>
          <w:lang w:eastAsia="zh-CN"/>
        </w:rPr>
        <w:t>＋</w:t>
      </w:r>
      <w:r>
        <w:rPr>
          <w:rFonts w:hint="eastAsia" w:hAnsi="宋体"/>
          <w:kern w:val="2"/>
          <w:szCs w:val="30"/>
        </w:rPr>
        <w:t>广告监管”应用。依托全国市场监管数字化试验区建设，已开展“AI广告监测智能体”等项目，运用多模态识别、大模型等技术对直播、电商等新业态广告进行智能分析，初步提升了对隐蔽性虚假广告行为的识别能力。二是推进网络交易智慧监测。结合直播电商穿透式监管试点，借助大语言模型、OCR识别技术，对直播话术和商品图文开展智能监测，推动AI技术与网络监测工作的深度融合。</w:t>
      </w:r>
      <w:r>
        <w:rPr>
          <w:rFonts w:hint="eastAsia" w:hAnsi="宋体"/>
          <w:kern w:val="2"/>
          <w:szCs w:val="30"/>
          <w:lang w:eastAsia="zh-CN"/>
        </w:rPr>
        <w:t>我局</w:t>
      </w:r>
      <w:r>
        <w:rPr>
          <w:rFonts w:hint="eastAsia" w:hAnsi="宋体"/>
          <w:kern w:val="2"/>
          <w:szCs w:val="30"/>
        </w:rPr>
        <w:t>将进一步支持AI监测相关课题研究，整合医疗、食品药品、化妆品等多领域法律法规和专业知识，健全智能研判模型，提升对“神医神药”、小字误导等行为的精准识别与风险预警能力，推动实现线上线下监测全覆盖，</w:t>
      </w:r>
      <w:r>
        <w:rPr>
          <w:rFonts w:hint="eastAsia" w:hAnsi="宋体"/>
          <w:kern w:val="2"/>
          <w:szCs w:val="30"/>
          <w:lang w:val="en-US" w:eastAsia="zh-CN"/>
        </w:rPr>
        <w:t>高效识别</w:t>
      </w:r>
      <w:r>
        <w:rPr>
          <w:rFonts w:hint="eastAsia" w:hAnsi="宋体"/>
          <w:kern w:val="2"/>
          <w:szCs w:val="30"/>
        </w:rPr>
        <w:t>违法线索并</w:t>
      </w:r>
      <w:r>
        <w:rPr>
          <w:rFonts w:hint="eastAsia" w:hAnsi="宋体"/>
          <w:kern w:val="2"/>
          <w:szCs w:val="30"/>
          <w:lang w:val="en-US" w:eastAsia="zh-CN"/>
        </w:rPr>
        <w:t>及时</w:t>
      </w:r>
      <w:r>
        <w:rPr>
          <w:rFonts w:hint="eastAsia" w:hAnsi="宋体"/>
          <w:kern w:val="2"/>
          <w:szCs w:val="30"/>
        </w:rPr>
        <w:t>复核处置，有效提升</w:t>
      </w:r>
      <w:r>
        <w:rPr>
          <w:rFonts w:hint="eastAsia" w:hAnsi="宋体"/>
          <w:kern w:val="2"/>
          <w:szCs w:val="30"/>
          <w:lang w:val="en-US" w:eastAsia="zh-CN"/>
        </w:rPr>
        <w:t>对</w:t>
      </w:r>
      <w:r>
        <w:rPr>
          <w:rFonts w:hint="eastAsia" w:hAnsi="宋体"/>
          <w:kern w:val="2"/>
          <w:szCs w:val="30"/>
        </w:rPr>
        <w:t>虚假宣传</w:t>
      </w:r>
      <w:r>
        <w:rPr>
          <w:rFonts w:hint="eastAsia" w:hAnsi="宋体"/>
          <w:kern w:val="2"/>
          <w:szCs w:val="30"/>
          <w:lang w:eastAsia="zh-CN"/>
        </w:rPr>
        <w:t>、</w:t>
      </w:r>
      <w:r>
        <w:rPr>
          <w:rFonts w:hint="eastAsia" w:hAnsi="宋体"/>
          <w:kern w:val="2"/>
          <w:szCs w:val="30"/>
          <w:lang w:val="en-US" w:eastAsia="zh-CN"/>
        </w:rPr>
        <w:t>虚假广告等违法行为的</w:t>
      </w:r>
      <w:r>
        <w:rPr>
          <w:rFonts w:hint="eastAsia" w:hAnsi="宋体"/>
          <w:kern w:val="2"/>
          <w:szCs w:val="30"/>
        </w:rPr>
        <w:t>查处效能。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ascii="黑体" w:hAnsi="黑体" w:eastAsia="黑体" w:cs="黑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</w:rPr>
        <w:t>二、关于“审慎适用首违不罚，针对恶意违法行为加大处罚力度”的建议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eastAsia="zh-CN"/>
        </w:rPr>
        <w:t>我局</w:t>
      </w:r>
      <w:r>
        <w:rPr>
          <w:rFonts w:hint="eastAsia" w:hAnsi="宋体"/>
          <w:kern w:val="2"/>
          <w:szCs w:val="30"/>
        </w:rPr>
        <w:t>高度重视规范行政处罚裁量，严格按照《上海市市场监管领域不予行政处罚和减轻行政处罚实施办法》及动态调整的两份清单</w:t>
      </w:r>
      <w:r>
        <w:rPr>
          <w:rFonts w:hint="eastAsia" w:hAnsi="宋体"/>
          <w:kern w:val="2"/>
          <w:szCs w:val="30"/>
          <w:lang w:eastAsia="zh-CN"/>
        </w:rPr>
        <w:t>开展</w:t>
      </w:r>
      <w:r>
        <w:rPr>
          <w:rFonts w:hint="eastAsia" w:hAnsi="宋体"/>
          <w:kern w:val="2"/>
          <w:szCs w:val="30"/>
        </w:rPr>
        <w:t>处罚裁量，坚持过罚相当、处罚与教育相结合的原则。</w:t>
      </w:r>
      <w:r>
        <w:rPr>
          <w:rFonts w:hint="eastAsia" w:hAnsi="宋体"/>
          <w:kern w:val="2"/>
          <w:szCs w:val="30"/>
          <w:lang w:eastAsia="zh-CN"/>
        </w:rPr>
        <w:t>我局</w:t>
      </w:r>
      <w:r>
        <w:rPr>
          <w:rFonts w:hint="eastAsia" w:hAnsi="宋体"/>
          <w:kern w:val="2"/>
          <w:szCs w:val="30"/>
        </w:rPr>
        <w:t>将进一步细化执法指导：一是审慎适用首违不罚。在个案中综合考量违法性质、主观恶意、危害后果及社会影响等因素，对涉及人民群众生命健康、财产安全等重点领域的主观恶意</w:t>
      </w:r>
      <w:r>
        <w:rPr>
          <w:rFonts w:hint="eastAsia" w:hAnsi="宋体"/>
          <w:kern w:val="2"/>
          <w:szCs w:val="30"/>
          <w:lang w:val="en-US" w:eastAsia="zh-CN"/>
        </w:rPr>
        <w:t>强</w:t>
      </w:r>
      <w:r>
        <w:rPr>
          <w:rFonts w:hint="eastAsia" w:hAnsi="宋体"/>
          <w:kern w:val="2"/>
          <w:szCs w:val="30"/>
        </w:rPr>
        <w:t>、情节恶劣</w:t>
      </w:r>
      <w:r>
        <w:rPr>
          <w:rFonts w:hint="eastAsia" w:hAnsi="宋体"/>
          <w:kern w:val="2"/>
          <w:szCs w:val="30"/>
          <w:lang w:val="en-US" w:eastAsia="zh-CN"/>
        </w:rPr>
        <w:t>的</w:t>
      </w:r>
      <w:r>
        <w:rPr>
          <w:rFonts w:hint="eastAsia" w:hAnsi="宋体"/>
          <w:kern w:val="2"/>
          <w:szCs w:val="30"/>
        </w:rPr>
        <w:t>虚假宣传</w:t>
      </w:r>
      <w:r>
        <w:rPr>
          <w:rFonts w:hint="eastAsia" w:hAnsi="宋体"/>
          <w:kern w:val="2"/>
          <w:szCs w:val="30"/>
          <w:lang w:eastAsia="zh-CN"/>
        </w:rPr>
        <w:t>、</w:t>
      </w:r>
      <w:r>
        <w:rPr>
          <w:rFonts w:hint="eastAsia" w:hAnsi="宋体"/>
          <w:kern w:val="2"/>
          <w:szCs w:val="30"/>
          <w:lang w:val="en-US" w:eastAsia="zh-CN"/>
        </w:rPr>
        <w:t>虚假广告等</w:t>
      </w:r>
      <w:r>
        <w:rPr>
          <w:rFonts w:hint="eastAsia" w:hAnsi="宋体"/>
          <w:kern w:val="2"/>
          <w:szCs w:val="30"/>
        </w:rPr>
        <w:t>行为，依法加大惩戒力度。二是教育引导与处罚并重。对确因内部审核疏漏等过失因素造成、无主观恶意且危害</w:t>
      </w:r>
      <w:r>
        <w:rPr>
          <w:rFonts w:hint="eastAsia" w:hAnsi="宋体"/>
          <w:kern w:val="2"/>
          <w:szCs w:val="30"/>
          <w:lang w:val="en-US" w:eastAsia="zh-CN"/>
        </w:rPr>
        <w:t>后果</w:t>
      </w:r>
      <w:r>
        <w:rPr>
          <w:rFonts w:hint="eastAsia" w:hAnsi="宋体"/>
          <w:kern w:val="2"/>
          <w:szCs w:val="30"/>
        </w:rPr>
        <w:t>轻微</w:t>
      </w:r>
      <w:r>
        <w:rPr>
          <w:rFonts w:hint="eastAsia" w:hAnsi="宋体"/>
          <w:kern w:val="2"/>
          <w:szCs w:val="30"/>
          <w:lang w:eastAsia="zh-CN"/>
        </w:rPr>
        <w:t>等情形的</w:t>
      </w:r>
      <w:r>
        <w:rPr>
          <w:rFonts w:hint="eastAsia" w:hAnsi="宋体"/>
          <w:kern w:val="2"/>
          <w:szCs w:val="30"/>
        </w:rPr>
        <w:t>违法</w:t>
      </w:r>
      <w:r>
        <w:rPr>
          <w:rFonts w:hint="eastAsia" w:hAnsi="宋体"/>
          <w:kern w:val="2"/>
          <w:szCs w:val="30"/>
          <w:lang w:val="en-US" w:eastAsia="zh-CN"/>
        </w:rPr>
        <w:t>行为</w:t>
      </w:r>
      <w:r>
        <w:rPr>
          <w:rFonts w:hint="eastAsia" w:hAnsi="宋体"/>
          <w:kern w:val="2"/>
          <w:szCs w:val="30"/>
        </w:rPr>
        <w:t>，依法适用不予处罚或减轻处罚，并通过约谈、提醒、警示等法治教育方式，督促经营者完善合规管理制度，规范宣传行为，实现法律效果与社会效果的统一。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ascii="黑体" w:hAnsi="黑体" w:eastAsia="黑体" w:cs="黑体"/>
          <w:kern w:val="2"/>
          <w:szCs w:val="30"/>
          <w:lang w:eastAsia="zh-CN"/>
        </w:rPr>
      </w:pPr>
      <w:r>
        <w:rPr>
          <w:rFonts w:hint="eastAsia" w:ascii="黑体" w:hAnsi="黑体" w:eastAsia="黑体" w:cs="黑体"/>
          <w:kern w:val="2"/>
          <w:szCs w:val="30"/>
        </w:rPr>
        <w:t>三、关于“完善举报沟通机制”的建议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eastAsia="zh-CN"/>
        </w:rPr>
        <w:t>我局</w:t>
      </w:r>
      <w:r>
        <w:rPr>
          <w:rFonts w:hint="eastAsia" w:hAnsi="宋体"/>
          <w:kern w:val="2"/>
          <w:szCs w:val="30"/>
          <w:lang w:val="en-US" w:eastAsia="zh-CN"/>
        </w:rPr>
        <w:t>将持续</w:t>
      </w:r>
      <w:r>
        <w:rPr>
          <w:rFonts w:hint="eastAsia" w:hAnsi="宋体"/>
          <w:kern w:val="2"/>
          <w:szCs w:val="30"/>
        </w:rPr>
        <w:t>加强与</w:t>
      </w:r>
      <w:r>
        <w:rPr>
          <w:rFonts w:hint="eastAsia" w:hAnsi="宋体"/>
          <w:kern w:val="2"/>
          <w:szCs w:val="30"/>
          <w:lang w:val="en-US" w:eastAsia="zh-CN"/>
        </w:rPr>
        <w:t>违法线索</w:t>
      </w:r>
      <w:r>
        <w:rPr>
          <w:rFonts w:hint="eastAsia" w:hAnsi="宋体"/>
          <w:kern w:val="2"/>
          <w:szCs w:val="30"/>
        </w:rPr>
        <w:t>举报人沟通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提升线索核查精准度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畅通群众维权渠道、降低行政争议。</w:t>
      </w:r>
      <w:r>
        <w:rPr>
          <w:rFonts w:hint="eastAsia" w:hAnsi="宋体"/>
          <w:kern w:val="2"/>
          <w:szCs w:val="30"/>
          <w:lang w:eastAsia="zh-CN"/>
        </w:rPr>
        <w:t>我局</w:t>
      </w:r>
      <w:r>
        <w:rPr>
          <w:rFonts w:hint="eastAsia" w:hAnsi="宋体"/>
          <w:kern w:val="2"/>
          <w:szCs w:val="30"/>
        </w:rPr>
        <w:t>将在现有程序基础上，进一步完善举报沟通机制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在拟作出不予立案或不予处罚的初步决定前，与举报人</w:t>
      </w:r>
      <w:r>
        <w:rPr>
          <w:rFonts w:hint="eastAsia" w:hAnsi="宋体"/>
          <w:kern w:val="2"/>
          <w:szCs w:val="30"/>
          <w:lang w:val="en-US" w:eastAsia="zh-CN"/>
        </w:rPr>
        <w:t>充分</w:t>
      </w:r>
      <w:r>
        <w:rPr>
          <w:rFonts w:hint="eastAsia" w:hAnsi="宋体"/>
          <w:kern w:val="2"/>
          <w:szCs w:val="30"/>
        </w:rPr>
        <w:t>沟通，听取其意见和补充线索，对提出的合理问题及时开展复核，避免调查疏漏。在沟通中严格遵循以下要求：一是依法依规</w:t>
      </w:r>
      <w:r>
        <w:rPr>
          <w:rFonts w:hint="eastAsia" w:hAnsi="宋体"/>
          <w:kern w:val="2"/>
          <w:szCs w:val="30"/>
          <w:lang w:eastAsia="zh-CN"/>
        </w:rPr>
        <w:t>、</w:t>
      </w:r>
      <w:r>
        <w:rPr>
          <w:rFonts w:hint="eastAsia" w:hAnsi="宋体"/>
          <w:kern w:val="2"/>
          <w:szCs w:val="30"/>
        </w:rPr>
        <w:t>亮明身份、</w:t>
      </w:r>
      <w:r>
        <w:rPr>
          <w:rFonts w:hint="eastAsia" w:hAnsi="宋体"/>
          <w:kern w:val="2"/>
          <w:szCs w:val="30"/>
          <w:lang w:eastAsia="zh-CN"/>
        </w:rPr>
        <w:t>全过程记录</w:t>
      </w:r>
      <w:r>
        <w:rPr>
          <w:rFonts w:hint="eastAsia" w:hAnsi="宋体"/>
          <w:kern w:val="2"/>
          <w:szCs w:val="30"/>
        </w:rPr>
        <w:t>，严守法定核查时限和告知要求，不越权表态、不承诺处理结果；二是严格保护举报人</w:t>
      </w:r>
      <w:r>
        <w:rPr>
          <w:rFonts w:hint="eastAsia" w:hAnsi="宋体"/>
          <w:kern w:val="2"/>
          <w:szCs w:val="30"/>
          <w:lang w:eastAsia="zh-CN"/>
        </w:rPr>
        <w:t>权益</w:t>
      </w:r>
      <w:r>
        <w:rPr>
          <w:rFonts w:hint="eastAsia" w:hAnsi="宋体"/>
          <w:kern w:val="2"/>
          <w:szCs w:val="30"/>
        </w:rPr>
        <w:t>，杜绝泄露</w:t>
      </w:r>
      <w:r>
        <w:rPr>
          <w:rFonts w:hint="eastAsia" w:hAnsi="宋体"/>
          <w:kern w:val="2"/>
          <w:szCs w:val="30"/>
          <w:lang w:val="en-US" w:eastAsia="zh-CN"/>
        </w:rPr>
        <w:t>工作秘密</w:t>
      </w:r>
      <w:r>
        <w:rPr>
          <w:rFonts w:hint="eastAsia" w:hAnsi="宋体"/>
          <w:kern w:val="2"/>
          <w:szCs w:val="30"/>
        </w:rPr>
        <w:t>和</w:t>
      </w:r>
      <w:r>
        <w:rPr>
          <w:rFonts w:hint="eastAsia" w:hAnsi="宋体"/>
          <w:kern w:val="2"/>
          <w:szCs w:val="30"/>
          <w:lang w:val="en-US" w:eastAsia="zh-CN"/>
        </w:rPr>
        <w:t>个人信息、商业秘密等</w:t>
      </w:r>
      <w:r>
        <w:rPr>
          <w:rFonts w:hint="eastAsia" w:hAnsi="宋体"/>
          <w:kern w:val="2"/>
          <w:szCs w:val="30"/>
        </w:rPr>
        <w:t>信息；三是保持中立客观，耐心释法明理，清晰告知核查流程，不随意发表倾向性意见；四是做好书面记录，确保沟通时间、方式、内容</w:t>
      </w:r>
      <w:r>
        <w:rPr>
          <w:rFonts w:hint="eastAsia" w:hAnsi="宋体"/>
          <w:kern w:val="2"/>
          <w:szCs w:val="30"/>
          <w:lang w:eastAsia="zh-CN"/>
        </w:rPr>
        <w:t>等材料</w:t>
      </w:r>
      <w:r>
        <w:rPr>
          <w:rFonts w:hint="eastAsia" w:hAnsi="宋体"/>
          <w:kern w:val="2"/>
          <w:szCs w:val="30"/>
        </w:rPr>
        <w:t>完整归档，执法过程可追溯、经得起检验。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下一步，</w:t>
      </w:r>
      <w:r>
        <w:rPr>
          <w:rFonts w:hint="eastAsia" w:hAnsi="宋体"/>
          <w:kern w:val="2"/>
          <w:szCs w:val="30"/>
          <w:lang w:eastAsia="zh-CN"/>
        </w:rPr>
        <w:t>我局</w:t>
      </w:r>
      <w:r>
        <w:rPr>
          <w:rFonts w:hint="eastAsia" w:hAnsi="宋体"/>
          <w:kern w:val="2"/>
          <w:szCs w:val="30"/>
        </w:rPr>
        <w:t>将持续紧盯重点领域，</w:t>
      </w:r>
      <w:r>
        <w:rPr>
          <w:rFonts w:hint="eastAsia" w:hAnsi="宋体"/>
          <w:kern w:val="2"/>
          <w:szCs w:val="30"/>
          <w:lang w:val="en-US" w:eastAsia="zh-CN"/>
        </w:rPr>
        <w:t>针对</w:t>
      </w:r>
      <w:r>
        <w:rPr>
          <w:rFonts w:hint="eastAsia" w:hAnsi="宋体"/>
          <w:kern w:val="2"/>
          <w:szCs w:val="30"/>
        </w:rPr>
        <w:t>虚假宣传</w:t>
      </w:r>
      <w:r>
        <w:rPr>
          <w:rFonts w:hint="eastAsia" w:hAnsi="宋体"/>
          <w:kern w:val="2"/>
          <w:szCs w:val="30"/>
          <w:lang w:val="en-US" w:eastAsia="zh-CN"/>
        </w:rPr>
        <w:t>违法行为</w:t>
      </w:r>
      <w:r>
        <w:rPr>
          <w:rFonts w:hint="eastAsia" w:hAnsi="宋体"/>
          <w:kern w:val="2"/>
          <w:szCs w:val="30"/>
        </w:rPr>
        <w:t>深化智慧监管、严格执法和社会共治，不断净化消费环境，全力提振消费信心。感谢您对市场监管工作的关心和支持。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941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</w:t>
      </w:r>
      <w:r>
        <w:rPr>
          <w:rFonts w:hint="eastAsia"/>
          <w:kern w:val="2"/>
          <w:szCs w:val="32"/>
          <w:lang w:val="en-US" w:eastAsia="zh-CN"/>
        </w:rPr>
        <w:t>26</w:t>
      </w:r>
      <w:r>
        <w:rPr>
          <w:rFonts w:hint="eastAsia" w:hAnsi="宋体"/>
          <w:kern w:val="2"/>
          <w:szCs w:val="30"/>
        </w:rPr>
        <w:t>年</w:t>
      </w:r>
      <w:r>
        <w:rPr>
          <w:rFonts w:hint="eastAsia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月</w:t>
      </w:r>
      <w:r>
        <w:rPr>
          <w:rFonts w:hint="eastAsia" w:hAnsi="宋体"/>
          <w:kern w:val="2"/>
          <w:szCs w:val="30"/>
          <w:lang w:val="en-US" w:eastAsia="zh-CN"/>
        </w:rPr>
        <w:t>12</w:t>
      </w:r>
      <w:r>
        <w:rPr>
          <w:rFonts w:hint="eastAsia" w:hAnsi="宋体"/>
          <w:kern w:val="2"/>
          <w:szCs w:val="30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4536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default"/>
          <w:kern w:val="2"/>
          <w:sz w:val="28"/>
          <w:szCs w:val="28"/>
          <w:lang w:val="en-US" w:eastAsia="zh-CN"/>
        </w:rPr>
      </w:pPr>
      <w:r>
        <w:rPr>
          <w:rFonts w:hint="eastAsia"/>
          <w:kern w:val="2"/>
          <w:sz w:val="28"/>
          <w:szCs w:val="28"/>
        </w:rPr>
        <w:t>联系人姓名：</w:t>
      </w:r>
      <w:r>
        <w:rPr>
          <w:rFonts w:hint="eastAsia"/>
          <w:kern w:val="2"/>
          <w:sz w:val="28"/>
          <w:szCs w:val="28"/>
          <w:lang w:eastAsia="zh-CN"/>
        </w:rPr>
        <w:t>杨骏</w:t>
      </w:r>
      <w:r>
        <w:rPr>
          <w:rFonts w:hint="eastAsia"/>
          <w:kern w:val="2"/>
          <w:sz w:val="28"/>
          <w:szCs w:val="28"/>
        </w:rPr>
        <w:t xml:space="preserve">                     联系电话：64220000×</w:t>
      </w:r>
      <w:r>
        <w:rPr>
          <w:rFonts w:hint="eastAsia"/>
          <w:kern w:val="2"/>
          <w:sz w:val="28"/>
          <w:szCs w:val="28"/>
          <w:lang w:val="en-US" w:eastAsia="zh-CN"/>
        </w:rPr>
        <w:t>2627</w:t>
      </w:r>
    </w:p>
    <w:p>
      <w:pPr>
        <w:keepNext w:val="0"/>
        <w:keepLines w:val="0"/>
        <w:pageBreakBefore w:val="0"/>
        <w:widowControl w:val="0"/>
        <w:tabs>
          <w:tab w:val="left" w:pos="141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/>
          <w:kern w:val="2"/>
          <w:sz w:val="28"/>
          <w:szCs w:val="28"/>
        </w:rPr>
      </w:pPr>
      <w:r>
        <w:rPr>
          <w:rFonts w:hint="eastAsia"/>
          <w:spacing w:val="48"/>
          <w:kern w:val="2"/>
          <w:sz w:val="28"/>
          <w:szCs w:val="28"/>
        </w:rPr>
        <w:t>联系</w:t>
      </w:r>
      <w:r>
        <w:rPr>
          <w:spacing w:val="48"/>
          <w:kern w:val="2"/>
          <w:sz w:val="28"/>
          <w:szCs w:val="28"/>
        </w:rPr>
        <w:t>地</w:t>
      </w:r>
      <w:r>
        <w:rPr>
          <w:kern w:val="2"/>
          <w:sz w:val="28"/>
          <w:szCs w:val="28"/>
        </w:rPr>
        <w:t>址：</w:t>
      </w:r>
      <w:r>
        <w:rPr>
          <w:rFonts w:hint="eastAsia"/>
          <w:kern w:val="2"/>
          <w:sz w:val="28"/>
          <w:szCs w:val="28"/>
        </w:rPr>
        <w:t>肇嘉浜路301号</w:t>
      </w:r>
      <w:r>
        <w:rPr>
          <w:kern w:val="2"/>
          <w:sz w:val="28"/>
          <w:szCs w:val="28"/>
        </w:rPr>
        <w:t xml:space="preserve">   </w:t>
      </w:r>
      <w:r>
        <w:rPr>
          <w:rFonts w:hint="eastAsia"/>
          <w:kern w:val="2"/>
          <w:sz w:val="28"/>
          <w:szCs w:val="28"/>
        </w:rPr>
        <w:t xml:space="preserve">        </w:t>
      </w:r>
      <w:r>
        <w:rPr>
          <w:kern w:val="2"/>
          <w:sz w:val="28"/>
          <w:szCs w:val="28"/>
        </w:rPr>
        <w:t>邮政编码：</w:t>
      </w:r>
      <w:r>
        <w:rPr>
          <w:rFonts w:hint="eastAsia"/>
          <w:kern w:val="2"/>
          <w:sz w:val="28"/>
          <w:szCs w:val="28"/>
        </w:rPr>
        <w:t>200032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417" w:gutter="0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both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A41656"/>
    <w:rsid w:val="0FFFE84B"/>
    <w:rsid w:val="6EFE3D04"/>
    <w:rsid w:val="723E03C9"/>
    <w:rsid w:val="768D4F08"/>
    <w:rsid w:val="769B008A"/>
    <w:rsid w:val="7A0128FA"/>
    <w:rsid w:val="7F7F1EAB"/>
    <w:rsid w:val="94DF54B7"/>
    <w:rsid w:val="BCBDEFB9"/>
    <w:rsid w:val="EFAF2BC9"/>
    <w:rsid w:val="EFF75A62"/>
    <w:rsid w:val="FECD3C0D"/>
    <w:rsid w:val="FECF393C"/>
    <w:rsid w:val="FEFFDEA0"/>
    <w:rsid w:val="FFDA97F0"/>
    <w:rsid w:val="FFFD4DFD"/>
    <w:rsid w:val="FFFF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仿宋_GB2312" w:hAnsi="Times New Roman" w:eastAsia="仿宋_GB2312" w:cs="Times New Roman"/>
      <w:kern w:val="2"/>
      <w:sz w:val="18"/>
      <w:szCs w:val="18"/>
      <w:lang w:val="en-US" w:eastAsia="zh-CN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2026-05-06T18:27:00Z</dcterms:created>
  <dc:creator>peopl</dc:creator>
  <cp:lastModifiedBy>scjuser</cp:lastModifiedBy>
  <dcterms:modified xsi:type="dcterms:W3CDTF">2026-05-13T09:17:46Z</dcterms:modified>
  <dc:title>办理结果：解决采纳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2052-11.8.2.12125</vt:lpwstr>
  </property>
  <property fmtid="{D5CDD505-2E9C-101B-9397-08002B2CF9AE}" pid="3" name="KSOTemplateDocerSaveRecord">
    <vt:lpwstr>eyJoZGlkIjoiZjFmZWIzNDg2MmIzZjExOTIzMmViNTBmYTMwYTk0ZWYiLCJ1c2VySWQiOiIxMjIxNzQ3MzAzIn0=</vt:lpwstr>
  </property>
  <property fmtid="{D5CDD505-2E9C-101B-9397-08002B2CF9AE}" pid="4" name="ICV">
    <vt:lpwstr>4F22FB514BB492D43AD1036A03994F8F</vt:lpwstr>
  </property>
</Properties>
</file>