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ADEEE">
      <w:pPr>
        <w:spacing w:before="0"/>
        <w:ind w:left="672" w:right="793" w:firstLine="0"/>
        <w:jc w:val="center"/>
        <w:rPr>
          <w:rFonts w:hint="eastAsia" w:ascii="黑体" w:eastAsia="黑体"/>
          <w:sz w:val="36"/>
        </w:rPr>
      </w:pPr>
      <w:r>
        <w:rPr>
          <w:rFonts w:hint="eastAsia" w:ascii="黑体" w:eastAsia="黑体"/>
          <w:sz w:val="36"/>
        </w:rPr>
        <w:t>经营者集中简易案件公示表</w:t>
      </w:r>
    </w:p>
    <w:p w14:paraId="191014C5">
      <w:pPr>
        <w:pStyle w:val="3"/>
        <w:spacing w:before="1"/>
        <w:rPr>
          <w:rFonts w:ascii="黑体"/>
          <w:sz w:val="20"/>
        </w:rPr>
      </w:pPr>
    </w:p>
    <w:tbl>
      <w:tblPr>
        <w:tblStyle w:val="5"/>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0"/>
        <w:gridCol w:w="1607"/>
        <w:gridCol w:w="6093"/>
      </w:tblGrid>
      <w:tr w14:paraId="103CC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1940" w:type="dxa"/>
            <w:shd w:val="clear" w:color="auto" w:fill="D9D9D9"/>
            <w:vAlign w:val="center"/>
          </w:tcPr>
          <w:p w14:paraId="01B55B46">
            <w:pPr>
              <w:pStyle w:val="9"/>
              <w:spacing w:before="1"/>
              <w:ind w:left="0"/>
              <w:jc w:val="center"/>
              <w:rPr>
                <w:sz w:val="24"/>
              </w:rPr>
            </w:pPr>
            <w:r>
              <w:rPr>
                <w:sz w:val="24"/>
              </w:rPr>
              <w:t>案件名称</w:t>
            </w:r>
          </w:p>
        </w:tc>
        <w:tc>
          <w:tcPr>
            <w:tcW w:w="7700" w:type="dxa"/>
            <w:gridSpan w:val="2"/>
            <w:vAlign w:val="center"/>
          </w:tcPr>
          <w:p w14:paraId="37326DA9">
            <w:pPr>
              <w:pStyle w:val="9"/>
              <w:spacing w:before="0" w:line="240" w:lineRule="auto"/>
              <w:ind w:left="108" w:right="96"/>
              <w:rPr>
                <w:sz w:val="24"/>
              </w:rPr>
            </w:pPr>
            <w:r>
              <w:rPr>
                <w:rFonts w:hint="eastAsia"/>
                <w:sz w:val="24"/>
              </w:rPr>
              <w:t>河南神火集团有限公司与山东奥德鑫铝投资有限公司新设合营企业案</w:t>
            </w:r>
          </w:p>
        </w:tc>
      </w:tr>
      <w:tr w14:paraId="0A4B6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7" w:hRule="atLeast"/>
        </w:trPr>
        <w:tc>
          <w:tcPr>
            <w:tcW w:w="1940" w:type="dxa"/>
            <w:shd w:val="clear" w:color="auto" w:fill="D9D9D9"/>
            <w:vAlign w:val="center"/>
          </w:tcPr>
          <w:p w14:paraId="4C1C7E88">
            <w:pPr>
              <w:pStyle w:val="9"/>
              <w:spacing w:before="216" w:line="271" w:lineRule="auto"/>
              <w:ind w:left="0" w:right="0"/>
              <w:jc w:val="center"/>
              <w:rPr>
                <w:rFonts w:hint="default" w:ascii="Times New Roman" w:hAnsi="Times New Roman" w:cs="Times New Roman"/>
                <w:sz w:val="24"/>
              </w:rPr>
            </w:pPr>
            <w:r>
              <w:rPr>
                <w:rFonts w:hint="default" w:ascii="Times New Roman" w:hAnsi="Times New Roman" w:cs="Times New Roman"/>
                <w:spacing w:val="-33"/>
                <w:sz w:val="24"/>
              </w:rPr>
              <w:t>交易</w:t>
            </w:r>
            <w:r>
              <w:rPr>
                <w:rFonts w:hint="default" w:ascii="Times New Roman" w:hAnsi="Times New Roman" w:cs="Times New Roman"/>
                <w:spacing w:val="0"/>
                <w:sz w:val="24"/>
              </w:rPr>
              <w:t>概况（限200</w:t>
            </w:r>
            <w:r>
              <w:rPr>
                <w:rFonts w:hint="default" w:ascii="Times New Roman" w:hAnsi="Times New Roman" w:cs="Times New Roman"/>
                <w:sz w:val="24"/>
              </w:rPr>
              <w:t>字内）</w:t>
            </w:r>
          </w:p>
        </w:tc>
        <w:tc>
          <w:tcPr>
            <w:tcW w:w="7700" w:type="dxa"/>
            <w:gridSpan w:val="2"/>
            <w:vAlign w:val="center"/>
          </w:tcPr>
          <w:p w14:paraId="7433328C">
            <w:pPr>
              <w:pStyle w:val="9"/>
              <w:spacing w:before="0" w:line="240" w:lineRule="auto"/>
              <w:ind w:left="96" w:right="96"/>
              <w:jc w:val="left"/>
              <w:rPr>
                <w:rFonts w:hint="eastAsia" w:ascii="宋体" w:hAnsi="宋体" w:eastAsia="宋体" w:cs="宋体"/>
                <w:spacing w:val="-11"/>
                <w:sz w:val="24"/>
                <w:lang w:val="en-US" w:eastAsia="zh-CN"/>
              </w:rPr>
            </w:pPr>
            <w:r>
              <w:rPr>
                <w:rFonts w:hint="eastAsia" w:ascii="宋体" w:hAnsi="宋体" w:eastAsia="宋体" w:cs="宋体"/>
                <w:spacing w:val="0"/>
                <w:sz w:val="24"/>
              </w:rPr>
              <w:t>河南神火集团有限公司</w:t>
            </w:r>
            <w:r>
              <w:rPr>
                <w:rFonts w:hint="eastAsia" w:ascii="宋体" w:hAnsi="宋体" w:eastAsia="宋体" w:cs="宋体"/>
                <w:spacing w:val="0"/>
                <w:sz w:val="24"/>
                <w:lang w:eastAsia="zh-CN"/>
              </w:rPr>
              <w:t>（</w:t>
            </w:r>
            <w:r>
              <w:rPr>
                <w:rFonts w:hint="eastAsia" w:ascii="宋体" w:hAnsi="宋体" w:eastAsia="宋体" w:cs="宋体"/>
                <w:spacing w:val="0"/>
                <w:sz w:val="24"/>
                <w:lang w:val="en-US" w:eastAsia="zh-CN"/>
              </w:rPr>
              <w:t>以下简称</w:t>
            </w:r>
            <w:r>
              <w:rPr>
                <w:rFonts w:hint="eastAsia" w:ascii="宋体" w:hAnsi="宋体" w:eastAsia="宋体" w:cs="宋体"/>
                <w:b/>
                <w:bCs/>
                <w:spacing w:val="0"/>
                <w:sz w:val="24"/>
                <w:lang w:val="en-US" w:eastAsia="zh-CN"/>
              </w:rPr>
              <w:t>“神火集团”</w:t>
            </w:r>
            <w:r>
              <w:rPr>
                <w:rFonts w:hint="eastAsia" w:ascii="宋体" w:hAnsi="宋体" w:eastAsia="宋体" w:cs="宋体"/>
                <w:spacing w:val="0"/>
                <w:sz w:val="24"/>
                <w:lang w:eastAsia="zh-CN"/>
              </w:rPr>
              <w:t>）</w:t>
            </w:r>
            <w:r>
              <w:rPr>
                <w:rFonts w:hint="eastAsia" w:ascii="宋体" w:hAnsi="宋体" w:eastAsia="宋体" w:cs="宋体"/>
                <w:spacing w:val="0"/>
                <w:sz w:val="24"/>
                <w:lang w:val="en-US" w:eastAsia="zh-CN"/>
              </w:rPr>
              <w:t>与山东奥德鑫铝投资有限公司（以下简称</w:t>
            </w:r>
            <w:r>
              <w:rPr>
                <w:rFonts w:hint="eastAsia" w:ascii="宋体" w:hAnsi="宋体" w:eastAsia="宋体" w:cs="宋体"/>
                <w:b/>
                <w:bCs/>
                <w:spacing w:val="0"/>
                <w:sz w:val="24"/>
                <w:lang w:val="en-US" w:eastAsia="zh-CN"/>
              </w:rPr>
              <w:t>“奥德鑫铝”</w:t>
            </w:r>
            <w:r>
              <w:rPr>
                <w:rFonts w:hint="eastAsia" w:ascii="宋体" w:hAnsi="宋体" w:eastAsia="宋体" w:cs="宋体"/>
                <w:spacing w:val="0"/>
                <w:sz w:val="24"/>
                <w:lang w:val="en-US" w:eastAsia="zh-CN"/>
              </w:rPr>
              <w:t>）签署《公司章程》，拟新设合营企业（“</w:t>
            </w:r>
            <w:r>
              <w:rPr>
                <w:rFonts w:hint="eastAsia" w:ascii="宋体" w:hAnsi="宋体" w:eastAsia="宋体" w:cs="宋体"/>
                <w:b/>
                <w:bCs/>
                <w:spacing w:val="0"/>
                <w:sz w:val="24"/>
                <w:lang w:val="en-US" w:eastAsia="zh-CN"/>
              </w:rPr>
              <w:t>合营企业</w:t>
            </w:r>
            <w:r>
              <w:rPr>
                <w:rFonts w:hint="eastAsia" w:ascii="宋体" w:hAnsi="宋体" w:eastAsia="宋体" w:cs="宋体"/>
                <w:spacing w:val="0"/>
                <w:sz w:val="24"/>
                <w:lang w:val="en-US" w:eastAsia="zh-CN"/>
              </w:rPr>
              <w:t>”），合营企业拟主要从事工业品供应链管理服务业务，同时拟在境外设立项目公司从事电解铝生产与销售业务。本次交易完成后，神火集团与奥德鑫铝将分别持有合营企业60%和40%的股份，并将共同控制合营企业。</w:t>
            </w:r>
          </w:p>
        </w:tc>
      </w:tr>
      <w:tr w14:paraId="56FA1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1940" w:type="dxa"/>
            <w:vMerge w:val="restart"/>
            <w:shd w:val="clear" w:color="auto" w:fill="D9D9D9"/>
            <w:vAlign w:val="center"/>
          </w:tcPr>
          <w:p w14:paraId="273066F7">
            <w:pPr>
              <w:pStyle w:val="9"/>
              <w:spacing w:line="271" w:lineRule="auto"/>
              <w:ind w:left="0" w:right="0"/>
              <w:jc w:val="center"/>
              <w:rPr>
                <w:rFonts w:hint="default" w:ascii="Times New Roman" w:hAnsi="Times New Roman" w:cs="Times New Roman"/>
                <w:sz w:val="24"/>
              </w:rPr>
            </w:pPr>
            <w:r>
              <w:rPr>
                <w:rFonts w:hint="default" w:ascii="Times New Roman" w:hAnsi="Times New Roman" w:cs="Times New Roman"/>
                <w:sz w:val="24"/>
              </w:rPr>
              <w:t>参与集中的经营者简介（每个限</w:t>
            </w:r>
            <w:r>
              <w:rPr>
                <w:rFonts w:hint="default" w:ascii="Times New Roman" w:hAnsi="Times New Roman" w:cs="Times New Roman"/>
                <w:spacing w:val="-1"/>
                <w:sz w:val="24"/>
              </w:rPr>
              <w:t>100</w:t>
            </w:r>
            <w:r>
              <w:rPr>
                <w:rFonts w:hint="default" w:ascii="Times New Roman" w:hAnsi="Times New Roman" w:cs="Times New Roman"/>
                <w:spacing w:val="-15"/>
                <w:sz w:val="24"/>
              </w:rPr>
              <w:t>字以内</w:t>
            </w:r>
            <w:r>
              <w:rPr>
                <w:rFonts w:hint="default" w:ascii="Times New Roman" w:hAnsi="Times New Roman" w:cs="Times New Roman"/>
                <w:sz w:val="24"/>
              </w:rPr>
              <w:t>）</w:t>
            </w:r>
          </w:p>
        </w:tc>
        <w:tc>
          <w:tcPr>
            <w:tcW w:w="1607" w:type="dxa"/>
          </w:tcPr>
          <w:p w14:paraId="67AF8693">
            <w:pPr>
              <w:pStyle w:val="9"/>
              <w:spacing w:before="232"/>
              <w:ind w:left="0" w:leftChars="0" w:right="0" w:rightChars="0" w:firstLine="0" w:firstLineChars="0"/>
              <w:jc w:val="center"/>
              <w:rPr>
                <w:rFonts w:hint="eastAsia" w:ascii="宋体" w:hAnsi="宋体" w:eastAsia="宋体" w:cs="宋体"/>
                <w:sz w:val="24"/>
              </w:rPr>
            </w:pPr>
            <w:r>
              <w:rPr>
                <w:rFonts w:hint="eastAsia" w:ascii="宋体" w:hAnsi="宋体" w:eastAsia="宋体" w:cs="宋体"/>
                <w:sz w:val="24"/>
              </w:rPr>
              <w:t>1.神火集团</w:t>
            </w:r>
          </w:p>
        </w:tc>
        <w:tc>
          <w:tcPr>
            <w:tcW w:w="6093" w:type="dxa"/>
          </w:tcPr>
          <w:p w14:paraId="63BD00DA">
            <w:pPr>
              <w:pStyle w:val="9"/>
              <w:spacing w:before="0" w:line="240" w:lineRule="auto"/>
              <w:ind w:left="108" w:right="96"/>
              <w:rPr>
                <w:rFonts w:hint="eastAsia" w:cs="宋体"/>
                <w:sz w:val="24"/>
                <w:lang w:val="en-US" w:eastAsia="zh-CN"/>
              </w:rPr>
            </w:pPr>
            <w:r>
              <w:rPr>
                <w:rFonts w:hint="eastAsia" w:ascii="宋体" w:hAnsi="宋体" w:eastAsia="宋体" w:cs="宋体"/>
                <w:w w:val="100"/>
                <w:sz w:val="24"/>
              </w:rPr>
              <w:t>神火集团</w:t>
            </w:r>
            <w:r>
              <w:rPr>
                <w:rFonts w:hint="eastAsia" w:ascii="宋体" w:hAnsi="宋体" w:eastAsia="宋体" w:cs="宋体"/>
                <w:spacing w:val="0"/>
                <w:sz w:val="24"/>
              </w:rPr>
              <w:t>于</w:t>
            </w:r>
            <w:r>
              <w:rPr>
                <w:rFonts w:hint="eastAsia" w:ascii="宋体" w:hAnsi="宋体" w:eastAsia="宋体" w:cs="宋体"/>
                <w:spacing w:val="0"/>
                <w:sz w:val="24"/>
                <w:lang w:val="en-US" w:eastAsia="zh-CN"/>
              </w:rPr>
              <w:t>1994年9月30日</w:t>
            </w:r>
            <w:r>
              <w:rPr>
                <w:rFonts w:hint="eastAsia" w:ascii="宋体" w:hAnsi="宋体" w:eastAsia="宋体" w:cs="宋体"/>
                <w:spacing w:val="0"/>
                <w:sz w:val="24"/>
              </w:rPr>
              <w:t>成立于</w:t>
            </w:r>
            <w:r>
              <w:rPr>
                <w:rFonts w:hint="eastAsia" w:ascii="宋体" w:hAnsi="宋体" w:eastAsia="宋体" w:cs="宋体"/>
                <w:spacing w:val="0"/>
                <w:sz w:val="24"/>
                <w:lang w:val="en-US" w:eastAsia="zh-CN"/>
              </w:rPr>
              <w:t>河南省永城市</w:t>
            </w:r>
            <w:r>
              <w:rPr>
                <w:rFonts w:hint="eastAsia" w:ascii="宋体" w:hAnsi="宋体" w:eastAsia="宋体" w:cs="宋体"/>
                <w:spacing w:val="0"/>
                <w:sz w:val="24"/>
              </w:rPr>
              <w:t>，</w:t>
            </w:r>
            <w:r>
              <w:rPr>
                <w:rFonts w:hint="eastAsia" w:ascii="宋体" w:hAnsi="宋体" w:eastAsia="宋体" w:cs="宋体"/>
                <w:sz w:val="24"/>
                <w:lang w:val="en-US" w:eastAsia="zh-CN"/>
              </w:rPr>
              <w:t>主要从事</w:t>
            </w:r>
            <w:r>
              <w:rPr>
                <w:rFonts w:hint="eastAsia" w:ascii="宋体" w:hAnsi="宋体" w:eastAsia="宋体" w:cs="宋体"/>
                <w:sz w:val="24"/>
              </w:rPr>
              <w:t>煤炭、电力、电解铝、铝加工产业投资业务</w:t>
            </w:r>
            <w:r>
              <w:rPr>
                <w:rFonts w:hint="eastAsia" w:cs="宋体"/>
                <w:sz w:val="24"/>
                <w:lang w:val="en-US" w:eastAsia="zh-CN"/>
              </w:rPr>
              <w:t>。</w:t>
            </w:r>
          </w:p>
          <w:p w14:paraId="098CB475">
            <w:pPr>
              <w:pStyle w:val="9"/>
              <w:spacing w:before="0" w:line="240" w:lineRule="auto"/>
              <w:ind w:left="108" w:right="96"/>
              <w:rPr>
                <w:rFonts w:hint="eastAsia" w:ascii="宋体" w:hAnsi="宋体" w:eastAsia="宋体" w:cs="宋体"/>
                <w:sz w:val="24"/>
                <w:lang w:val="en-US"/>
              </w:rPr>
            </w:pPr>
            <w:r>
              <w:rPr>
                <w:rFonts w:hint="eastAsia" w:ascii="宋体" w:hAnsi="宋体" w:eastAsia="宋体" w:cs="宋体"/>
                <w:sz w:val="24"/>
                <w:lang w:val="en-US" w:eastAsia="zh-CN"/>
              </w:rPr>
              <w:t>神火集团为</w:t>
            </w:r>
            <w:r>
              <w:rPr>
                <w:rFonts w:hint="eastAsia" w:cs="宋体"/>
                <w:sz w:val="24"/>
                <w:lang w:val="en-US" w:eastAsia="zh-CN"/>
              </w:rPr>
              <w:t>商丘市人民政府国有资产监督管理委员会下属企业。</w:t>
            </w:r>
          </w:p>
        </w:tc>
      </w:tr>
      <w:tr w14:paraId="4E76B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2" w:hRule="atLeast"/>
        </w:trPr>
        <w:tc>
          <w:tcPr>
            <w:tcW w:w="1940" w:type="dxa"/>
            <w:vMerge w:val="continue"/>
            <w:tcBorders>
              <w:top w:val="nil"/>
              <w:bottom w:val="single" w:color="auto" w:sz="4" w:space="0"/>
            </w:tcBorders>
            <w:shd w:val="clear" w:color="auto" w:fill="D9D9D9"/>
            <w:vAlign w:val="center"/>
          </w:tcPr>
          <w:p w14:paraId="3A38D2E3">
            <w:pPr>
              <w:jc w:val="center"/>
              <w:rPr>
                <w:rFonts w:hint="default" w:ascii="Times New Roman" w:hAnsi="Times New Roman" w:cs="Times New Roman"/>
                <w:sz w:val="2"/>
                <w:szCs w:val="2"/>
              </w:rPr>
            </w:pPr>
          </w:p>
        </w:tc>
        <w:tc>
          <w:tcPr>
            <w:tcW w:w="1607" w:type="dxa"/>
            <w:tcBorders>
              <w:bottom w:val="single" w:color="auto" w:sz="4" w:space="0"/>
            </w:tcBorders>
          </w:tcPr>
          <w:p w14:paraId="7560714C">
            <w:pPr>
              <w:pStyle w:val="9"/>
              <w:ind w:left="0" w:leftChars="0" w:right="0" w:rightChars="0" w:firstLine="0" w:firstLineChars="0"/>
              <w:jc w:val="center"/>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eastAsia="zh-CN"/>
              </w:rPr>
              <w:t>奥德鑫铝</w:t>
            </w:r>
          </w:p>
        </w:tc>
        <w:tc>
          <w:tcPr>
            <w:tcW w:w="6093" w:type="dxa"/>
            <w:tcBorders>
              <w:bottom w:val="single" w:color="auto" w:sz="4" w:space="0"/>
            </w:tcBorders>
          </w:tcPr>
          <w:p w14:paraId="08046B61">
            <w:pPr>
              <w:pStyle w:val="9"/>
              <w:spacing w:before="0" w:line="240" w:lineRule="auto"/>
              <w:ind w:left="108" w:right="96"/>
              <w:jc w:val="left"/>
              <w:rPr>
                <w:rFonts w:hint="eastAsia" w:ascii="宋体" w:hAnsi="宋体" w:eastAsia="宋体" w:cs="宋体"/>
                <w:sz w:val="24"/>
              </w:rPr>
            </w:pPr>
            <w:r>
              <w:rPr>
                <w:rFonts w:hint="eastAsia" w:ascii="宋体" w:hAnsi="宋体" w:eastAsia="宋体" w:cs="宋体"/>
                <w:spacing w:val="0"/>
                <w:sz w:val="24"/>
                <w:lang w:eastAsia="zh-CN"/>
              </w:rPr>
              <w:t>奥德鑫铝</w:t>
            </w:r>
            <w:r>
              <w:rPr>
                <w:rFonts w:hint="eastAsia" w:ascii="宋体" w:hAnsi="宋体" w:eastAsia="宋体" w:cs="宋体"/>
                <w:spacing w:val="0"/>
                <w:sz w:val="24"/>
              </w:rPr>
              <w:t>于</w:t>
            </w:r>
            <w:r>
              <w:rPr>
                <w:rFonts w:hint="eastAsia" w:ascii="宋体" w:hAnsi="宋体" w:eastAsia="宋体" w:cs="宋体"/>
                <w:spacing w:val="0"/>
                <w:sz w:val="24"/>
                <w:lang w:val="en-US" w:eastAsia="zh-CN"/>
              </w:rPr>
              <w:t>2025年11月24日</w:t>
            </w:r>
            <w:r>
              <w:rPr>
                <w:rFonts w:hint="eastAsia" w:ascii="宋体" w:hAnsi="宋体" w:eastAsia="宋体" w:cs="宋体"/>
                <w:spacing w:val="0"/>
                <w:sz w:val="24"/>
              </w:rPr>
              <w:t>成立于</w:t>
            </w:r>
            <w:r>
              <w:rPr>
                <w:rFonts w:hint="eastAsia" w:ascii="宋体" w:hAnsi="宋体" w:eastAsia="宋体" w:cs="宋体"/>
                <w:spacing w:val="0"/>
                <w:sz w:val="24"/>
                <w:lang w:val="en-US" w:eastAsia="zh-CN"/>
              </w:rPr>
              <w:t>山东省临沂市</w:t>
            </w:r>
            <w:r>
              <w:rPr>
                <w:rFonts w:hint="eastAsia" w:ascii="宋体" w:hAnsi="宋体" w:eastAsia="宋体" w:cs="宋体"/>
                <w:spacing w:val="0"/>
                <w:sz w:val="24"/>
              </w:rPr>
              <w:t>，主营业务为以自有资金从事投资活动</w:t>
            </w:r>
            <w:r>
              <w:rPr>
                <w:rFonts w:hint="eastAsia" w:ascii="宋体" w:hAnsi="宋体" w:eastAsia="宋体" w:cs="宋体"/>
                <w:sz w:val="24"/>
              </w:rPr>
              <w:t>。</w:t>
            </w:r>
          </w:p>
          <w:p w14:paraId="4B3565F9">
            <w:pPr>
              <w:pStyle w:val="9"/>
              <w:spacing w:before="0" w:line="240" w:lineRule="auto"/>
              <w:ind w:left="108" w:right="96"/>
              <w:jc w:val="left"/>
              <w:rPr>
                <w:rFonts w:hint="eastAsia" w:ascii="宋体" w:hAnsi="宋体" w:eastAsia="宋体" w:cs="宋体"/>
                <w:sz w:val="24"/>
                <w:lang w:val="en-US"/>
              </w:rPr>
            </w:pPr>
            <w:r>
              <w:rPr>
                <w:rFonts w:hint="eastAsia" w:ascii="宋体" w:hAnsi="宋体" w:eastAsia="宋体" w:cs="宋体"/>
                <w:sz w:val="24"/>
                <w:lang w:val="en-US" w:eastAsia="zh-CN"/>
              </w:rPr>
              <w:t>奥德鑫铝的</w:t>
            </w:r>
            <w:r>
              <w:rPr>
                <w:rFonts w:hint="eastAsia" w:ascii="宋体" w:hAnsi="宋体" w:eastAsia="宋体" w:cs="宋体"/>
                <w:spacing w:val="0"/>
                <w:sz w:val="24"/>
              </w:rPr>
              <w:t>最终控制人为自然人</w:t>
            </w:r>
            <w:r>
              <w:rPr>
                <w:rFonts w:hint="eastAsia" w:ascii="宋体" w:hAnsi="宋体" w:eastAsia="宋体" w:cs="宋体"/>
                <w:spacing w:val="0"/>
                <w:sz w:val="24"/>
                <w:lang w:eastAsia="zh-CN"/>
              </w:rPr>
              <w:t>，</w:t>
            </w:r>
            <w:r>
              <w:rPr>
                <w:rFonts w:hint="eastAsia" w:cs="宋体"/>
                <w:spacing w:val="0"/>
                <w:sz w:val="24"/>
                <w:lang w:val="en-US" w:eastAsia="zh-CN"/>
              </w:rPr>
              <w:t>其控制的企业</w:t>
            </w:r>
            <w:r>
              <w:rPr>
                <w:rFonts w:hint="eastAsia" w:ascii="宋体" w:hAnsi="宋体" w:eastAsia="宋体" w:cs="宋体"/>
                <w:spacing w:val="0"/>
                <w:sz w:val="24"/>
                <w:lang w:val="en-US" w:eastAsia="zh-CN"/>
              </w:rPr>
              <w:t>主要</w:t>
            </w:r>
            <w:r>
              <w:rPr>
                <w:rFonts w:hint="eastAsia" w:cs="宋体"/>
                <w:spacing w:val="0"/>
                <w:sz w:val="24"/>
                <w:lang w:val="en-US" w:eastAsia="zh-CN"/>
              </w:rPr>
              <w:t>从事</w:t>
            </w:r>
            <w:r>
              <w:rPr>
                <w:rFonts w:hint="eastAsia" w:ascii="宋体" w:hAnsi="宋体" w:eastAsia="宋体" w:cs="宋体"/>
                <w:spacing w:val="0"/>
                <w:sz w:val="24"/>
                <w:lang w:val="en-US" w:eastAsia="zh-CN"/>
              </w:rPr>
              <w:t>天然气管道输送、城市燃气管网建设、燃气工程施工及燃气设备销售</w:t>
            </w:r>
            <w:r>
              <w:rPr>
                <w:rFonts w:hint="eastAsia" w:cs="宋体"/>
                <w:spacing w:val="0"/>
                <w:sz w:val="24"/>
                <w:lang w:val="en-US" w:eastAsia="zh-CN"/>
              </w:rPr>
              <w:t>业务</w:t>
            </w:r>
            <w:r>
              <w:rPr>
                <w:rFonts w:hint="eastAsia" w:ascii="宋体" w:hAnsi="宋体" w:eastAsia="宋体" w:cs="宋体"/>
                <w:spacing w:val="0"/>
                <w:sz w:val="24"/>
                <w:lang w:val="en-US" w:eastAsia="zh-CN"/>
              </w:rPr>
              <w:t>，同时布局金融、地产、工程建设、智慧能源、海外投资等多元化经营。</w:t>
            </w:r>
          </w:p>
        </w:tc>
      </w:tr>
      <w:tr w14:paraId="6AAA8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940" w:type="dxa"/>
            <w:vMerge w:val="restart"/>
            <w:tcBorders>
              <w:top w:val="single" w:color="auto" w:sz="4" w:space="0"/>
              <w:left w:val="single" w:color="auto" w:sz="4" w:space="0"/>
              <w:right w:val="single" w:color="auto" w:sz="4" w:space="0"/>
            </w:tcBorders>
            <w:shd w:val="clear" w:color="auto" w:fill="D9D9D9"/>
            <w:vAlign w:val="center"/>
          </w:tcPr>
          <w:p w14:paraId="4C4F981F">
            <w:pPr>
              <w:pStyle w:val="9"/>
              <w:spacing w:before="196"/>
              <w:ind w:left="0"/>
              <w:jc w:val="center"/>
              <w:rPr>
                <w:rFonts w:hint="default" w:ascii="Times New Roman" w:hAnsi="Times New Roman" w:cs="Times New Roman"/>
                <w:sz w:val="24"/>
              </w:rPr>
            </w:pPr>
            <w:r>
              <w:rPr>
                <w:rFonts w:hint="default" w:ascii="Times New Roman" w:hAnsi="Times New Roman" w:cs="Times New Roman"/>
                <w:spacing w:val="45"/>
                <w:sz w:val="24"/>
              </w:rPr>
              <w:t>简易案件理由</w:t>
            </w:r>
          </w:p>
          <w:p w14:paraId="072CA1AE">
            <w:pPr>
              <w:pStyle w:val="9"/>
              <w:spacing w:before="40" w:line="271" w:lineRule="auto"/>
              <w:ind w:left="0" w:right="0"/>
              <w:jc w:val="center"/>
              <w:rPr>
                <w:rFonts w:hint="default" w:ascii="Times New Roman" w:hAnsi="Times New Roman" w:cs="Times New Roman"/>
                <w:sz w:val="24"/>
              </w:rPr>
            </w:pPr>
            <w:r>
              <w:rPr>
                <w:rFonts w:hint="default" w:ascii="Times New Roman" w:hAnsi="Times New Roman" w:cs="Times New Roman"/>
                <w:sz w:val="24"/>
              </w:rPr>
              <w:t>（可以单选，也可以多选）</w:t>
            </w:r>
          </w:p>
        </w:tc>
        <w:tc>
          <w:tcPr>
            <w:tcW w:w="7700" w:type="dxa"/>
            <w:gridSpan w:val="2"/>
            <w:tcBorders>
              <w:top w:val="single" w:color="auto" w:sz="4" w:space="0"/>
              <w:left w:val="single" w:color="auto" w:sz="4" w:space="0"/>
              <w:bottom w:val="single" w:color="auto" w:sz="4" w:space="0"/>
              <w:right w:val="single" w:color="auto" w:sz="4" w:space="0"/>
            </w:tcBorders>
          </w:tcPr>
          <w:p w14:paraId="09C05427">
            <w:pPr>
              <w:pStyle w:val="9"/>
              <w:numPr>
                <w:ilvl w:val="0"/>
                <w:numId w:val="0"/>
              </w:numPr>
              <w:tabs>
                <w:tab w:val="left" w:pos="381"/>
              </w:tabs>
              <w:spacing w:before="13" w:after="0" w:line="240" w:lineRule="auto"/>
              <w:ind w:left="380" w:leftChars="0" w:right="-29" w:rightChars="0" w:hanging="274" w:firstLineChars="0"/>
              <w:jc w:val="left"/>
              <w:rPr>
                <w:rFonts w:hint="eastAsia" w:ascii="宋体" w:hAnsi="宋体" w:eastAsia="宋体" w:cs="宋体"/>
                <w:sz w:val="24"/>
              </w:rPr>
            </w:pPr>
            <w:r>
              <w:rPr>
                <w:rFonts w:hint="eastAsia" w:ascii="宋体" w:hAnsi="宋体" w:eastAsia="宋体" w:cs="宋体"/>
                <w:w w:val="100"/>
                <w:sz w:val="24"/>
                <w:szCs w:val="24"/>
                <w:lang w:val="en-US" w:eastAsia="en-US" w:bidi="ar-SA"/>
              </w:rPr>
              <w:sym w:font="Wingdings" w:char="00A8"/>
            </w:r>
            <w:r>
              <w:rPr>
                <w:rFonts w:hint="eastAsia" w:ascii="宋体" w:hAnsi="宋体" w:eastAsia="宋体" w:cs="宋体"/>
                <w:sz w:val="24"/>
              </w:rPr>
              <w:t>1</w:t>
            </w:r>
            <w:r>
              <w:rPr>
                <w:rFonts w:hint="eastAsia" w:ascii="宋体" w:hAnsi="宋体" w:eastAsia="宋体" w:cs="宋体"/>
                <w:spacing w:val="-10"/>
                <w:sz w:val="24"/>
              </w:rPr>
              <w:t>.在同一相关市场，参与集中的经营者所占的市场份额之和小于</w:t>
            </w:r>
            <w:r>
              <w:rPr>
                <w:rFonts w:hint="eastAsia" w:ascii="宋体" w:hAnsi="宋体" w:eastAsia="宋体" w:cs="宋体"/>
                <w:sz w:val="24"/>
              </w:rPr>
              <w:t>15%。</w:t>
            </w:r>
          </w:p>
        </w:tc>
      </w:tr>
      <w:tr w14:paraId="42E28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940" w:type="dxa"/>
            <w:vMerge w:val="continue"/>
            <w:tcBorders>
              <w:left w:val="single" w:color="auto" w:sz="4" w:space="0"/>
              <w:right w:val="single" w:color="auto" w:sz="4" w:space="0"/>
            </w:tcBorders>
            <w:shd w:val="clear" w:color="auto" w:fill="D9D9D9"/>
            <w:vAlign w:val="center"/>
          </w:tcPr>
          <w:p w14:paraId="7D2EC4C8">
            <w:pPr>
              <w:jc w:val="center"/>
              <w:rPr>
                <w:sz w:val="2"/>
                <w:szCs w:val="2"/>
              </w:rPr>
            </w:pPr>
          </w:p>
        </w:tc>
        <w:tc>
          <w:tcPr>
            <w:tcW w:w="7700" w:type="dxa"/>
            <w:gridSpan w:val="2"/>
            <w:tcBorders>
              <w:top w:val="single" w:color="auto" w:sz="4" w:space="0"/>
              <w:left w:val="single" w:color="auto" w:sz="4" w:space="0"/>
              <w:bottom w:val="single" w:color="auto" w:sz="4" w:space="0"/>
              <w:right w:val="single" w:color="auto" w:sz="4" w:space="0"/>
            </w:tcBorders>
          </w:tcPr>
          <w:p w14:paraId="465FD358">
            <w:pPr>
              <w:pStyle w:val="9"/>
              <w:numPr>
                <w:ilvl w:val="0"/>
                <w:numId w:val="0"/>
              </w:numPr>
              <w:tabs>
                <w:tab w:val="left" w:pos="381"/>
              </w:tabs>
              <w:spacing w:before="14" w:after="0" w:line="240" w:lineRule="auto"/>
              <w:ind w:left="380" w:leftChars="0" w:right="0" w:rightChars="0" w:hanging="274" w:firstLineChars="0"/>
              <w:jc w:val="left"/>
              <w:rPr>
                <w:rFonts w:hint="eastAsia" w:ascii="宋体" w:hAnsi="宋体" w:eastAsia="宋体" w:cs="宋体"/>
                <w:sz w:val="24"/>
              </w:rPr>
            </w:pPr>
            <w:r>
              <w:rPr>
                <w:rFonts w:hint="eastAsia" w:ascii="宋体" w:hAnsi="宋体" w:eastAsia="宋体" w:cs="宋体"/>
                <w:w w:val="100"/>
                <w:sz w:val="24"/>
                <w:szCs w:val="24"/>
                <w:lang w:val="en-US" w:eastAsia="en-US" w:bidi="ar-SA"/>
              </w:rPr>
              <w:sym w:font="Wingdings" w:char="00A8"/>
            </w:r>
            <w:r>
              <w:rPr>
                <w:rFonts w:hint="eastAsia" w:ascii="宋体" w:hAnsi="宋体" w:eastAsia="宋体" w:cs="宋体"/>
                <w:sz w:val="24"/>
              </w:rPr>
              <w:t>2</w:t>
            </w:r>
            <w:r>
              <w:rPr>
                <w:rFonts w:hint="eastAsia" w:ascii="宋体" w:hAnsi="宋体" w:eastAsia="宋体" w:cs="宋体"/>
                <w:spacing w:val="-3"/>
                <w:sz w:val="24"/>
              </w:rPr>
              <w:t>.在上下游市场，参与集中的经营者所占的市场份额均小于</w:t>
            </w:r>
            <w:r>
              <w:rPr>
                <w:rFonts w:hint="eastAsia" w:ascii="宋体" w:hAnsi="宋体" w:eastAsia="宋体" w:cs="宋体"/>
                <w:sz w:val="24"/>
              </w:rPr>
              <w:t>25%。</w:t>
            </w:r>
          </w:p>
        </w:tc>
      </w:tr>
      <w:tr w14:paraId="5D767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1940" w:type="dxa"/>
            <w:vMerge w:val="continue"/>
            <w:tcBorders>
              <w:left w:val="single" w:color="auto" w:sz="4" w:space="0"/>
              <w:right w:val="single" w:color="auto" w:sz="4" w:space="0"/>
            </w:tcBorders>
            <w:shd w:val="clear" w:color="auto" w:fill="D9D9D9"/>
            <w:vAlign w:val="center"/>
          </w:tcPr>
          <w:p w14:paraId="5092F19E">
            <w:pPr>
              <w:jc w:val="center"/>
              <w:rPr>
                <w:sz w:val="2"/>
                <w:szCs w:val="2"/>
              </w:rPr>
            </w:pPr>
          </w:p>
        </w:tc>
        <w:tc>
          <w:tcPr>
            <w:tcW w:w="7700" w:type="dxa"/>
            <w:gridSpan w:val="2"/>
            <w:tcBorders>
              <w:top w:val="single" w:color="auto" w:sz="4" w:space="0"/>
              <w:left w:val="single" w:color="auto" w:sz="4" w:space="0"/>
              <w:bottom w:val="single" w:color="auto" w:sz="4" w:space="0"/>
              <w:right w:val="single" w:color="auto" w:sz="4" w:space="0"/>
            </w:tcBorders>
          </w:tcPr>
          <w:p w14:paraId="50C7810D">
            <w:pPr>
              <w:pStyle w:val="9"/>
              <w:numPr>
                <w:ilvl w:val="0"/>
                <w:numId w:val="0"/>
              </w:numPr>
              <w:tabs>
                <w:tab w:val="left" w:pos="386"/>
              </w:tabs>
              <w:spacing w:before="13" w:after="0" w:line="240" w:lineRule="auto"/>
              <w:ind w:left="385" w:right="0" w:hanging="279"/>
              <w:jc w:val="left"/>
              <w:rPr>
                <w:rFonts w:hint="eastAsia" w:ascii="宋体" w:hAnsi="宋体" w:eastAsia="宋体" w:cs="宋体"/>
                <w:sz w:val="24"/>
              </w:rPr>
            </w:pPr>
            <w:r>
              <w:rPr>
                <w:rFonts w:hint="eastAsia" w:ascii="宋体" w:hAnsi="宋体" w:eastAsia="宋体" w:cs="宋体"/>
                <w:w w:val="100"/>
                <w:sz w:val="24"/>
                <w:szCs w:val="24"/>
                <w:lang w:val="en-US" w:eastAsia="en-US" w:bidi="ar-SA"/>
              </w:rPr>
              <w:sym w:font="Wingdings" w:char="00FE"/>
            </w:r>
            <w:r>
              <w:rPr>
                <w:rFonts w:hint="eastAsia" w:ascii="宋体" w:hAnsi="宋体" w:eastAsia="宋体" w:cs="宋体"/>
                <w:sz w:val="24"/>
              </w:rPr>
              <w:t>3.不在同一相关市场也不存在上下游关系的参与集中的经营者，在与</w:t>
            </w:r>
          </w:p>
          <w:p w14:paraId="1BE5BFB7">
            <w:pPr>
              <w:pStyle w:val="9"/>
              <w:spacing w:before="41"/>
              <w:rPr>
                <w:rFonts w:hint="eastAsia" w:ascii="宋体" w:hAnsi="宋体" w:eastAsia="宋体" w:cs="宋体"/>
                <w:sz w:val="24"/>
              </w:rPr>
            </w:pPr>
            <w:r>
              <w:rPr>
                <w:rFonts w:hint="eastAsia" w:ascii="宋体" w:hAnsi="宋体" w:eastAsia="宋体" w:cs="宋体"/>
                <w:sz w:val="24"/>
              </w:rPr>
              <w:t>交易有关的每个市场所占的市场份额均小于25%。</w:t>
            </w:r>
            <w:bookmarkStart w:id="0" w:name="_GoBack"/>
            <w:bookmarkEnd w:id="0"/>
          </w:p>
        </w:tc>
      </w:tr>
      <w:tr w14:paraId="38D15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1940" w:type="dxa"/>
            <w:vMerge w:val="continue"/>
            <w:tcBorders>
              <w:left w:val="single" w:color="auto" w:sz="4" w:space="0"/>
              <w:right w:val="single" w:color="auto" w:sz="4" w:space="0"/>
            </w:tcBorders>
            <w:shd w:val="clear" w:color="auto" w:fill="D9D9D9"/>
            <w:vAlign w:val="center"/>
          </w:tcPr>
          <w:p w14:paraId="27049196">
            <w:pPr>
              <w:pStyle w:val="9"/>
              <w:ind w:left="0"/>
              <w:jc w:val="center"/>
              <w:rPr>
                <w:rFonts w:hint="eastAsia" w:ascii="宋体"/>
                <w:sz w:val="26"/>
              </w:rPr>
            </w:pPr>
          </w:p>
        </w:tc>
        <w:tc>
          <w:tcPr>
            <w:tcW w:w="7700" w:type="dxa"/>
            <w:gridSpan w:val="2"/>
          </w:tcPr>
          <w:p w14:paraId="3F62B837">
            <w:pPr>
              <w:pStyle w:val="9"/>
              <w:numPr>
                <w:ilvl w:val="0"/>
                <w:numId w:val="0"/>
              </w:numPr>
              <w:tabs>
                <w:tab w:val="left" w:pos="386"/>
              </w:tabs>
              <w:spacing w:before="100" w:after="0" w:line="271" w:lineRule="auto"/>
              <w:ind w:left="107" w:leftChars="0" w:right="97" w:rightChars="0" w:firstLine="0" w:firstLineChars="0"/>
              <w:jc w:val="left"/>
              <w:rPr>
                <w:rFonts w:hint="eastAsia" w:ascii="宋体" w:hAnsi="宋体" w:eastAsia="宋体" w:cs="宋体"/>
                <w:sz w:val="24"/>
              </w:rPr>
            </w:pPr>
            <w:r>
              <w:rPr>
                <w:rFonts w:hint="eastAsia" w:ascii="宋体" w:hAnsi="宋体" w:eastAsia="宋体" w:cs="宋体"/>
                <w:w w:val="100"/>
                <w:sz w:val="24"/>
                <w:szCs w:val="24"/>
                <w:lang w:val="en-US" w:eastAsia="en-US" w:bidi="ar-SA"/>
              </w:rPr>
              <w:sym w:font="Wingdings" w:char="00A8"/>
            </w:r>
            <w:r>
              <w:rPr>
                <w:rFonts w:hint="eastAsia" w:ascii="宋体" w:hAnsi="宋体" w:eastAsia="宋体" w:cs="宋体"/>
                <w:sz w:val="24"/>
              </w:rPr>
              <w:t>4.参与集中的经营者在中国境外设立合营企业，合营企业不在中国境内从事经济活动。</w:t>
            </w:r>
          </w:p>
        </w:tc>
      </w:tr>
      <w:tr w14:paraId="0F16A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1940" w:type="dxa"/>
            <w:vMerge w:val="continue"/>
            <w:tcBorders>
              <w:left w:val="single" w:color="auto" w:sz="4" w:space="0"/>
              <w:right w:val="single" w:color="auto" w:sz="4" w:space="0"/>
            </w:tcBorders>
            <w:shd w:val="clear" w:color="auto" w:fill="D9D9D9"/>
            <w:vAlign w:val="center"/>
          </w:tcPr>
          <w:p w14:paraId="622C9B27">
            <w:pPr>
              <w:jc w:val="center"/>
              <w:rPr>
                <w:sz w:val="2"/>
                <w:szCs w:val="2"/>
              </w:rPr>
            </w:pPr>
          </w:p>
        </w:tc>
        <w:tc>
          <w:tcPr>
            <w:tcW w:w="7700" w:type="dxa"/>
            <w:gridSpan w:val="2"/>
          </w:tcPr>
          <w:p w14:paraId="0316BF6C">
            <w:pPr>
              <w:pStyle w:val="9"/>
              <w:numPr>
                <w:ilvl w:val="0"/>
                <w:numId w:val="1"/>
              </w:numPr>
              <w:tabs>
                <w:tab w:val="left" w:pos="386"/>
              </w:tabs>
              <w:spacing w:before="14" w:after="0" w:line="240" w:lineRule="auto"/>
              <w:ind w:left="385" w:right="0" w:hanging="279"/>
              <w:jc w:val="left"/>
              <w:rPr>
                <w:rFonts w:hint="eastAsia" w:ascii="宋体" w:hAnsi="宋体" w:eastAsia="宋体" w:cs="宋体"/>
                <w:sz w:val="24"/>
              </w:rPr>
            </w:pPr>
            <w:r>
              <w:rPr>
                <w:rFonts w:hint="eastAsia" w:ascii="宋体" w:hAnsi="宋体" w:eastAsia="宋体" w:cs="宋体"/>
                <w:sz w:val="24"/>
              </w:rPr>
              <w:t>5.参与集中的经营者收购境外企业股权或资产的，该境外企业不在中</w:t>
            </w:r>
          </w:p>
          <w:p w14:paraId="71AED5CD">
            <w:pPr>
              <w:pStyle w:val="9"/>
              <w:spacing w:before="38"/>
              <w:rPr>
                <w:rFonts w:hint="eastAsia" w:ascii="宋体" w:hAnsi="宋体" w:eastAsia="宋体" w:cs="宋体"/>
                <w:sz w:val="24"/>
              </w:rPr>
            </w:pPr>
            <w:r>
              <w:rPr>
                <w:rFonts w:hint="eastAsia" w:ascii="宋体" w:hAnsi="宋体" w:eastAsia="宋体" w:cs="宋体"/>
                <w:sz w:val="24"/>
              </w:rPr>
              <w:t>国境内从事经济活动。</w:t>
            </w:r>
          </w:p>
        </w:tc>
      </w:tr>
      <w:tr w14:paraId="39C44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1940" w:type="dxa"/>
            <w:vMerge w:val="continue"/>
            <w:tcBorders>
              <w:left w:val="single" w:color="auto" w:sz="4" w:space="0"/>
              <w:right w:val="single" w:color="auto" w:sz="4" w:space="0"/>
            </w:tcBorders>
            <w:shd w:val="clear" w:color="auto" w:fill="D9D9D9"/>
            <w:vAlign w:val="center"/>
          </w:tcPr>
          <w:p w14:paraId="586417D7">
            <w:pPr>
              <w:jc w:val="center"/>
              <w:rPr>
                <w:sz w:val="2"/>
                <w:szCs w:val="2"/>
              </w:rPr>
            </w:pPr>
          </w:p>
        </w:tc>
        <w:tc>
          <w:tcPr>
            <w:tcW w:w="7700" w:type="dxa"/>
            <w:gridSpan w:val="2"/>
          </w:tcPr>
          <w:p w14:paraId="54E9CA30">
            <w:pPr>
              <w:pStyle w:val="9"/>
              <w:numPr>
                <w:ilvl w:val="0"/>
                <w:numId w:val="2"/>
              </w:numPr>
              <w:tabs>
                <w:tab w:val="left" w:pos="386"/>
              </w:tabs>
              <w:spacing w:before="14" w:after="0" w:line="240" w:lineRule="auto"/>
              <w:ind w:left="385" w:right="0" w:hanging="279"/>
              <w:jc w:val="left"/>
              <w:rPr>
                <w:rFonts w:hint="eastAsia" w:ascii="宋体" w:hAnsi="宋体" w:eastAsia="宋体" w:cs="宋体"/>
                <w:sz w:val="24"/>
              </w:rPr>
            </w:pPr>
            <w:r>
              <w:rPr>
                <w:rFonts w:hint="eastAsia" w:ascii="宋体" w:hAnsi="宋体" w:eastAsia="宋体" w:cs="宋体"/>
                <w:sz w:val="24"/>
              </w:rPr>
              <w:t>6.由两个以上的经营者共同控制的合营企业，通过集中被其中一个或</w:t>
            </w:r>
          </w:p>
          <w:p w14:paraId="3257251F">
            <w:pPr>
              <w:pStyle w:val="9"/>
              <w:spacing w:before="38"/>
              <w:rPr>
                <w:rFonts w:hint="eastAsia" w:ascii="宋体" w:hAnsi="宋体" w:eastAsia="宋体" w:cs="宋体"/>
                <w:sz w:val="24"/>
              </w:rPr>
            </w:pPr>
            <w:r>
              <w:rPr>
                <w:rFonts w:hint="eastAsia" w:ascii="宋体" w:hAnsi="宋体" w:eastAsia="宋体" w:cs="宋体"/>
                <w:sz w:val="24"/>
              </w:rPr>
              <w:t>一个以上经营者控制。</w:t>
            </w:r>
          </w:p>
        </w:tc>
      </w:tr>
      <w:tr w14:paraId="56647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940" w:type="dxa"/>
            <w:shd w:val="clear" w:color="auto" w:fill="D9D9D9"/>
            <w:vAlign w:val="center"/>
          </w:tcPr>
          <w:p w14:paraId="0D7F2C5A">
            <w:pPr>
              <w:pStyle w:val="9"/>
              <w:ind w:left="0"/>
              <w:jc w:val="center"/>
              <w:rPr>
                <w:sz w:val="24"/>
              </w:rPr>
            </w:pPr>
            <w:r>
              <w:rPr>
                <w:sz w:val="24"/>
              </w:rPr>
              <w:t>备注</w:t>
            </w:r>
          </w:p>
        </w:tc>
        <w:tc>
          <w:tcPr>
            <w:tcW w:w="7700" w:type="dxa"/>
            <w:gridSpan w:val="2"/>
          </w:tcPr>
          <w:p w14:paraId="308488FC">
            <w:pPr>
              <w:pStyle w:val="9"/>
              <w:spacing w:before="0" w:line="240" w:lineRule="auto"/>
              <w:ind w:left="108" w:right="96"/>
              <w:rPr>
                <w:rFonts w:hint="default" w:ascii="Times New Roman" w:hAnsi="Times New Roman" w:cs="Times New Roman"/>
                <w:b/>
                <w:bCs/>
                <w:sz w:val="24"/>
                <w:lang w:val="en-US" w:eastAsia="zh-CN"/>
              </w:rPr>
            </w:pPr>
            <w:r>
              <w:rPr>
                <w:rFonts w:hint="default" w:ascii="Times New Roman" w:hAnsi="Times New Roman" w:cs="Times New Roman"/>
                <w:b/>
                <w:bCs/>
                <w:sz w:val="24"/>
                <w:lang w:val="en-US" w:eastAsia="zh-CN"/>
              </w:rPr>
              <w:t>混合集中：</w:t>
            </w:r>
          </w:p>
          <w:p w14:paraId="6EE0F7B6">
            <w:pPr>
              <w:pStyle w:val="9"/>
              <w:spacing w:before="0" w:line="240" w:lineRule="auto"/>
              <w:ind w:left="108" w:right="96"/>
              <w:rPr>
                <w:rFonts w:hint="eastAsia" w:ascii="宋体" w:hAnsi="宋体" w:eastAsia="宋体" w:cs="宋体"/>
                <w:sz w:val="24"/>
                <w:lang w:val="en-US" w:eastAsia="zh-CN"/>
              </w:rPr>
            </w:pPr>
            <w:r>
              <w:rPr>
                <w:rFonts w:hint="eastAsia" w:ascii="宋体" w:hAnsi="宋体" w:eastAsia="宋体" w:cs="宋体"/>
                <w:sz w:val="24"/>
                <w:lang w:val="en-US" w:eastAsia="zh-CN"/>
              </w:rPr>
              <w:t>2024年中国境内电解铝市场：</w:t>
            </w:r>
          </w:p>
          <w:p w14:paraId="619DE848">
            <w:pPr>
              <w:pStyle w:val="9"/>
              <w:spacing w:before="0" w:line="240" w:lineRule="auto"/>
              <w:ind w:left="108" w:right="96"/>
              <w:rPr>
                <w:rFonts w:hint="eastAsia" w:ascii="宋体" w:hAnsi="宋体" w:eastAsia="宋体" w:cs="宋体"/>
                <w:sz w:val="24"/>
                <w:lang w:val="en-US" w:eastAsia="zh-CN"/>
              </w:rPr>
            </w:pPr>
            <w:r>
              <w:rPr>
                <w:rFonts w:hint="eastAsia" w:ascii="宋体" w:hAnsi="宋体" w:eastAsia="宋体" w:cs="宋体"/>
                <w:sz w:val="24"/>
                <w:lang w:val="en-US" w:eastAsia="zh-CN"/>
              </w:rPr>
              <w:t>神火集团：0-5%</w:t>
            </w:r>
          </w:p>
          <w:p w14:paraId="50D7A19D">
            <w:pPr>
              <w:pStyle w:val="9"/>
              <w:spacing w:before="0" w:line="240" w:lineRule="auto"/>
              <w:ind w:left="108" w:right="96"/>
              <w:rPr>
                <w:rFonts w:hint="default" w:ascii="宋体" w:hAnsi="宋体" w:eastAsia="宋体" w:cs="宋体"/>
                <w:sz w:val="24"/>
                <w:lang w:val="en-US" w:eastAsia="zh-CN"/>
              </w:rPr>
            </w:pPr>
            <w:r>
              <w:rPr>
                <w:rFonts w:hint="default" w:ascii="宋体" w:hAnsi="宋体" w:eastAsia="宋体" w:cs="宋体"/>
                <w:sz w:val="24"/>
                <w:lang w:val="en-US" w:eastAsia="zh-CN"/>
              </w:rPr>
              <w:t>2024年中国境内铝箔坯料市场：</w:t>
            </w:r>
          </w:p>
          <w:p w14:paraId="5D8B6DB7">
            <w:pPr>
              <w:pStyle w:val="9"/>
              <w:spacing w:before="0" w:line="240" w:lineRule="auto"/>
              <w:ind w:left="108" w:right="96"/>
              <w:rPr>
                <w:rFonts w:hint="default" w:ascii="宋体" w:hAnsi="宋体" w:eastAsia="宋体" w:cs="宋体"/>
                <w:sz w:val="24"/>
                <w:lang w:val="en-US" w:eastAsia="zh-CN"/>
              </w:rPr>
            </w:pPr>
            <w:r>
              <w:rPr>
                <w:rFonts w:hint="default" w:ascii="宋体" w:hAnsi="宋体" w:eastAsia="宋体" w:cs="宋体"/>
                <w:sz w:val="24"/>
                <w:lang w:val="en-US" w:eastAsia="zh-CN"/>
              </w:rPr>
              <w:t>神火集团：0-5%</w:t>
            </w:r>
          </w:p>
        </w:tc>
      </w:tr>
    </w:tbl>
    <w:p w14:paraId="653E2BF5">
      <w:pPr>
        <w:pStyle w:val="3"/>
        <w:spacing w:line="228" w:lineRule="auto"/>
        <w:ind w:left="0" w:right="511" w:firstLine="0"/>
        <w:jc w:val="both"/>
      </w:pPr>
    </w:p>
    <w:sectPr>
      <w:pgSz w:w="11910" w:h="16840"/>
      <w:pgMar w:top="1580" w:right="960" w:bottom="280" w:left="10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0"/>
      <w:numFmt w:val="bullet"/>
      <w:lvlText w:val=""/>
      <w:lvlJc w:val="left"/>
      <w:pPr>
        <w:ind w:left="385" w:hanging="279"/>
      </w:pPr>
      <w:rPr>
        <w:rFonts w:hint="default" w:ascii="Wingdings" w:hAnsi="Wingdings" w:eastAsia="Wingdings" w:cs="Wingdings"/>
        <w:w w:val="100"/>
        <w:sz w:val="24"/>
        <w:szCs w:val="24"/>
      </w:rPr>
    </w:lvl>
    <w:lvl w:ilvl="1" w:tentative="0">
      <w:start w:val="0"/>
      <w:numFmt w:val="bullet"/>
      <w:lvlText w:val="•"/>
      <w:lvlJc w:val="left"/>
      <w:pPr>
        <w:ind w:left="1111" w:hanging="279"/>
      </w:pPr>
      <w:rPr>
        <w:rFonts w:hint="default"/>
      </w:rPr>
    </w:lvl>
    <w:lvl w:ilvl="2" w:tentative="0">
      <w:start w:val="0"/>
      <w:numFmt w:val="bullet"/>
      <w:lvlText w:val="•"/>
      <w:lvlJc w:val="left"/>
      <w:pPr>
        <w:ind w:left="1842" w:hanging="279"/>
      </w:pPr>
      <w:rPr>
        <w:rFonts w:hint="default"/>
      </w:rPr>
    </w:lvl>
    <w:lvl w:ilvl="3" w:tentative="0">
      <w:start w:val="0"/>
      <w:numFmt w:val="bullet"/>
      <w:lvlText w:val="•"/>
      <w:lvlJc w:val="left"/>
      <w:pPr>
        <w:ind w:left="2573" w:hanging="279"/>
      </w:pPr>
      <w:rPr>
        <w:rFonts w:hint="default"/>
      </w:rPr>
    </w:lvl>
    <w:lvl w:ilvl="4" w:tentative="0">
      <w:start w:val="0"/>
      <w:numFmt w:val="bullet"/>
      <w:lvlText w:val="•"/>
      <w:lvlJc w:val="left"/>
      <w:pPr>
        <w:ind w:left="3304" w:hanging="279"/>
      </w:pPr>
      <w:rPr>
        <w:rFonts w:hint="default"/>
      </w:rPr>
    </w:lvl>
    <w:lvl w:ilvl="5" w:tentative="0">
      <w:start w:val="0"/>
      <w:numFmt w:val="bullet"/>
      <w:lvlText w:val="•"/>
      <w:lvlJc w:val="left"/>
      <w:pPr>
        <w:ind w:left="4035" w:hanging="279"/>
      </w:pPr>
      <w:rPr>
        <w:rFonts w:hint="default"/>
      </w:rPr>
    </w:lvl>
    <w:lvl w:ilvl="6" w:tentative="0">
      <w:start w:val="0"/>
      <w:numFmt w:val="bullet"/>
      <w:lvlText w:val="•"/>
      <w:lvlJc w:val="left"/>
      <w:pPr>
        <w:ind w:left="4766" w:hanging="279"/>
      </w:pPr>
      <w:rPr>
        <w:rFonts w:hint="default"/>
      </w:rPr>
    </w:lvl>
    <w:lvl w:ilvl="7" w:tentative="0">
      <w:start w:val="0"/>
      <w:numFmt w:val="bullet"/>
      <w:lvlText w:val="•"/>
      <w:lvlJc w:val="left"/>
      <w:pPr>
        <w:ind w:left="5497" w:hanging="279"/>
      </w:pPr>
      <w:rPr>
        <w:rFonts w:hint="default"/>
      </w:rPr>
    </w:lvl>
    <w:lvl w:ilvl="8" w:tentative="0">
      <w:start w:val="0"/>
      <w:numFmt w:val="bullet"/>
      <w:lvlText w:val="•"/>
      <w:lvlJc w:val="left"/>
      <w:pPr>
        <w:ind w:left="6228" w:hanging="279"/>
      </w:pPr>
      <w:rPr>
        <w:rFonts w:hint="default"/>
      </w:rPr>
    </w:lvl>
  </w:abstractNum>
  <w:abstractNum w:abstractNumId="1">
    <w:nsid w:val="03D62ECE"/>
    <w:multiLevelType w:val="multilevel"/>
    <w:tmpl w:val="03D62ECE"/>
    <w:lvl w:ilvl="0" w:tentative="0">
      <w:start w:val="0"/>
      <w:numFmt w:val="bullet"/>
      <w:lvlText w:val=""/>
      <w:lvlJc w:val="left"/>
      <w:pPr>
        <w:ind w:left="385" w:hanging="279"/>
      </w:pPr>
      <w:rPr>
        <w:rFonts w:hint="default" w:ascii="Wingdings" w:hAnsi="Wingdings" w:eastAsia="Wingdings" w:cs="Wingdings"/>
        <w:w w:val="100"/>
        <w:sz w:val="24"/>
        <w:szCs w:val="24"/>
      </w:rPr>
    </w:lvl>
    <w:lvl w:ilvl="1" w:tentative="0">
      <w:start w:val="0"/>
      <w:numFmt w:val="bullet"/>
      <w:lvlText w:val="•"/>
      <w:lvlJc w:val="left"/>
      <w:pPr>
        <w:ind w:left="1111" w:hanging="279"/>
      </w:pPr>
      <w:rPr>
        <w:rFonts w:hint="default"/>
      </w:rPr>
    </w:lvl>
    <w:lvl w:ilvl="2" w:tentative="0">
      <w:start w:val="0"/>
      <w:numFmt w:val="bullet"/>
      <w:lvlText w:val="•"/>
      <w:lvlJc w:val="left"/>
      <w:pPr>
        <w:ind w:left="1842" w:hanging="279"/>
      </w:pPr>
      <w:rPr>
        <w:rFonts w:hint="default"/>
      </w:rPr>
    </w:lvl>
    <w:lvl w:ilvl="3" w:tentative="0">
      <w:start w:val="0"/>
      <w:numFmt w:val="bullet"/>
      <w:lvlText w:val="•"/>
      <w:lvlJc w:val="left"/>
      <w:pPr>
        <w:ind w:left="2573" w:hanging="279"/>
      </w:pPr>
      <w:rPr>
        <w:rFonts w:hint="default"/>
      </w:rPr>
    </w:lvl>
    <w:lvl w:ilvl="4" w:tentative="0">
      <w:start w:val="0"/>
      <w:numFmt w:val="bullet"/>
      <w:lvlText w:val="•"/>
      <w:lvlJc w:val="left"/>
      <w:pPr>
        <w:ind w:left="3304" w:hanging="279"/>
      </w:pPr>
      <w:rPr>
        <w:rFonts w:hint="default"/>
      </w:rPr>
    </w:lvl>
    <w:lvl w:ilvl="5" w:tentative="0">
      <w:start w:val="0"/>
      <w:numFmt w:val="bullet"/>
      <w:lvlText w:val="•"/>
      <w:lvlJc w:val="left"/>
      <w:pPr>
        <w:ind w:left="4035" w:hanging="279"/>
      </w:pPr>
      <w:rPr>
        <w:rFonts w:hint="default"/>
      </w:rPr>
    </w:lvl>
    <w:lvl w:ilvl="6" w:tentative="0">
      <w:start w:val="0"/>
      <w:numFmt w:val="bullet"/>
      <w:lvlText w:val="•"/>
      <w:lvlJc w:val="left"/>
      <w:pPr>
        <w:ind w:left="4766" w:hanging="279"/>
      </w:pPr>
      <w:rPr>
        <w:rFonts w:hint="default"/>
      </w:rPr>
    </w:lvl>
    <w:lvl w:ilvl="7" w:tentative="0">
      <w:start w:val="0"/>
      <w:numFmt w:val="bullet"/>
      <w:lvlText w:val="•"/>
      <w:lvlJc w:val="left"/>
      <w:pPr>
        <w:ind w:left="5497" w:hanging="279"/>
      </w:pPr>
      <w:rPr>
        <w:rFonts w:hint="default"/>
      </w:rPr>
    </w:lvl>
    <w:lvl w:ilvl="8" w:tentative="0">
      <w:start w:val="0"/>
      <w:numFmt w:val="bullet"/>
      <w:lvlText w:val="•"/>
      <w:lvlJc w:val="left"/>
      <w:pPr>
        <w:ind w:left="6228" w:hanging="279"/>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93869"/>
    <w:rsid w:val="027C463A"/>
    <w:rsid w:val="02887248"/>
    <w:rsid w:val="0BE87353"/>
    <w:rsid w:val="110A66FB"/>
    <w:rsid w:val="14E15549"/>
    <w:rsid w:val="19A94182"/>
    <w:rsid w:val="22592CB1"/>
    <w:rsid w:val="241F7012"/>
    <w:rsid w:val="24284B47"/>
    <w:rsid w:val="2BDB2BFE"/>
    <w:rsid w:val="310C2E7A"/>
    <w:rsid w:val="38F63878"/>
    <w:rsid w:val="3D8414B6"/>
    <w:rsid w:val="420844F7"/>
    <w:rsid w:val="42C12561"/>
    <w:rsid w:val="4F466BBD"/>
    <w:rsid w:val="51546FF0"/>
    <w:rsid w:val="56CF5CFB"/>
    <w:rsid w:val="57F25F38"/>
    <w:rsid w:val="62A60175"/>
    <w:rsid w:val="65E62067"/>
    <w:rsid w:val="67B155BC"/>
    <w:rsid w:val="6B3974E6"/>
    <w:rsid w:val="712D0F59"/>
    <w:rsid w:val="71A175F8"/>
    <w:rsid w:val="725D0A6D"/>
    <w:rsid w:val="73ED40B9"/>
    <w:rsid w:val="748A4EA4"/>
    <w:rsid w:val="771937C1"/>
    <w:rsid w:val="7B03230C"/>
    <w:rsid w:val="7D3F78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宋体" w:hAnsi="宋体" w:eastAsia="宋体" w:cs="宋体"/>
      <w:sz w:val="28"/>
      <w:szCs w:val="28"/>
    </w:rPr>
  </w:style>
  <w:style w:type="paragraph" w:styleId="4">
    <w:name w:val="Title"/>
    <w:basedOn w:val="1"/>
    <w:qFormat/>
    <w:uiPriority w:val="1"/>
    <w:pPr>
      <w:spacing w:before="41"/>
      <w:ind w:left="676" w:right="793"/>
      <w:jc w:val="center"/>
    </w:pPr>
    <w:rPr>
      <w:rFonts w:ascii="宋体" w:hAnsi="宋体" w:eastAsia="宋体" w:cs="宋体"/>
      <w:sz w:val="44"/>
      <w:szCs w:val="44"/>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pPr>
      <w:ind w:left="107"/>
    </w:pPr>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871</Words>
  <Characters>921</Characters>
  <TotalTime>28</TotalTime>
  <ScaleCrop>false</ScaleCrop>
  <LinksUpToDate>false</LinksUpToDate>
  <CharactersWithSpaces>921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2025-04-24T10:58:00Z</dcterms:created>
  <dc:creator>oa</dc:creator>
  <cp:lastModifiedBy>袁雨庭</cp:lastModifiedBy>
  <dcterms:modified xsi:type="dcterms:W3CDTF">2025-12-30T08:10:09Z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WPS 文字</vt:lpwstr>
  </property>
  <property fmtid="{D5CDD505-2E9C-101B-9397-08002B2CF9AE}" pid="4" name="LastSaved">
    <vt:filetime>2025-04-24T00:00:00Z</vt:filetime>
  </property>
  <property fmtid="{D5CDD505-2E9C-101B-9397-08002B2CF9AE}" pid="5" name="KSOTemplateDocerSaveRecord">
    <vt:lpwstr>eyJoZGlkIjoiYTU3MjAzOGI1ZWM1NjI3YTE0MjIzZDIwNTMwM2NhZjEiLCJ1c2VySWQiOiIxNzExODM5Mjk1In0=</vt:lpwstr>
  </property>
  <property fmtid="{D5CDD505-2E9C-101B-9397-08002B2CF9AE}" pid="6" name="KSOProductBuildVer">
    <vt:lpwstr>2052-12.1.0.23542</vt:lpwstr>
  </property>
  <property fmtid="{D5CDD505-2E9C-101B-9397-08002B2CF9AE}" pid="7" name="ICV">
    <vt:lpwstr>80D31521BBE04C3AAEA85CF31D1DE5C5_13</vt:lpwstr>
  </property>
</Properties>
</file>