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5A19E">
      <w:pPr>
        <w:jc w:val="center"/>
        <w:rPr>
          <w:rFonts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10"/>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70F43B2E">
        <w:trPr>
          <w:trHeight w:val="926" w:hRule="atLeast"/>
          <w:jc w:val="center"/>
        </w:trPr>
        <w:tc>
          <w:tcPr>
            <w:tcW w:w="1940" w:type="dxa"/>
            <w:shd w:val="clear" w:color="auto" w:fill="D9D9D9"/>
            <w:vAlign w:val="center"/>
          </w:tcPr>
          <w:p w14:paraId="100610FB">
            <w:pPr>
              <w:pStyle w:val="3"/>
              <w:adjustRightInd w:val="0"/>
              <w:snapToGrid w:val="0"/>
              <w:spacing w:after="0"/>
              <w:rPr>
                <w:rFonts w:ascii="宋体" w:hAnsi="宋体" w:cs="Times New Roman"/>
                <w:bCs/>
                <w:color w:val="000000"/>
                <w:lang w:val="en-US"/>
              </w:rPr>
            </w:pPr>
            <w:r>
              <w:rPr>
                <w:rFonts w:ascii="宋体" w:hAnsi="宋体" w:cs="Times New Roman"/>
                <w:bCs/>
                <w:color w:val="000000"/>
              </w:rPr>
              <w:t>案件名称</w:t>
            </w:r>
          </w:p>
        </w:tc>
        <w:tc>
          <w:tcPr>
            <w:tcW w:w="7700" w:type="dxa"/>
            <w:gridSpan w:val="2"/>
            <w:vAlign w:val="center"/>
          </w:tcPr>
          <w:p w14:paraId="53C613D9">
            <w:pPr>
              <w:adjustRightInd w:val="0"/>
              <w:snapToGrid w:val="0"/>
              <w:rPr>
                <w:rFonts w:ascii="宋体" w:hAnsi="宋体"/>
                <w:bCs/>
                <w:color w:val="000000"/>
                <w:sz w:val="24"/>
                <w:szCs w:val="24"/>
              </w:rPr>
            </w:pPr>
            <w:r>
              <w:rPr>
                <w:rFonts w:hint="eastAsia" w:ascii="宋体" w:hAnsi="宋体"/>
                <w:kern w:val="0"/>
                <w:sz w:val="24"/>
                <w:szCs w:val="24"/>
              </w:rPr>
              <w:t>无锡威孚高科技集团股份有限公司收购上海西恩科技股份有限公司股权案</w:t>
            </w:r>
          </w:p>
        </w:tc>
      </w:tr>
      <w:tr w14:paraId="2B539C76">
        <w:trPr>
          <w:trHeight w:val="1844" w:hRule="atLeast"/>
          <w:jc w:val="center"/>
        </w:trPr>
        <w:tc>
          <w:tcPr>
            <w:tcW w:w="1940" w:type="dxa"/>
            <w:shd w:val="clear" w:color="auto" w:fill="D9D9D9"/>
            <w:vAlign w:val="center"/>
          </w:tcPr>
          <w:p w14:paraId="648F3B43">
            <w:pPr>
              <w:pStyle w:val="3"/>
              <w:adjustRightInd w:val="0"/>
              <w:snapToGrid w:val="0"/>
              <w:spacing w:after="0"/>
              <w:rPr>
                <w:rFonts w:ascii="宋体" w:hAnsi="宋体" w:cs="Times New Roman"/>
                <w:bCs/>
                <w:color w:val="000000"/>
                <w:lang w:val="en-US" w:eastAsia="zh-CN"/>
              </w:rPr>
            </w:pPr>
            <w:r>
              <w:rPr>
                <w:rFonts w:ascii="宋体" w:hAnsi="宋体" w:cs="Times New Roman"/>
                <w:bCs/>
                <w:color w:val="000000"/>
                <w:lang w:eastAsia="zh-CN"/>
              </w:rPr>
              <w:t>交易概况（限200字内）</w:t>
            </w:r>
          </w:p>
        </w:tc>
        <w:tc>
          <w:tcPr>
            <w:tcW w:w="7700" w:type="dxa"/>
            <w:gridSpan w:val="2"/>
          </w:tcPr>
          <w:p w14:paraId="10691B93">
            <w:pPr>
              <w:adjustRightInd w:val="0"/>
              <w:snapToGrid w:val="0"/>
              <w:spacing w:before="156" w:beforeLines="50" w:after="156" w:afterLines="50"/>
              <w:rPr>
                <w:rFonts w:ascii="宋体" w:hAnsi="宋体"/>
                <w:sz w:val="24"/>
                <w:szCs w:val="24"/>
              </w:rPr>
            </w:pPr>
            <w:r>
              <w:rPr>
                <w:rFonts w:hint="eastAsia" w:ascii="宋体" w:hAnsi="宋体"/>
                <w:kern w:val="0"/>
                <w:sz w:val="24"/>
                <w:szCs w:val="24"/>
              </w:rPr>
              <w:t>无锡威孚高科技集团股份有限公司</w:t>
            </w:r>
            <w:r>
              <w:rPr>
                <w:rFonts w:hint="eastAsia" w:ascii="宋体" w:hAnsi="宋体"/>
                <w:kern w:val="0"/>
                <w:sz w:val="24"/>
                <w:szCs w:val="24"/>
                <w:lang w:eastAsia="zh-CN"/>
              </w:rPr>
              <w:t>（“</w:t>
            </w:r>
            <w:r>
              <w:rPr>
                <w:rFonts w:hint="eastAsia" w:ascii="宋体" w:hAnsi="宋体"/>
                <w:kern w:val="0"/>
                <w:sz w:val="24"/>
                <w:szCs w:val="24"/>
              </w:rPr>
              <w:t>无锡威孚</w:t>
            </w:r>
            <w:r>
              <w:rPr>
                <w:rFonts w:hint="eastAsia" w:ascii="宋体" w:hAnsi="宋体"/>
                <w:kern w:val="0"/>
                <w:sz w:val="24"/>
                <w:szCs w:val="24"/>
                <w:lang w:eastAsia="zh-CN"/>
              </w:rPr>
              <w:t>”）</w:t>
            </w:r>
            <w:r>
              <w:rPr>
                <w:rFonts w:hint="eastAsia" w:ascii="宋体" w:hAnsi="宋体"/>
                <w:kern w:val="0"/>
                <w:sz w:val="24"/>
                <w:szCs w:val="24"/>
              </w:rPr>
              <w:t>与上海西恩科技股份有限公司</w:t>
            </w:r>
            <w:r>
              <w:rPr>
                <w:rFonts w:hint="eastAsia" w:ascii="宋体" w:hAnsi="宋体"/>
                <w:kern w:val="0"/>
                <w:sz w:val="24"/>
                <w:szCs w:val="24"/>
                <w:lang w:eastAsia="zh-CN"/>
              </w:rPr>
              <w:t>（“</w:t>
            </w:r>
            <w:r>
              <w:rPr>
                <w:rFonts w:hint="eastAsia" w:ascii="宋体" w:hAnsi="宋体"/>
                <w:kern w:val="0"/>
                <w:sz w:val="24"/>
                <w:szCs w:val="24"/>
              </w:rPr>
              <w:t>上海西恩</w:t>
            </w:r>
            <w:r>
              <w:rPr>
                <w:rFonts w:hint="eastAsia" w:ascii="宋体" w:hAnsi="宋体"/>
                <w:kern w:val="0"/>
                <w:sz w:val="24"/>
                <w:szCs w:val="24"/>
                <w:lang w:eastAsia="zh-CN"/>
              </w:rPr>
              <w:t>”）</w:t>
            </w:r>
            <w:r>
              <w:rPr>
                <w:rFonts w:hint="eastAsia" w:ascii="宋体" w:hAnsi="宋体"/>
                <w:kern w:val="0"/>
                <w:sz w:val="24"/>
                <w:szCs w:val="24"/>
              </w:rPr>
              <w:t>、安徽西恩循环科技有限公司、池州西恩新材料科技有限公司、池州西创再生物资回收有限公司、赵志安签署协议，无锡威孚拟通过现金增资方式收购上海西恩33.83%股权。</w:t>
            </w:r>
            <w:r>
              <w:rPr>
                <w:rFonts w:hint="eastAsia" w:ascii="宋体" w:hAnsi="宋体"/>
                <w:kern w:val="0"/>
                <w:sz w:val="24"/>
                <w:szCs w:val="24"/>
                <w:lang w:val="en-US" w:eastAsia="zh-CN"/>
              </w:rPr>
              <w:t>上海西恩主要从事</w:t>
            </w:r>
            <w:r>
              <w:rPr>
                <w:rFonts w:hint="eastAsia" w:ascii="宋体" w:hAnsi="宋体"/>
                <w:kern w:val="0"/>
                <w:sz w:val="24"/>
                <w:szCs w:val="24"/>
              </w:rPr>
              <w:t>锂电池材料的研发、生产和销售及危废处置服务</w:t>
            </w:r>
            <w:bookmarkStart w:id="0" w:name="_GoBack"/>
            <w:bookmarkEnd w:id="0"/>
            <w:r>
              <w:rPr>
                <w:rFonts w:hint="eastAsia" w:ascii="宋体" w:hAnsi="宋体"/>
                <w:kern w:val="0"/>
                <w:sz w:val="24"/>
                <w:szCs w:val="24"/>
                <w:lang w:val="en-US" w:eastAsia="zh-CN"/>
              </w:rPr>
              <w:t>。</w:t>
            </w:r>
            <w:r>
              <w:rPr>
                <w:rFonts w:hint="eastAsia" w:ascii="宋体" w:hAnsi="宋体"/>
                <w:kern w:val="0"/>
                <w:sz w:val="24"/>
                <w:szCs w:val="24"/>
              </w:rPr>
              <w:t>交易前，赵志安控制上海西恩</w:t>
            </w:r>
            <w:r>
              <w:rPr>
                <w:rFonts w:ascii="宋体" w:hAnsi="宋体"/>
                <w:kern w:val="0"/>
                <w:sz w:val="24"/>
                <w:szCs w:val="24"/>
              </w:rPr>
              <w:t>2</w:t>
            </w:r>
            <w:r>
              <w:rPr>
                <w:rFonts w:hint="eastAsia" w:ascii="宋体" w:hAnsi="宋体"/>
                <w:kern w:val="0"/>
                <w:sz w:val="24"/>
                <w:szCs w:val="24"/>
              </w:rPr>
              <w:t>0</w:t>
            </w:r>
            <w:r>
              <w:rPr>
                <w:rFonts w:ascii="宋体" w:hAnsi="宋体"/>
                <w:kern w:val="0"/>
                <w:sz w:val="24"/>
                <w:szCs w:val="24"/>
              </w:rPr>
              <w:t>.</w:t>
            </w:r>
            <w:r>
              <w:rPr>
                <w:rFonts w:hint="eastAsia" w:ascii="宋体" w:hAnsi="宋体"/>
                <w:kern w:val="0"/>
                <w:sz w:val="24"/>
                <w:szCs w:val="24"/>
              </w:rPr>
              <w:t>3038</w:t>
            </w:r>
            <w:r>
              <w:rPr>
                <w:rFonts w:ascii="宋体" w:hAnsi="宋体"/>
                <w:kern w:val="0"/>
                <w:sz w:val="24"/>
                <w:szCs w:val="24"/>
              </w:rPr>
              <w:t>%</w:t>
            </w:r>
            <w:r>
              <w:rPr>
                <w:rFonts w:hint="eastAsia" w:ascii="宋体" w:hAnsi="宋体"/>
                <w:kern w:val="0"/>
                <w:sz w:val="24"/>
                <w:szCs w:val="24"/>
              </w:rPr>
              <w:t>的股权，单独控制上海西恩。交易后，无锡威孚将持有上海西恩</w:t>
            </w:r>
            <w:r>
              <w:rPr>
                <w:rFonts w:ascii="宋体" w:hAnsi="宋体"/>
                <w:kern w:val="0"/>
                <w:sz w:val="24"/>
                <w:szCs w:val="24"/>
              </w:rPr>
              <w:t>33.83%</w:t>
            </w:r>
            <w:r>
              <w:rPr>
                <w:rFonts w:hint="eastAsia" w:ascii="宋体" w:hAnsi="宋体"/>
                <w:kern w:val="0"/>
                <w:sz w:val="24"/>
                <w:szCs w:val="24"/>
              </w:rPr>
              <w:t>的股权，单独控制上海西恩。</w:t>
            </w:r>
          </w:p>
        </w:tc>
      </w:tr>
      <w:tr w14:paraId="1C1DA4A6">
        <w:trPr>
          <w:trHeight w:val="1365" w:hRule="atLeast"/>
          <w:jc w:val="center"/>
        </w:trPr>
        <w:tc>
          <w:tcPr>
            <w:tcW w:w="1940" w:type="dxa"/>
            <w:vMerge w:val="restart"/>
            <w:shd w:val="clear" w:color="auto" w:fill="D9D9D9"/>
            <w:vAlign w:val="center"/>
          </w:tcPr>
          <w:p w14:paraId="71017585">
            <w:pPr>
              <w:pStyle w:val="3"/>
              <w:adjustRightInd w:val="0"/>
              <w:snapToGrid w:val="0"/>
              <w:spacing w:after="0"/>
              <w:rPr>
                <w:rFonts w:ascii="宋体" w:hAnsi="宋体" w:cs="Times New Roman"/>
                <w:bCs/>
                <w:color w:val="000000"/>
                <w:lang w:val="en-US" w:eastAsia="zh-CN"/>
              </w:rPr>
            </w:pPr>
            <w:r>
              <w:rPr>
                <w:rFonts w:ascii="宋体" w:hAnsi="宋体" w:cs="Times New Roman"/>
                <w:bCs/>
                <w:color w:val="000000"/>
                <w:lang w:eastAsia="zh-CN"/>
              </w:rPr>
              <w:t>参与集中的经营者简介（每个限</w:t>
            </w:r>
            <w:r>
              <w:rPr>
                <w:rFonts w:ascii="宋体" w:hAnsi="宋体" w:cs="Times New Roman"/>
                <w:bCs/>
                <w:color w:val="000000"/>
                <w:lang w:val="en-US" w:eastAsia="zh-CN"/>
              </w:rPr>
              <w:t>100字以内</w:t>
            </w:r>
            <w:r>
              <w:rPr>
                <w:rFonts w:ascii="宋体" w:hAnsi="宋体" w:cs="Times New Roman"/>
                <w:bCs/>
                <w:color w:val="000000"/>
                <w:lang w:eastAsia="zh-CN"/>
              </w:rPr>
              <w:t>）</w:t>
            </w:r>
          </w:p>
        </w:tc>
        <w:tc>
          <w:tcPr>
            <w:tcW w:w="1607" w:type="dxa"/>
            <w:vAlign w:val="center"/>
          </w:tcPr>
          <w:p w14:paraId="600670CA">
            <w:pPr>
              <w:pStyle w:val="3"/>
              <w:numPr>
                <w:ilvl w:val="0"/>
                <w:numId w:val="1"/>
              </w:numPr>
              <w:adjustRightInd w:val="0"/>
              <w:snapToGrid w:val="0"/>
              <w:spacing w:after="0"/>
              <w:rPr>
                <w:rFonts w:ascii="宋体" w:hAnsi="宋体" w:cs="Times New Roman"/>
                <w:bCs/>
                <w:color w:val="000000"/>
                <w:lang w:eastAsia="zh-CN"/>
              </w:rPr>
            </w:pPr>
            <w:r>
              <w:rPr>
                <w:rFonts w:hint="eastAsia" w:ascii="宋体" w:hAnsi="宋体"/>
                <w:lang w:eastAsia="zh-CN"/>
              </w:rPr>
              <w:t>无锡</w:t>
            </w:r>
            <w:r>
              <w:rPr>
                <w:rFonts w:hint="eastAsia" w:ascii="宋体" w:hAnsi="宋体"/>
              </w:rPr>
              <w:t>威孚</w:t>
            </w:r>
          </w:p>
        </w:tc>
        <w:tc>
          <w:tcPr>
            <w:tcW w:w="6093" w:type="dxa"/>
            <w:vAlign w:val="center"/>
          </w:tcPr>
          <w:p w14:paraId="2FA2D597">
            <w:pPr>
              <w:adjustRightInd w:val="0"/>
              <w:snapToGrid w:val="0"/>
              <w:rPr>
                <w:rFonts w:ascii="宋体" w:hAnsi="宋体"/>
                <w:bCs/>
                <w:color w:val="000000"/>
                <w:sz w:val="24"/>
                <w:szCs w:val="24"/>
              </w:rPr>
            </w:pPr>
            <w:r>
              <w:rPr>
                <w:rFonts w:hint="eastAsia" w:ascii="宋体" w:hAnsi="宋体"/>
                <w:kern w:val="0"/>
                <w:sz w:val="24"/>
                <w:szCs w:val="24"/>
              </w:rPr>
              <w:t>无锡威孚</w:t>
            </w:r>
            <w:r>
              <w:rPr>
                <w:rFonts w:hint="eastAsia" w:ascii="宋体" w:hAnsi="宋体"/>
                <w:bCs/>
                <w:color w:val="000000"/>
                <w:sz w:val="24"/>
                <w:szCs w:val="24"/>
              </w:rPr>
              <w:t>于1988年</w:t>
            </w:r>
            <w:r>
              <w:rPr>
                <w:rFonts w:ascii="宋体" w:hAnsi="宋体"/>
                <w:bCs/>
                <w:color w:val="000000"/>
                <w:sz w:val="24"/>
                <w:szCs w:val="24"/>
              </w:rPr>
              <w:t>10</w:t>
            </w:r>
            <w:r>
              <w:rPr>
                <w:rFonts w:hint="eastAsia" w:ascii="宋体" w:hAnsi="宋体"/>
                <w:bCs/>
                <w:color w:val="000000"/>
                <w:sz w:val="24"/>
                <w:szCs w:val="24"/>
              </w:rPr>
              <w:t>月</w:t>
            </w:r>
            <w:r>
              <w:rPr>
                <w:rFonts w:ascii="宋体" w:hAnsi="宋体"/>
                <w:bCs/>
                <w:color w:val="000000"/>
                <w:sz w:val="24"/>
                <w:szCs w:val="24"/>
              </w:rPr>
              <w:t>27</w:t>
            </w:r>
            <w:r>
              <w:rPr>
                <w:rFonts w:hint="eastAsia" w:ascii="宋体" w:hAnsi="宋体"/>
                <w:bCs/>
                <w:color w:val="000000"/>
                <w:sz w:val="24"/>
                <w:szCs w:val="24"/>
              </w:rPr>
              <w:t>日成立于江苏省无锡市，为深圳证券交易所上市公司，主要业务为汽车零部件的研发、生产和销售。</w:t>
            </w:r>
          </w:p>
          <w:p w14:paraId="1B1F5572">
            <w:pPr>
              <w:adjustRightInd w:val="0"/>
              <w:snapToGrid w:val="0"/>
              <w:rPr>
                <w:rFonts w:ascii="宋体" w:hAnsi="宋体"/>
                <w:bCs/>
                <w:color w:val="000000"/>
                <w:sz w:val="24"/>
                <w:szCs w:val="24"/>
              </w:rPr>
            </w:pPr>
            <w:r>
              <w:rPr>
                <w:rFonts w:hint="eastAsia" w:ascii="宋体" w:hAnsi="宋体"/>
                <w:kern w:val="0"/>
                <w:sz w:val="24"/>
                <w:szCs w:val="24"/>
              </w:rPr>
              <w:t>无锡威孚</w:t>
            </w:r>
            <w:r>
              <w:rPr>
                <w:rFonts w:hint="eastAsia" w:ascii="宋体" w:hAnsi="宋体"/>
                <w:bCs/>
                <w:color w:val="000000"/>
                <w:sz w:val="24"/>
                <w:szCs w:val="24"/>
              </w:rPr>
              <w:t>最终控制人为无锡产业发展集团有限公司，主要业务为利用自有资产对外投资、房屋租赁服务和自营和代理各类商品和技术的进出口业务等。</w:t>
            </w:r>
          </w:p>
        </w:tc>
      </w:tr>
      <w:tr w14:paraId="589D07A3">
        <w:trPr>
          <w:trHeight w:val="1365" w:hRule="atLeast"/>
          <w:jc w:val="center"/>
        </w:trPr>
        <w:tc>
          <w:tcPr>
            <w:tcW w:w="1940" w:type="dxa"/>
            <w:vMerge w:val="continue"/>
            <w:shd w:val="clear" w:color="auto" w:fill="D9D9D9"/>
            <w:vAlign w:val="center"/>
          </w:tcPr>
          <w:p w14:paraId="6F747273">
            <w:pPr>
              <w:pStyle w:val="3"/>
              <w:adjustRightInd w:val="0"/>
              <w:snapToGrid w:val="0"/>
              <w:spacing w:after="0"/>
              <w:rPr>
                <w:rFonts w:ascii="宋体" w:hAnsi="宋体" w:cs="Times New Roman"/>
                <w:bCs/>
                <w:color w:val="000000"/>
                <w:lang w:val="en-US" w:eastAsia="zh-CN"/>
              </w:rPr>
            </w:pPr>
          </w:p>
        </w:tc>
        <w:tc>
          <w:tcPr>
            <w:tcW w:w="1607" w:type="dxa"/>
            <w:vAlign w:val="center"/>
          </w:tcPr>
          <w:p w14:paraId="61578AC7">
            <w:pPr>
              <w:pStyle w:val="3"/>
              <w:numPr>
                <w:ilvl w:val="0"/>
                <w:numId w:val="1"/>
              </w:numPr>
              <w:adjustRightInd w:val="0"/>
              <w:snapToGrid w:val="0"/>
              <w:spacing w:after="0"/>
              <w:rPr>
                <w:rFonts w:ascii="宋体" w:hAnsi="宋体"/>
                <w:lang w:eastAsia="zh-CN"/>
              </w:rPr>
            </w:pPr>
            <w:r>
              <w:rPr>
                <w:rFonts w:hint="eastAsia" w:ascii="宋体" w:hAnsi="宋体"/>
                <w:lang w:eastAsia="zh-CN"/>
              </w:rPr>
              <w:t>上海西恩</w:t>
            </w:r>
          </w:p>
        </w:tc>
        <w:tc>
          <w:tcPr>
            <w:tcW w:w="6093" w:type="dxa"/>
            <w:vAlign w:val="center"/>
          </w:tcPr>
          <w:p w14:paraId="296B7FC7">
            <w:pPr>
              <w:adjustRightInd w:val="0"/>
              <w:snapToGrid w:val="0"/>
              <w:rPr>
                <w:rFonts w:ascii="宋体" w:hAnsi="宋体"/>
                <w:kern w:val="0"/>
                <w:sz w:val="24"/>
                <w:szCs w:val="24"/>
              </w:rPr>
            </w:pPr>
            <w:r>
              <w:rPr>
                <w:rFonts w:hint="eastAsia" w:ascii="宋体" w:hAnsi="宋体"/>
                <w:kern w:val="0"/>
                <w:sz w:val="24"/>
                <w:szCs w:val="24"/>
                <w:lang w:val="en-GB"/>
              </w:rPr>
              <w:t>上海西恩</w:t>
            </w:r>
            <w:r>
              <w:rPr>
                <w:rFonts w:hint="eastAsia" w:ascii="宋体" w:hAnsi="宋体"/>
                <w:kern w:val="0"/>
                <w:sz w:val="24"/>
                <w:szCs w:val="24"/>
              </w:rPr>
              <w:t>于2004年11月10日成立于上海市，主要业务为锂电池材料的研发、生产和销售及危废处置服务。</w:t>
            </w:r>
          </w:p>
          <w:p w14:paraId="7673EECC">
            <w:pPr>
              <w:adjustRightInd w:val="0"/>
              <w:snapToGrid w:val="0"/>
              <w:rPr>
                <w:rFonts w:ascii="宋体" w:hAnsi="宋体"/>
                <w:kern w:val="0"/>
                <w:sz w:val="24"/>
                <w:szCs w:val="24"/>
              </w:rPr>
            </w:pPr>
            <w:r>
              <w:rPr>
                <w:rFonts w:hint="eastAsia" w:ascii="宋体" w:hAnsi="宋体"/>
                <w:kern w:val="0"/>
                <w:sz w:val="24"/>
                <w:szCs w:val="24"/>
              </w:rPr>
              <w:t>上海西恩最终控制人为自然人赵志安，赵志安主要从事三废综合利用、废旧三元锂电池资源化处理及再生利用等业务。</w:t>
            </w:r>
          </w:p>
        </w:tc>
      </w:tr>
      <w:tr w14:paraId="26E826F8">
        <w:trPr>
          <w:trHeight w:val="279" w:hRule="atLeast"/>
          <w:jc w:val="center"/>
        </w:trPr>
        <w:tc>
          <w:tcPr>
            <w:tcW w:w="1940" w:type="dxa"/>
            <w:vMerge w:val="restart"/>
            <w:shd w:val="clear" w:color="auto" w:fill="D9D9D9"/>
            <w:vAlign w:val="center"/>
          </w:tcPr>
          <w:p w14:paraId="508954B3">
            <w:pPr>
              <w:pStyle w:val="3"/>
              <w:adjustRightInd w:val="0"/>
              <w:snapToGrid w:val="0"/>
              <w:spacing w:after="0"/>
              <w:rPr>
                <w:rFonts w:ascii="宋体" w:hAnsi="宋体" w:cs="Times New Roman"/>
                <w:bCs/>
                <w:color w:val="000000"/>
                <w:lang w:val="en-US" w:eastAsia="zh-CN"/>
              </w:rPr>
            </w:pPr>
            <w:r>
              <w:rPr>
                <w:rFonts w:ascii="宋体" w:hAnsi="宋体" w:cs="Times New Roman"/>
                <w:bCs/>
                <w:color w:val="000000"/>
                <w:lang w:eastAsia="zh-CN"/>
              </w:rPr>
              <w:t>简易案件理由（可以单选，也可以多选）</w:t>
            </w:r>
          </w:p>
        </w:tc>
        <w:tc>
          <w:tcPr>
            <w:tcW w:w="7700" w:type="dxa"/>
            <w:gridSpan w:val="2"/>
            <w:vAlign w:val="center"/>
          </w:tcPr>
          <w:p w14:paraId="3F83307E">
            <w:pPr>
              <w:pStyle w:val="3"/>
              <w:adjustRightInd w:val="0"/>
              <w:snapToGrid w:val="0"/>
              <w:spacing w:after="0"/>
              <w:rPr>
                <w:rFonts w:ascii="宋体" w:hAnsi="宋体" w:cs="Times New Roman"/>
                <w:bCs/>
                <w:color w:val="000000"/>
                <w:lang w:val="en-US" w:eastAsia="zh-CN"/>
              </w:rPr>
            </w:pPr>
            <w:r>
              <w:rPr>
                <w:rFonts w:ascii="宋体" w:hAnsi="宋体" w:cs="Times New Roman"/>
                <w:bCs/>
                <w:color w:val="000000"/>
                <w:lang w:eastAsia="zh-CN"/>
              </w:rPr>
              <w:sym w:font="Wingdings" w:char="00A8"/>
            </w:r>
            <w:r>
              <w:rPr>
                <w:rFonts w:ascii="宋体" w:hAnsi="宋体" w:cs="Times New Roman"/>
                <w:bCs/>
                <w:color w:val="000000"/>
                <w:lang w:eastAsia="zh-CN"/>
              </w:rPr>
              <w:t xml:space="preserve"> 1、在同一相关市场，所有参与集中的经营者所占市场份额之和小于15%。</w:t>
            </w:r>
          </w:p>
        </w:tc>
      </w:tr>
      <w:tr w14:paraId="7CB45117">
        <w:trPr>
          <w:trHeight w:val="330" w:hRule="atLeast"/>
          <w:jc w:val="center"/>
        </w:trPr>
        <w:tc>
          <w:tcPr>
            <w:tcW w:w="1940" w:type="dxa"/>
            <w:vMerge w:val="continue"/>
            <w:shd w:val="clear" w:color="auto" w:fill="D9D9D9"/>
            <w:vAlign w:val="center"/>
          </w:tcPr>
          <w:p w14:paraId="332BBFBA">
            <w:pPr>
              <w:pStyle w:val="3"/>
              <w:adjustRightInd w:val="0"/>
              <w:snapToGrid w:val="0"/>
              <w:spacing w:after="0"/>
              <w:rPr>
                <w:rFonts w:ascii="宋体" w:hAnsi="宋体" w:cs="Times New Roman"/>
                <w:bCs/>
                <w:color w:val="000000"/>
                <w:lang w:val="en-US" w:eastAsia="zh-CN"/>
              </w:rPr>
            </w:pPr>
          </w:p>
        </w:tc>
        <w:tc>
          <w:tcPr>
            <w:tcW w:w="7700" w:type="dxa"/>
            <w:gridSpan w:val="2"/>
            <w:vAlign w:val="center"/>
          </w:tcPr>
          <w:p w14:paraId="30670EEC">
            <w:pPr>
              <w:pStyle w:val="3"/>
              <w:adjustRightInd w:val="0"/>
              <w:snapToGrid w:val="0"/>
              <w:spacing w:after="0"/>
              <w:rPr>
                <w:rFonts w:ascii="宋体" w:hAnsi="宋体" w:cs="Times New Roman"/>
                <w:bCs/>
                <w:color w:val="000000"/>
                <w:lang w:val="en-US" w:eastAsia="zh-CN"/>
              </w:rPr>
            </w:pPr>
            <w:r>
              <w:rPr>
                <w:rFonts w:ascii="宋体" w:hAnsi="宋体" w:cs="Times New Roman"/>
                <w:bCs/>
                <w:color w:val="000000"/>
                <w:lang w:eastAsia="zh-CN"/>
              </w:rPr>
              <w:sym w:font="Wingdings" w:char="00A8"/>
            </w:r>
            <w:r>
              <w:rPr>
                <w:rFonts w:ascii="宋体" w:hAnsi="宋体" w:cs="Times New Roman"/>
                <w:bCs/>
                <w:color w:val="000000"/>
                <w:lang w:eastAsia="zh-CN"/>
              </w:rPr>
              <w:t xml:space="preserve"> 2、存在上下游关系的参与集中的经营者，在上下游市场所占的市场份额均小于25%。</w:t>
            </w:r>
          </w:p>
        </w:tc>
      </w:tr>
      <w:tr w14:paraId="117C30E0">
        <w:trPr>
          <w:trHeight w:val="285" w:hRule="atLeast"/>
          <w:jc w:val="center"/>
        </w:trPr>
        <w:tc>
          <w:tcPr>
            <w:tcW w:w="1940" w:type="dxa"/>
            <w:vMerge w:val="continue"/>
            <w:shd w:val="clear" w:color="auto" w:fill="D9D9D9"/>
            <w:vAlign w:val="center"/>
          </w:tcPr>
          <w:p w14:paraId="2C97EBFF">
            <w:pPr>
              <w:pStyle w:val="3"/>
              <w:adjustRightInd w:val="0"/>
              <w:snapToGrid w:val="0"/>
              <w:spacing w:after="0"/>
              <w:rPr>
                <w:rFonts w:ascii="宋体" w:hAnsi="宋体" w:cs="Times New Roman"/>
                <w:bCs/>
                <w:color w:val="000000"/>
                <w:lang w:val="en-US" w:eastAsia="zh-CN"/>
              </w:rPr>
            </w:pPr>
          </w:p>
        </w:tc>
        <w:tc>
          <w:tcPr>
            <w:tcW w:w="7700" w:type="dxa"/>
            <w:gridSpan w:val="2"/>
            <w:vAlign w:val="center"/>
          </w:tcPr>
          <w:p w14:paraId="5B456D3A">
            <w:pPr>
              <w:pStyle w:val="3"/>
              <w:adjustRightInd w:val="0"/>
              <w:snapToGrid w:val="0"/>
              <w:spacing w:after="0"/>
              <w:rPr>
                <w:rFonts w:ascii="宋体" w:hAnsi="宋体" w:cs="Times New Roman"/>
                <w:bCs/>
                <w:color w:val="000000"/>
                <w:lang w:val="en-US" w:eastAsia="zh-CN"/>
              </w:rPr>
            </w:pPr>
            <w:r>
              <w:rPr>
                <w:rFonts w:ascii="宋体" w:hAnsi="宋体" w:cs="Times New Roman"/>
                <w:bCs/>
                <w:color w:val="000000"/>
                <w:lang w:eastAsia="zh-CN"/>
              </w:rPr>
              <w:sym w:font="Wingdings" w:char="00FE"/>
            </w:r>
            <w:r>
              <w:rPr>
                <w:rFonts w:ascii="宋体" w:hAnsi="宋体" w:cs="Times New Roman"/>
                <w:bCs/>
                <w:color w:val="000000"/>
                <w:lang w:eastAsia="zh-CN"/>
              </w:rPr>
              <w:t xml:space="preserve"> 3、不在同一相关市场、也不存在上下游关系的参与集中的经营者，在与交易有关的每个市场所占的份额均小于25%。</w:t>
            </w:r>
          </w:p>
        </w:tc>
      </w:tr>
      <w:tr w14:paraId="69452A3A">
        <w:trPr>
          <w:trHeight w:val="870" w:hRule="atLeast"/>
          <w:jc w:val="center"/>
        </w:trPr>
        <w:tc>
          <w:tcPr>
            <w:tcW w:w="1940" w:type="dxa"/>
            <w:vMerge w:val="continue"/>
            <w:shd w:val="clear" w:color="auto" w:fill="D9D9D9"/>
            <w:vAlign w:val="center"/>
          </w:tcPr>
          <w:p w14:paraId="646BBCF1">
            <w:pPr>
              <w:pStyle w:val="3"/>
              <w:adjustRightInd w:val="0"/>
              <w:snapToGrid w:val="0"/>
              <w:spacing w:after="0"/>
              <w:rPr>
                <w:rFonts w:ascii="宋体" w:hAnsi="宋体" w:cs="Times New Roman"/>
                <w:bCs/>
                <w:color w:val="000000"/>
                <w:lang w:val="en-US" w:eastAsia="zh-CN"/>
              </w:rPr>
            </w:pPr>
          </w:p>
        </w:tc>
        <w:tc>
          <w:tcPr>
            <w:tcW w:w="7700" w:type="dxa"/>
            <w:gridSpan w:val="2"/>
            <w:vAlign w:val="center"/>
          </w:tcPr>
          <w:p w14:paraId="143C52E7">
            <w:pPr>
              <w:pStyle w:val="3"/>
              <w:adjustRightInd w:val="0"/>
              <w:snapToGrid w:val="0"/>
              <w:spacing w:after="0"/>
              <w:rPr>
                <w:rFonts w:ascii="宋体" w:hAnsi="宋体" w:cs="Times New Roman"/>
                <w:bCs/>
                <w:color w:val="000000"/>
                <w:lang w:val="en-US" w:eastAsia="zh-CN"/>
              </w:rPr>
            </w:pPr>
            <w:r>
              <w:rPr>
                <w:rFonts w:ascii="宋体" w:hAnsi="宋体" w:cs="Times New Roman"/>
                <w:bCs/>
                <w:color w:val="000000"/>
                <w:lang w:eastAsia="zh-CN"/>
              </w:rPr>
              <w:sym w:font="Wingdings" w:char="00A8"/>
            </w:r>
            <w:r>
              <w:rPr>
                <w:rFonts w:ascii="宋体" w:hAnsi="宋体" w:cs="Times New Roman"/>
                <w:bCs/>
                <w:color w:val="000000"/>
                <w:lang w:eastAsia="zh-CN"/>
              </w:rPr>
              <w:t xml:space="preserve"> 4、参与集中的经营者在中国境外设立合营企业，合营企业不在中国境内从事经济活动。</w:t>
            </w:r>
          </w:p>
        </w:tc>
      </w:tr>
      <w:tr w14:paraId="3F32B4B9">
        <w:trPr>
          <w:trHeight w:val="264" w:hRule="atLeast"/>
          <w:jc w:val="center"/>
        </w:trPr>
        <w:tc>
          <w:tcPr>
            <w:tcW w:w="1940" w:type="dxa"/>
            <w:vMerge w:val="continue"/>
            <w:shd w:val="clear" w:color="auto" w:fill="D9D9D9"/>
            <w:vAlign w:val="center"/>
          </w:tcPr>
          <w:p w14:paraId="1D71E9C2">
            <w:pPr>
              <w:pStyle w:val="3"/>
              <w:adjustRightInd w:val="0"/>
              <w:snapToGrid w:val="0"/>
              <w:spacing w:after="0"/>
              <w:rPr>
                <w:rFonts w:ascii="宋体" w:hAnsi="宋体" w:cs="Times New Roman"/>
                <w:bCs/>
                <w:color w:val="000000"/>
                <w:lang w:val="en-US" w:eastAsia="zh-CN"/>
              </w:rPr>
            </w:pPr>
          </w:p>
        </w:tc>
        <w:tc>
          <w:tcPr>
            <w:tcW w:w="7700" w:type="dxa"/>
            <w:gridSpan w:val="2"/>
            <w:vAlign w:val="center"/>
          </w:tcPr>
          <w:p w14:paraId="36218687">
            <w:pPr>
              <w:pStyle w:val="3"/>
              <w:adjustRightInd w:val="0"/>
              <w:snapToGrid w:val="0"/>
              <w:spacing w:after="0"/>
              <w:rPr>
                <w:rFonts w:ascii="宋体" w:hAnsi="宋体" w:cs="Times New Roman"/>
                <w:bCs/>
                <w:color w:val="000000"/>
                <w:lang w:val="en-US" w:eastAsia="zh-CN"/>
              </w:rPr>
            </w:pPr>
            <w:r>
              <w:rPr>
                <w:rFonts w:ascii="宋体" w:hAnsi="宋体" w:cs="Times New Roman"/>
                <w:bCs/>
                <w:color w:val="000000"/>
                <w:lang w:eastAsia="zh-CN"/>
              </w:rPr>
              <w:sym w:font="Wingdings" w:char="00A8"/>
            </w:r>
            <w:r>
              <w:rPr>
                <w:rFonts w:ascii="宋体" w:hAnsi="宋体" w:cs="Times New Roman"/>
                <w:bCs/>
                <w:color w:val="000000"/>
                <w:lang w:eastAsia="zh-CN"/>
              </w:rPr>
              <w:t xml:space="preserve"> 5、参与集中的经营者收购境外企业股权或资产的，该境外企业不在中国境内从事经济活动。</w:t>
            </w:r>
          </w:p>
        </w:tc>
      </w:tr>
      <w:tr w14:paraId="035A63B2">
        <w:trPr>
          <w:trHeight w:val="760" w:hRule="atLeast"/>
          <w:jc w:val="center"/>
        </w:trPr>
        <w:tc>
          <w:tcPr>
            <w:tcW w:w="1940" w:type="dxa"/>
            <w:vMerge w:val="continue"/>
            <w:shd w:val="clear" w:color="auto" w:fill="D9D9D9"/>
            <w:vAlign w:val="center"/>
          </w:tcPr>
          <w:p w14:paraId="174BE238">
            <w:pPr>
              <w:pStyle w:val="3"/>
              <w:adjustRightInd w:val="0"/>
              <w:snapToGrid w:val="0"/>
              <w:spacing w:after="0"/>
              <w:rPr>
                <w:rFonts w:ascii="宋体" w:hAnsi="宋体" w:cs="Times New Roman"/>
                <w:bCs/>
                <w:color w:val="000000"/>
                <w:lang w:val="en-US" w:eastAsia="zh-CN"/>
              </w:rPr>
            </w:pPr>
          </w:p>
        </w:tc>
        <w:tc>
          <w:tcPr>
            <w:tcW w:w="7700" w:type="dxa"/>
            <w:gridSpan w:val="2"/>
            <w:vAlign w:val="center"/>
          </w:tcPr>
          <w:p w14:paraId="55323CFC">
            <w:pPr>
              <w:pStyle w:val="3"/>
              <w:adjustRightInd w:val="0"/>
              <w:snapToGrid w:val="0"/>
              <w:spacing w:after="0"/>
              <w:rPr>
                <w:rFonts w:ascii="宋体" w:hAnsi="宋体" w:cs="Times New Roman"/>
                <w:bCs/>
                <w:color w:val="000000"/>
                <w:lang w:val="en-US" w:eastAsia="zh-CN"/>
              </w:rPr>
            </w:pPr>
            <w:r>
              <w:rPr>
                <w:rFonts w:ascii="宋体" w:hAnsi="宋体" w:cs="Times New Roman"/>
                <w:bCs/>
                <w:color w:val="000000"/>
                <w:lang w:eastAsia="zh-CN"/>
              </w:rPr>
              <w:sym w:font="Wingdings" w:char="00A8"/>
            </w:r>
            <w:r>
              <w:rPr>
                <w:rFonts w:ascii="宋体" w:hAnsi="宋体" w:cs="Times New Roman"/>
                <w:bCs/>
                <w:color w:val="000000"/>
                <w:lang w:eastAsia="zh-CN"/>
              </w:rPr>
              <w:t xml:space="preserve"> 6、由两个以上的经营者共同控制的合营企业，通过集中被其中一个或一个以上经营者控制。</w:t>
            </w:r>
          </w:p>
        </w:tc>
      </w:tr>
      <w:tr w14:paraId="0F37D320">
        <w:trPr>
          <w:trHeight w:val="1833" w:hRule="atLeast"/>
          <w:jc w:val="center"/>
        </w:trPr>
        <w:tc>
          <w:tcPr>
            <w:tcW w:w="1940" w:type="dxa"/>
            <w:shd w:val="clear" w:color="auto" w:fill="D9D9D9"/>
            <w:vAlign w:val="center"/>
          </w:tcPr>
          <w:p w14:paraId="3DAF5677">
            <w:pPr>
              <w:pStyle w:val="3"/>
              <w:adjustRightInd w:val="0"/>
              <w:snapToGrid w:val="0"/>
              <w:spacing w:after="0"/>
              <w:rPr>
                <w:rFonts w:ascii="宋体" w:hAnsi="宋体" w:cs="Times New Roman"/>
                <w:bCs/>
                <w:color w:val="000000"/>
                <w:lang w:val="en-US" w:eastAsia="zh-CN"/>
              </w:rPr>
            </w:pPr>
            <w:r>
              <w:rPr>
                <w:rFonts w:hint="eastAsia" w:ascii="宋体" w:hAnsi="宋体" w:cs="宋体"/>
                <w:bCs/>
                <w:color w:val="000000"/>
              </w:rPr>
              <w:t>备注</w:t>
            </w:r>
          </w:p>
        </w:tc>
        <w:tc>
          <w:tcPr>
            <w:tcW w:w="7700" w:type="dxa"/>
            <w:gridSpan w:val="2"/>
          </w:tcPr>
          <w:p w14:paraId="4F8803D3">
            <w:pPr>
              <w:adjustRightInd w:val="0"/>
              <w:snapToGrid w:val="0"/>
              <w:rPr>
                <w:rFonts w:ascii="宋体" w:hAnsi="宋体" w:cs="宋体"/>
                <w:bCs/>
                <w:color w:val="000000"/>
                <w:sz w:val="24"/>
                <w:szCs w:val="24"/>
                <w:lang w:val="en-GB" w:bidi="ar-AE"/>
              </w:rPr>
            </w:pPr>
            <w:r>
              <w:rPr>
                <w:rFonts w:hint="eastAsia" w:ascii="宋体" w:hAnsi="宋体" w:cs="宋体"/>
                <w:b/>
                <w:color w:val="000000"/>
                <w:sz w:val="24"/>
                <w:szCs w:val="24"/>
                <w:lang w:val="en-GB" w:bidi="ar-AE"/>
              </w:rPr>
              <w:t>混合集中：</w:t>
            </w:r>
          </w:p>
          <w:p w14:paraId="300785E7">
            <w:pPr>
              <w:adjustRightInd w:val="0"/>
              <w:snapToGrid w:val="0"/>
              <w:rPr>
                <w:rFonts w:ascii="宋体" w:hAnsi="宋体" w:cs="宋体"/>
                <w:bCs/>
                <w:color w:val="000000"/>
                <w:sz w:val="24"/>
                <w:szCs w:val="24"/>
                <w:lang w:val="en-GB" w:bidi="ar-AE"/>
              </w:rPr>
            </w:pPr>
            <w:r>
              <w:rPr>
                <w:rFonts w:hint="eastAsia" w:ascii="宋体" w:hAnsi="宋体" w:cs="宋体"/>
                <w:bCs/>
                <w:color w:val="000000"/>
                <w:sz w:val="24"/>
                <w:szCs w:val="24"/>
                <w:lang w:val="en-GB" w:bidi="ar-AE"/>
              </w:rPr>
              <w:t>2025年中国境内硫酸镍市场：</w:t>
            </w:r>
          </w:p>
          <w:p w14:paraId="07E24CC3">
            <w:pPr>
              <w:rPr>
                <w:rFonts w:ascii="宋体" w:hAnsi="宋体" w:cs="宋体"/>
                <w:bCs/>
                <w:color w:val="000000"/>
                <w:sz w:val="24"/>
                <w:szCs w:val="24"/>
                <w:lang w:val="en-GB" w:bidi="ar-AE"/>
              </w:rPr>
            </w:pPr>
            <w:r>
              <w:rPr>
                <w:rFonts w:hint="eastAsia" w:ascii="宋体" w:hAnsi="宋体" w:cs="宋体"/>
                <w:bCs/>
                <w:color w:val="000000"/>
                <w:sz w:val="24"/>
                <w:szCs w:val="24"/>
                <w:lang w:val="en-GB" w:bidi="ar-AE"/>
              </w:rPr>
              <w:t>上海西恩：</w:t>
            </w:r>
            <w:r>
              <w:rPr>
                <w:rFonts w:hint="eastAsia" w:ascii="宋体" w:hAnsi="宋体" w:cs="宋体"/>
                <w:bCs/>
                <w:color w:val="000000"/>
                <w:sz w:val="24"/>
                <w:szCs w:val="24"/>
                <w:lang w:bidi="ar-AE"/>
              </w:rPr>
              <w:t>0</w:t>
            </w:r>
            <w:r>
              <w:rPr>
                <w:rFonts w:ascii="宋体" w:hAnsi="宋体" w:cs="宋体"/>
                <w:bCs/>
                <w:color w:val="000000"/>
                <w:sz w:val="24"/>
                <w:szCs w:val="24"/>
                <w:lang w:bidi="ar-AE"/>
              </w:rPr>
              <w:t>-5</w:t>
            </w:r>
            <w:r>
              <w:rPr>
                <w:rFonts w:ascii="宋体" w:hAnsi="宋体" w:cs="宋体"/>
                <w:bCs/>
                <w:color w:val="000000"/>
                <w:sz w:val="24"/>
                <w:szCs w:val="24"/>
                <w:lang w:val="en-GB" w:bidi="ar-AE"/>
              </w:rPr>
              <w:t>%</w:t>
            </w:r>
          </w:p>
          <w:p w14:paraId="47F50A39">
            <w:pPr>
              <w:rPr>
                <w:rFonts w:ascii="宋体" w:hAnsi="宋体" w:cs="宋体"/>
                <w:bCs/>
                <w:color w:val="000000"/>
                <w:sz w:val="24"/>
                <w:szCs w:val="24"/>
                <w:lang w:val="en-GB" w:bidi="ar-AE"/>
              </w:rPr>
            </w:pPr>
          </w:p>
          <w:p w14:paraId="38ABF1EE">
            <w:pPr>
              <w:adjustRightInd w:val="0"/>
              <w:snapToGrid w:val="0"/>
              <w:rPr>
                <w:rFonts w:ascii="宋体" w:hAnsi="宋体" w:cs="宋体"/>
                <w:bCs/>
                <w:color w:val="000000"/>
                <w:sz w:val="24"/>
                <w:szCs w:val="24"/>
                <w:lang w:val="en-GB" w:bidi="ar-AE"/>
              </w:rPr>
            </w:pPr>
            <w:r>
              <w:rPr>
                <w:rFonts w:hint="eastAsia" w:ascii="宋体" w:hAnsi="宋体" w:cs="宋体"/>
                <w:bCs/>
                <w:color w:val="000000"/>
                <w:sz w:val="24"/>
                <w:szCs w:val="24"/>
                <w:lang w:val="en-GB" w:bidi="ar-AE"/>
              </w:rPr>
              <w:t>2025年中国境内碳酸锂市场：</w:t>
            </w:r>
          </w:p>
          <w:p w14:paraId="02210B24">
            <w:pPr>
              <w:rPr>
                <w:rFonts w:ascii="宋体" w:hAnsi="宋体" w:cs="宋体"/>
                <w:bCs/>
                <w:color w:val="000000"/>
                <w:sz w:val="24"/>
                <w:szCs w:val="24"/>
                <w:lang w:val="en-GB" w:bidi="ar-AE"/>
              </w:rPr>
            </w:pPr>
            <w:r>
              <w:rPr>
                <w:rFonts w:hint="eastAsia" w:ascii="宋体" w:hAnsi="宋体" w:cs="宋体"/>
                <w:bCs/>
                <w:color w:val="000000"/>
                <w:sz w:val="24"/>
                <w:szCs w:val="24"/>
                <w:lang w:val="en-GB" w:bidi="ar-AE"/>
              </w:rPr>
              <w:t>上海西恩：</w:t>
            </w:r>
            <w:r>
              <w:rPr>
                <w:rFonts w:hint="eastAsia" w:ascii="宋体" w:hAnsi="宋体" w:cs="宋体"/>
                <w:bCs/>
                <w:color w:val="000000"/>
                <w:sz w:val="24"/>
                <w:szCs w:val="24"/>
                <w:lang w:bidi="ar-AE"/>
              </w:rPr>
              <w:t>0</w:t>
            </w:r>
            <w:r>
              <w:rPr>
                <w:rFonts w:ascii="宋体" w:hAnsi="宋体" w:cs="宋体"/>
                <w:bCs/>
                <w:color w:val="000000"/>
                <w:sz w:val="24"/>
                <w:szCs w:val="24"/>
                <w:lang w:bidi="ar-AE"/>
              </w:rPr>
              <w:t>-5</w:t>
            </w:r>
            <w:r>
              <w:rPr>
                <w:rFonts w:ascii="宋体" w:hAnsi="宋体" w:cs="宋体"/>
                <w:bCs/>
                <w:color w:val="000000"/>
                <w:sz w:val="24"/>
                <w:szCs w:val="24"/>
                <w:lang w:val="en-GB" w:bidi="ar-AE"/>
              </w:rPr>
              <w:t>%</w:t>
            </w:r>
          </w:p>
          <w:p w14:paraId="4852C1A7">
            <w:pPr>
              <w:rPr>
                <w:rFonts w:ascii="宋体" w:hAnsi="宋体" w:cs="宋体"/>
                <w:bCs/>
                <w:color w:val="000000"/>
                <w:sz w:val="24"/>
                <w:szCs w:val="24"/>
                <w:lang w:val="en-GB" w:bidi="ar-AE"/>
              </w:rPr>
            </w:pPr>
          </w:p>
          <w:p w14:paraId="48B51BD3">
            <w:pPr>
              <w:adjustRightInd w:val="0"/>
              <w:snapToGrid w:val="0"/>
              <w:rPr>
                <w:rFonts w:ascii="宋体" w:hAnsi="宋体" w:cs="宋体"/>
                <w:bCs/>
                <w:color w:val="000000"/>
                <w:sz w:val="24"/>
                <w:szCs w:val="24"/>
                <w:lang w:val="en-GB" w:bidi="ar-AE"/>
              </w:rPr>
            </w:pPr>
            <w:r>
              <w:rPr>
                <w:rFonts w:hint="eastAsia" w:ascii="宋体" w:hAnsi="宋体" w:cs="宋体"/>
                <w:bCs/>
                <w:color w:val="000000"/>
                <w:sz w:val="24"/>
                <w:szCs w:val="24"/>
                <w:lang w:val="en-GB" w:bidi="ar-AE"/>
              </w:rPr>
              <w:t>2025年中国境内三元前驱体市场：</w:t>
            </w:r>
          </w:p>
          <w:p w14:paraId="0A94F2EB">
            <w:pPr>
              <w:rPr>
                <w:rFonts w:ascii="宋体" w:hAnsi="宋体" w:cs="宋体"/>
                <w:bCs/>
                <w:color w:val="000000"/>
                <w:sz w:val="24"/>
                <w:szCs w:val="24"/>
                <w:lang w:val="en-GB" w:bidi="ar-AE"/>
              </w:rPr>
            </w:pPr>
            <w:r>
              <w:rPr>
                <w:rFonts w:hint="eastAsia" w:ascii="宋体" w:hAnsi="宋体" w:cs="宋体"/>
                <w:bCs/>
                <w:color w:val="000000"/>
                <w:sz w:val="24"/>
                <w:szCs w:val="24"/>
                <w:lang w:val="en-GB" w:bidi="ar-AE"/>
              </w:rPr>
              <w:t>上海西恩：</w:t>
            </w:r>
            <w:r>
              <w:rPr>
                <w:rFonts w:hint="eastAsia" w:ascii="宋体" w:hAnsi="宋体" w:cs="宋体"/>
                <w:bCs/>
                <w:color w:val="000000"/>
                <w:sz w:val="24"/>
                <w:szCs w:val="24"/>
                <w:lang w:bidi="ar-AE"/>
              </w:rPr>
              <w:t>0</w:t>
            </w:r>
            <w:r>
              <w:rPr>
                <w:rFonts w:ascii="宋体" w:hAnsi="宋体" w:cs="宋体"/>
                <w:bCs/>
                <w:color w:val="000000"/>
                <w:sz w:val="24"/>
                <w:szCs w:val="24"/>
                <w:lang w:bidi="ar-AE"/>
              </w:rPr>
              <w:t>-5</w:t>
            </w:r>
            <w:r>
              <w:rPr>
                <w:rFonts w:ascii="宋体" w:hAnsi="宋体" w:cs="宋体"/>
                <w:bCs/>
                <w:color w:val="000000"/>
                <w:sz w:val="24"/>
                <w:szCs w:val="24"/>
                <w:lang w:val="en-GB" w:bidi="ar-AE"/>
              </w:rPr>
              <w:t>%</w:t>
            </w:r>
          </w:p>
        </w:tc>
      </w:tr>
    </w:tbl>
    <w:p w14:paraId="1FA0F3BE">
      <w:pPr>
        <w:rPr>
          <w:rFonts w:hint="eastAsia" w:ascii="宋体" w:hAnsi="宋体"/>
          <w:sz w:val="24"/>
          <w:szCs w:val="24"/>
        </w:rPr>
      </w:pPr>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14728DE3-90E0-9170-8BF4-4E6AEFB1841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embedRegular r:id="rId2" w:fontKey="{C03598CE-3F88-78B5-8BF4-4E6A1AFF3068}"/>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3" w:fontKey="{28AD8939-8014-ABFC-8BF4-4E6A79263113}"/>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Simplified Arabic">
    <w:altName w:val="Helvetica Neue"/>
    <w:panose1 w:val="02020603050405020304"/>
    <w:charset w:val="B2"/>
    <w:family w:val="roman"/>
    <w:pitch w:val="default"/>
    <w:sig w:usb0="00000000" w:usb1="00000000" w:usb2="00000008" w:usb3="00000000" w:csb0="00000041" w:csb1="00000000"/>
  </w:font>
  <w:font w:name="黑体">
    <w:altName w:val="汉仪中黑KW"/>
    <w:panose1 w:val="00000000000000000000"/>
    <w:charset w:val="86"/>
    <w:family w:val="modern"/>
    <w:pitch w:val="default"/>
    <w:sig w:usb0="00000000" w:usb1="00000000" w:usb2="14400000" w:usb3="00000000" w:csb0="0000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C5FA0">
    <w:pPr>
      <w:tabs>
        <w:tab w:val="right" w:pos="8300"/>
      </w:tabs>
      <w:rPr>
        <w:rFonts w:ascii="Times New Roman" w:hAnsi="Times New Roman"/>
        <w:sz w:val="15"/>
      </w:rPr>
    </w:pPr>
    <w:r>
      <w:rPr>
        <w:rFonts w:ascii="Times New Roman" w:hAnsi="Times New Roman"/>
        <w:sz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BF935">
    <w:pPr>
      <w:pStyle w:val="6"/>
    </w:pPr>
  </w:p>
  <w:p w14:paraId="789E4E32">
    <w:pPr>
      <w:tabs>
        <w:tab w:val="right" w:pos="8300"/>
      </w:tabs>
      <w:rPr>
        <w:rFonts w:ascii="Times New Roman" w:hAnsi="Times New Roman"/>
        <w:sz w:val="15"/>
      </w:rPr>
    </w:pPr>
    <w:r>
      <w:rPr>
        <w:rFonts w:ascii="Times New Roman" w:hAnsi="Times New Roman"/>
        <w:sz w:val="14"/>
      </w:rPr>
      <w:fldChar w:fldCharType="begin"/>
    </w:r>
    <w:r>
      <w:rPr>
        <w:rFonts w:ascii="Times New Roman" w:hAnsi="Times New Roman"/>
        <w:sz w:val="14"/>
      </w:rPr>
      <w:instrText xml:space="preserve"> DOCPROPERTY DPWPathText \* MERGEFORMAT </w:instrText>
    </w:r>
    <w:r>
      <w:rPr>
        <w:rFonts w:ascii="Times New Roman" w:hAnsi="Times New Roman"/>
        <w:sz w:val="14"/>
      </w:rPr>
      <w:fldChar w:fldCharType="separate"/>
    </w:r>
    <w:r>
      <w:rPr>
        <w:rFonts w:ascii="Times New Roman" w:hAnsi="Times New Roman"/>
        <w:sz w:val="14"/>
      </w:rPr>
      <w:t>#97717177v5</w:t>
    </w:r>
    <w:r>
      <w:rPr>
        <w:rFonts w:ascii="Times New Roman" w:hAnsi="Times New Roman"/>
        <w:sz w:val="14"/>
      </w:rPr>
      <w:fldChar w:fldCharType="end"/>
    </w:r>
    <w:r>
      <w:rPr>
        <w:rFonts w:ascii="Times New Roman" w:hAnsi="Times New Roman"/>
        <w:sz w:val="14"/>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F75549"/>
    <w:multiLevelType w:val="multilevel"/>
    <w:tmpl w:val="45F7554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xMDQGAiMjS1MDYyUdpeDU4uLM/DyQAsNaAAxkURMsAAAA"/>
  </w:docVars>
  <w:rsids>
    <w:rsidRoot w:val="00074D3D"/>
    <w:rsid w:val="00010F64"/>
    <w:rsid w:val="000136AE"/>
    <w:rsid w:val="0001697C"/>
    <w:rsid w:val="000240FA"/>
    <w:rsid w:val="000604A9"/>
    <w:rsid w:val="00074C93"/>
    <w:rsid w:val="00074D3D"/>
    <w:rsid w:val="000827DD"/>
    <w:rsid w:val="000A2D7D"/>
    <w:rsid w:val="000A50B3"/>
    <w:rsid w:val="000D49B3"/>
    <w:rsid w:val="000F25B0"/>
    <w:rsid w:val="00103C86"/>
    <w:rsid w:val="00115EDD"/>
    <w:rsid w:val="001330CB"/>
    <w:rsid w:val="00153B39"/>
    <w:rsid w:val="00172C77"/>
    <w:rsid w:val="00177A17"/>
    <w:rsid w:val="001A2E7E"/>
    <w:rsid w:val="001A7487"/>
    <w:rsid w:val="001D23B3"/>
    <w:rsid w:val="001E5EC9"/>
    <w:rsid w:val="00217887"/>
    <w:rsid w:val="00227375"/>
    <w:rsid w:val="002875EE"/>
    <w:rsid w:val="002A1561"/>
    <w:rsid w:val="002A17E2"/>
    <w:rsid w:val="002A27D5"/>
    <w:rsid w:val="002B2257"/>
    <w:rsid w:val="002B376E"/>
    <w:rsid w:val="002C3658"/>
    <w:rsid w:val="002C40AD"/>
    <w:rsid w:val="002C4B86"/>
    <w:rsid w:val="002C4E8B"/>
    <w:rsid w:val="002E582A"/>
    <w:rsid w:val="002F0F31"/>
    <w:rsid w:val="00346162"/>
    <w:rsid w:val="00363D45"/>
    <w:rsid w:val="00366862"/>
    <w:rsid w:val="00370A5E"/>
    <w:rsid w:val="00381074"/>
    <w:rsid w:val="00395012"/>
    <w:rsid w:val="003A3C98"/>
    <w:rsid w:val="003B3A48"/>
    <w:rsid w:val="003C3255"/>
    <w:rsid w:val="003D21EE"/>
    <w:rsid w:val="003E03EC"/>
    <w:rsid w:val="003E25D4"/>
    <w:rsid w:val="003E548E"/>
    <w:rsid w:val="003F1746"/>
    <w:rsid w:val="00436716"/>
    <w:rsid w:val="00467AD0"/>
    <w:rsid w:val="004914EC"/>
    <w:rsid w:val="004D7723"/>
    <w:rsid w:val="0051386E"/>
    <w:rsid w:val="0051525B"/>
    <w:rsid w:val="00522B8F"/>
    <w:rsid w:val="00525194"/>
    <w:rsid w:val="0055706A"/>
    <w:rsid w:val="00570E47"/>
    <w:rsid w:val="005E63B7"/>
    <w:rsid w:val="005F102B"/>
    <w:rsid w:val="006064F9"/>
    <w:rsid w:val="00615A86"/>
    <w:rsid w:val="00632F61"/>
    <w:rsid w:val="00632FBE"/>
    <w:rsid w:val="0065404B"/>
    <w:rsid w:val="00691CEC"/>
    <w:rsid w:val="006A3096"/>
    <w:rsid w:val="006A3BC5"/>
    <w:rsid w:val="006A696B"/>
    <w:rsid w:val="006C3583"/>
    <w:rsid w:val="006C6024"/>
    <w:rsid w:val="006D5291"/>
    <w:rsid w:val="006E33DF"/>
    <w:rsid w:val="006E48E6"/>
    <w:rsid w:val="006F741C"/>
    <w:rsid w:val="007023CF"/>
    <w:rsid w:val="007122F7"/>
    <w:rsid w:val="00716957"/>
    <w:rsid w:val="007274E7"/>
    <w:rsid w:val="00731174"/>
    <w:rsid w:val="007553E9"/>
    <w:rsid w:val="00777A1A"/>
    <w:rsid w:val="00782098"/>
    <w:rsid w:val="007A3F3F"/>
    <w:rsid w:val="007A6B71"/>
    <w:rsid w:val="007B7657"/>
    <w:rsid w:val="007C28D2"/>
    <w:rsid w:val="007D65ED"/>
    <w:rsid w:val="007F59DF"/>
    <w:rsid w:val="0081054C"/>
    <w:rsid w:val="0083472D"/>
    <w:rsid w:val="00835197"/>
    <w:rsid w:val="00835C35"/>
    <w:rsid w:val="008F494B"/>
    <w:rsid w:val="00907516"/>
    <w:rsid w:val="00941F2C"/>
    <w:rsid w:val="00943F02"/>
    <w:rsid w:val="00944B21"/>
    <w:rsid w:val="00961A9A"/>
    <w:rsid w:val="00964685"/>
    <w:rsid w:val="00991E50"/>
    <w:rsid w:val="009C61D1"/>
    <w:rsid w:val="009C7437"/>
    <w:rsid w:val="009D7DDA"/>
    <w:rsid w:val="009E685A"/>
    <w:rsid w:val="009F0AD7"/>
    <w:rsid w:val="00A00974"/>
    <w:rsid w:val="00A14739"/>
    <w:rsid w:val="00A162D8"/>
    <w:rsid w:val="00A2578E"/>
    <w:rsid w:val="00A607BA"/>
    <w:rsid w:val="00A703C2"/>
    <w:rsid w:val="00A75FF8"/>
    <w:rsid w:val="00AA676A"/>
    <w:rsid w:val="00AC4A79"/>
    <w:rsid w:val="00AC7905"/>
    <w:rsid w:val="00AD2961"/>
    <w:rsid w:val="00AE438F"/>
    <w:rsid w:val="00AE5974"/>
    <w:rsid w:val="00AF45B6"/>
    <w:rsid w:val="00AF623D"/>
    <w:rsid w:val="00AF7030"/>
    <w:rsid w:val="00B13DE8"/>
    <w:rsid w:val="00B23C7E"/>
    <w:rsid w:val="00B25085"/>
    <w:rsid w:val="00B30C1E"/>
    <w:rsid w:val="00B37F9E"/>
    <w:rsid w:val="00B54D86"/>
    <w:rsid w:val="00B872E0"/>
    <w:rsid w:val="00BA1B5B"/>
    <w:rsid w:val="00BA3A3C"/>
    <w:rsid w:val="00BA7683"/>
    <w:rsid w:val="00BB5A1D"/>
    <w:rsid w:val="00BF0A8C"/>
    <w:rsid w:val="00C21D11"/>
    <w:rsid w:val="00C32A64"/>
    <w:rsid w:val="00C33AE6"/>
    <w:rsid w:val="00C34236"/>
    <w:rsid w:val="00C469FC"/>
    <w:rsid w:val="00C91B50"/>
    <w:rsid w:val="00CA5C32"/>
    <w:rsid w:val="00CC1B6E"/>
    <w:rsid w:val="00CC2230"/>
    <w:rsid w:val="00CC4C95"/>
    <w:rsid w:val="00CE4E97"/>
    <w:rsid w:val="00D114EB"/>
    <w:rsid w:val="00D30779"/>
    <w:rsid w:val="00D33D6E"/>
    <w:rsid w:val="00D86DBD"/>
    <w:rsid w:val="00DB5D52"/>
    <w:rsid w:val="00DB74B8"/>
    <w:rsid w:val="00DC2052"/>
    <w:rsid w:val="00DD4B15"/>
    <w:rsid w:val="00E13AB7"/>
    <w:rsid w:val="00E30980"/>
    <w:rsid w:val="00E4224C"/>
    <w:rsid w:val="00E46556"/>
    <w:rsid w:val="00E47A30"/>
    <w:rsid w:val="00E7641C"/>
    <w:rsid w:val="00E76E5C"/>
    <w:rsid w:val="00E86B58"/>
    <w:rsid w:val="00EA38CC"/>
    <w:rsid w:val="00EC0EFF"/>
    <w:rsid w:val="00ED283B"/>
    <w:rsid w:val="00F127AA"/>
    <w:rsid w:val="00F46D7A"/>
    <w:rsid w:val="00F513B0"/>
    <w:rsid w:val="00F57F1C"/>
    <w:rsid w:val="00F703B3"/>
    <w:rsid w:val="00F74C85"/>
    <w:rsid w:val="00F845B8"/>
    <w:rsid w:val="00F93D09"/>
    <w:rsid w:val="00FC394D"/>
    <w:rsid w:val="00FD40EB"/>
    <w:rsid w:val="00FE7658"/>
    <w:rsid w:val="00FF62F2"/>
    <w:rsid w:val="3FF8222F"/>
    <w:rsid w:val="3FFFBB5E"/>
    <w:rsid w:val="4F3F43BC"/>
    <w:rsid w:val="597B0A78"/>
    <w:rsid w:val="67FF1331"/>
    <w:rsid w:val="6CBE641F"/>
    <w:rsid w:val="6DFBDEFF"/>
    <w:rsid w:val="6FDE4127"/>
    <w:rsid w:val="74FF2FDC"/>
    <w:rsid w:val="796F157E"/>
    <w:rsid w:val="7DEF3AF7"/>
    <w:rsid w:val="7F5EBBEB"/>
    <w:rsid w:val="7F792914"/>
    <w:rsid w:val="7FA3A2A6"/>
    <w:rsid w:val="7FD21B4D"/>
    <w:rsid w:val="7FD414C2"/>
    <w:rsid w:val="7FFCFD9D"/>
    <w:rsid w:val="85FF0247"/>
    <w:rsid w:val="9CFF2D24"/>
    <w:rsid w:val="BC5BFC75"/>
    <w:rsid w:val="DCEF4DFE"/>
    <w:rsid w:val="DDF70727"/>
    <w:rsid w:val="DFEFD362"/>
    <w:rsid w:val="E72596E0"/>
    <w:rsid w:val="EA7F25B9"/>
    <w:rsid w:val="EFE58024"/>
    <w:rsid w:val="EFFF3FD4"/>
    <w:rsid w:val="F7FFF06E"/>
    <w:rsid w:val="FEACEAA8"/>
    <w:rsid w:val="FEBE2E74"/>
    <w:rsid w:val="FEFDD47B"/>
    <w:rsid w:val="FEFF1717"/>
    <w:rsid w:val="FFDF4715"/>
    <w:rsid w:val="FFDF75CD"/>
    <w:rsid w:val="FFEF08F8"/>
    <w:rsid w:val="FFFFC2A9"/>
    <w:rsid w:val="FFFFEC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name="Strong"/>
    <w:lsdException w:qFormat="1" w:unhideWhenUsed="0"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name="List Paragraph"/>
    <w:lsdException w:uiPriority="99" w:name="Quote"/>
    <w:lsdException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unhideWhenUsed/>
    <w:uiPriority w:val="99"/>
    <w:rPr>
      <w:sz w:val="20"/>
      <w:szCs w:val="20"/>
    </w:rPr>
  </w:style>
  <w:style w:type="paragraph" w:styleId="3">
    <w:name w:val="Body Text"/>
    <w:basedOn w:val="1"/>
    <w:link w:val="36"/>
    <w:uiPriority w:val="0"/>
    <w:pPr>
      <w:widowControl/>
      <w:spacing w:after="240"/>
    </w:pPr>
    <w:rPr>
      <w:rFonts w:ascii="Times New Roman" w:hAnsi="Times New Roman" w:cs="Simplified Arabic"/>
      <w:kern w:val="0"/>
      <w:sz w:val="24"/>
      <w:szCs w:val="24"/>
      <w:lang w:val="en-GB" w:eastAsia="en-GB" w:bidi="ar-AE"/>
    </w:rPr>
  </w:style>
  <w:style w:type="paragraph" w:styleId="4">
    <w:name w:val="endnote text"/>
    <w:basedOn w:val="1"/>
    <w:link w:val="18"/>
    <w:semiHidden/>
    <w:unhideWhenUsed/>
    <w:uiPriority w:val="99"/>
    <w:pPr>
      <w:snapToGrid w:val="0"/>
      <w:jc w:val="left"/>
    </w:pPr>
  </w:style>
  <w:style w:type="paragraph" w:styleId="5">
    <w:name w:val="Balloon Text"/>
    <w:basedOn w:val="1"/>
    <w:link w:val="21"/>
    <w:semiHidden/>
    <w:unhideWhenUsed/>
    <w:uiPriority w:val="99"/>
    <w:rPr>
      <w:sz w:val="18"/>
      <w:szCs w:val="18"/>
    </w:rPr>
  </w:style>
  <w:style w:type="paragraph" w:styleId="6">
    <w:name w:val="footer"/>
    <w:basedOn w:val="1"/>
    <w:link w:val="20"/>
    <w:unhideWhenUsed/>
    <w:uiPriority w:val="99"/>
    <w:pPr>
      <w:tabs>
        <w:tab w:val="center" w:pos="4153"/>
        <w:tab w:val="right" w:pos="8306"/>
      </w:tabs>
      <w:snapToGrid w:val="0"/>
      <w:jc w:val="left"/>
    </w:pPr>
    <w:rPr>
      <w:sz w:val="18"/>
      <w:szCs w:val="18"/>
    </w:rPr>
  </w:style>
  <w:style w:type="paragraph" w:styleId="7">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35"/>
    <w:semiHidden/>
    <w:unhideWhenUsed/>
    <w:uiPriority w:val="99"/>
    <w:rPr>
      <w:sz w:val="20"/>
      <w:szCs w:val="20"/>
    </w:rPr>
  </w:style>
  <w:style w:type="paragraph" w:styleId="9">
    <w:name w:val="annotation subject"/>
    <w:basedOn w:val="2"/>
    <w:next w:val="2"/>
    <w:link w:val="24"/>
    <w:semiHidden/>
    <w:unhideWhenUsed/>
    <w:uiPriority w:val="99"/>
    <w:rPr>
      <w:b/>
      <w:bCs/>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semiHidden/>
    <w:qFormat/>
    <w:uiPriority w:val="22"/>
    <w:rPr>
      <w:b/>
      <w:bCs/>
    </w:rPr>
  </w:style>
  <w:style w:type="character" w:styleId="14">
    <w:name w:val="endnote reference"/>
    <w:semiHidden/>
    <w:unhideWhenUsed/>
    <w:uiPriority w:val="99"/>
    <w:rPr>
      <w:vertAlign w:val="superscript"/>
    </w:rPr>
  </w:style>
  <w:style w:type="character" w:styleId="15">
    <w:name w:val="Emphasis"/>
    <w:basedOn w:val="12"/>
    <w:semiHidden/>
    <w:qFormat/>
    <w:uiPriority w:val="20"/>
    <w:rPr>
      <w:i/>
      <w:iCs/>
    </w:rPr>
  </w:style>
  <w:style w:type="character" w:styleId="16">
    <w:name w:val="annotation reference"/>
    <w:basedOn w:val="12"/>
    <w:unhideWhenUsed/>
    <w:uiPriority w:val="99"/>
    <w:rPr>
      <w:sz w:val="21"/>
      <w:szCs w:val="21"/>
    </w:rPr>
  </w:style>
  <w:style w:type="character" w:styleId="17">
    <w:name w:val="footnote reference"/>
    <w:basedOn w:val="12"/>
    <w:semiHidden/>
    <w:unhideWhenUsed/>
    <w:uiPriority w:val="99"/>
    <w:rPr>
      <w:vertAlign w:val="superscript"/>
    </w:rPr>
  </w:style>
  <w:style w:type="character" w:customStyle="1" w:styleId="18">
    <w:name w:val="尾注文本 字符"/>
    <w:basedOn w:val="12"/>
    <w:link w:val="4"/>
    <w:semiHidden/>
    <w:uiPriority w:val="99"/>
  </w:style>
  <w:style w:type="character" w:customStyle="1" w:styleId="19">
    <w:name w:val="页眉 字符"/>
    <w:link w:val="7"/>
    <w:uiPriority w:val="99"/>
    <w:rPr>
      <w:sz w:val="18"/>
      <w:szCs w:val="18"/>
    </w:rPr>
  </w:style>
  <w:style w:type="character" w:customStyle="1" w:styleId="20">
    <w:name w:val="页脚 字符"/>
    <w:link w:val="6"/>
    <w:uiPriority w:val="99"/>
    <w:rPr>
      <w:sz w:val="18"/>
      <w:szCs w:val="18"/>
    </w:rPr>
  </w:style>
  <w:style w:type="character" w:customStyle="1" w:styleId="21">
    <w:name w:val="批注框文本 字符"/>
    <w:basedOn w:val="12"/>
    <w:link w:val="5"/>
    <w:semiHidden/>
    <w:uiPriority w:val="99"/>
    <w:rPr>
      <w:kern w:val="2"/>
      <w:sz w:val="18"/>
      <w:szCs w:val="18"/>
    </w:rPr>
  </w:style>
  <w:style w:type="paragraph" w:customStyle="1" w:styleId="22">
    <w:name w:val="修订1"/>
    <w:hidden/>
    <w:unhideWhenUsed/>
    <w:uiPriority w:val="99"/>
    <w:rPr>
      <w:rFonts w:ascii="Calibri" w:hAnsi="Calibri" w:eastAsia="宋体" w:cs="Times New Roman"/>
      <w:kern w:val="2"/>
      <w:sz w:val="21"/>
      <w:szCs w:val="22"/>
      <w:lang w:val="en-US" w:eastAsia="zh-CN" w:bidi="ar-SA"/>
    </w:rPr>
  </w:style>
  <w:style w:type="character" w:customStyle="1" w:styleId="23">
    <w:name w:val="批注文字 字符"/>
    <w:basedOn w:val="12"/>
    <w:link w:val="2"/>
    <w:uiPriority w:val="99"/>
    <w:rPr>
      <w:kern w:val="2"/>
    </w:rPr>
  </w:style>
  <w:style w:type="character" w:customStyle="1" w:styleId="24">
    <w:name w:val="批注主题 字符"/>
    <w:basedOn w:val="23"/>
    <w:link w:val="9"/>
    <w:semiHidden/>
    <w:uiPriority w:val="99"/>
    <w:rPr>
      <w:b/>
      <w:bCs/>
      <w:kern w:val="2"/>
    </w:rPr>
  </w:style>
  <w:style w:type="character" w:customStyle="1" w:styleId="25">
    <w:name w:val="不明显强调1"/>
    <w:basedOn w:val="12"/>
    <w:semiHidden/>
    <w:qFormat/>
    <w:uiPriority w:val="19"/>
    <w:rPr>
      <w:i/>
      <w:iCs/>
      <w:color w:val="404040" w:themeColor="text1" w:themeTint="BF"/>
      <w14:textFill>
        <w14:solidFill>
          <w14:schemeClr w14:val="tx1">
            <w14:lumMod w14:val="75000"/>
            <w14:lumOff w14:val="25000"/>
          </w14:schemeClr>
        </w14:solidFill>
      </w14:textFill>
    </w:rPr>
  </w:style>
  <w:style w:type="character" w:customStyle="1" w:styleId="26">
    <w:name w:val="明显强调1"/>
    <w:basedOn w:val="12"/>
    <w:semiHidden/>
    <w:qFormat/>
    <w:uiPriority w:val="21"/>
    <w:rPr>
      <w:i/>
      <w:iCs/>
      <w:color w:val="5B9BD5" w:themeColor="accent1"/>
      <w14:textFill>
        <w14:solidFill>
          <w14:schemeClr w14:val="accent1"/>
        </w14:solidFill>
      </w14:textFill>
    </w:rPr>
  </w:style>
  <w:style w:type="paragraph" w:styleId="27">
    <w:name w:val="Quote"/>
    <w:basedOn w:val="1"/>
    <w:next w:val="1"/>
    <w:link w:val="28"/>
    <w:semiHidden/>
    <w:unhideWhenUsed/>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2"/>
    <w:link w:val="27"/>
    <w:semiHidden/>
    <w:uiPriority w:val="99"/>
    <w:rPr>
      <w:i/>
      <w:iCs/>
      <w:color w:val="404040" w:themeColor="text1" w:themeTint="BF"/>
      <w:kern w:val="2"/>
      <w:sz w:val="21"/>
      <w:szCs w:val="22"/>
      <w14:textFill>
        <w14:solidFill>
          <w14:schemeClr w14:val="tx1">
            <w14:lumMod w14:val="75000"/>
            <w14:lumOff w14:val="25000"/>
          </w14:schemeClr>
        </w14:solidFill>
      </w14:textFill>
    </w:rPr>
  </w:style>
  <w:style w:type="paragraph" w:styleId="29">
    <w:name w:val="Intense Quote"/>
    <w:basedOn w:val="1"/>
    <w:next w:val="1"/>
    <w:link w:val="30"/>
    <w:semiHidden/>
    <w:unhideWhenUsed/>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0">
    <w:name w:val="明显引用 字符"/>
    <w:basedOn w:val="12"/>
    <w:link w:val="29"/>
    <w:semiHidden/>
    <w:uiPriority w:val="99"/>
    <w:rPr>
      <w:i/>
      <w:iCs/>
      <w:color w:val="5B9BD5" w:themeColor="accent1"/>
      <w:kern w:val="2"/>
      <w:sz w:val="21"/>
      <w:szCs w:val="22"/>
      <w14:textFill>
        <w14:solidFill>
          <w14:schemeClr w14:val="accent1"/>
        </w14:solidFill>
      </w14:textFill>
    </w:rPr>
  </w:style>
  <w:style w:type="character" w:customStyle="1" w:styleId="31">
    <w:name w:val="不明显参考1"/>
    <w:basedOn w:val="12"/>
    <w:semiHidden/>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2">
    <w:name w:val="明显参考1"/>
    <w:basedOn w:val="12"/>
    <w:semiHidden/>
    <w:qFormat/>
    <w:uiPriority w:val="32"/>
    <w:rPr>
      <w:b/>
      <w:bCs/>
      <w:smallCaps/>
      <w:color w:val="5B9BD5" w:themeColor="accent1"/>
      <w:spacing w:val="5"/>
      <w14:textFill>
        <w14:solidFill>
          <w14:schemeClr w14:val="accent1"/>
        </w14:solidFill>
      </w14:textFill>
    </w:rPr>
  </w:style>
  <w:style w:type="character" w:customStyle="1" w:styleId="33">
    <w:name w:val="书籍标题1"/>
    <w:basedOn w:val="12"/>
    <w:semiHidden/>
    <w:qFormat/>
    <w:uiPriority w:val="33"/>
    <w:rPr>
      <w:b/>
      <w:bCs/>
      <w:i/>
      <w:iCs/>
      <w:spacing w:val="5"/>
    </w:rPr>
  </w:style>
  <w:style w:type="paragraph" w:styleId="34">
    <w:name w:val="List Paragraph"/>
    <w:basedOn w:val="1"/>
    <w:semiHidden/>
    <w:unhideWhenUsed/>
    <w:uiPriority w:val="99"/>
    <w:pPr>
      <w:ind w:left="720"/>
      <w:contextualSpacing/>
    </w:pPr>
  </w:style>
  <w:style w:type="character" w:customStyle="1" w:styleId="35">
    <w:name w:val="脚注文本 字符"/>
    <w:basedOn w:val="12"/>
    <w:link w:val="8"/>
    <w:semiHidden/>
    <w:uiPriority w:val="99"/>
    <w:rPr>
      <w:kern w:val="2"/>
    </w:rPr>
  </w:style>
  <w:style w:type="character" w:customStyle="1" w:styleId="36">
    <w:name w:val="正文文本 字符"/>
    <w:basedOn w:val="12"/>
    <w:link w:val="3"/>
    <w:uiPriority w:val="0"/>
    <w:rPr>
      <w:rFonts w:ascii="Times New Roman" w:hAnsi="Times New Roman" w:cs="Simplified Arabic"/>
      <w:sz w:val="24"/>
      <w:szCs w:val="24"/>
      <w:lang w:val="en-GB" w:eastAsia="en-GB" w:bidi="ar-AE"/>
    </w:rPr>
  </w:style>
  <w:style w:type="character" w:customStyle="1" w:styleId="37">
    <w:name w:val="fontstyle01"/>
    <w:basedOn w:val="12"/>
    <w:uiPriority w:val="0"/>
    <w:rPr>
      <w:rFonts w:hint="eastAsia" w:ascii="宋体" w:hAnsi="宋体" w:eastAsia="宋体"/>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Words>
  <Characters>747</Characters>
  <Lines>6</Lines>
  <Paragraphs>1</Paragraphs>
  <TotalTime>0</TotalTime>
  <ScaleCrop>false</ScaleCrop>
  <LinksUpToDate>false</LinksUpToDate>
  <CharactersWithSpaces>876</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2024-01-02T10:43:00Z</dcterms:created>
  <dc:creator>dell</dc:creator>
  <cp:lastModifiedBy>Fieldfisher</cp:lastModifiedBy>
  <dcterms:modified xsi:type="dcterms:W3CDTF">2026-07-09T09:08:27Z</dcterms:modified>
  <dc:title>附件二、</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DPWPathText">
    <vt:lpwstr>#97717177v5</vt:lpwstr>
  </property>
  <property fmtid="{D5CDD505-2E9C-101B-9397-08002B2CF9AE}" pid="4" name="ICV">
    <vt:lpwstr>3AB91BBC36FB01F1000B4E6AFE8C48F2_43</vt:lpwstr>
  </property>
</Properties>
</file>