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F8916FB" w14:textId="2907EE1B" w:rsidR="009F10C1" w:rsidRDefault="00692241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0A47D3" w:rsidRPr="000A47D3">
        <w:rPr>
          <w:rFonts w:ascii="仿宋_GB2312" w:eastAsia="仿宋_GB2312" w:hAnsi="Calibri" w:cs="Calibri"/>
          <w:sz w:val="28"/>
          <w:szCs w:val="28"/>
        </w:rPr>
        <w:t>SHSSXZ0156-202</w:t>
      </w:r>
      <w:r w:rsidR="00470144">
        <w:rPr>
          <w:rFonts w:ascii="仿宋_GB2312" w:eastAsia="仿宋_GB2312" w:hAnsi="Calibri" w:cs="Calibri"/>
          <w:sz w:val="28"/>
          <w:szCs w:val="28"/>
        </w:rPr>
        <w:t>4</w:t>
      </w:r>
    </w:p>
    <w:p w14:paraId="194345D2" w14:textId="77777777" w:rsidR="009F10C1" w:rsidRDefault="00692241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05624579" w14:textId="24935B9C" w:rsidR="009F10C1" w:rsidRPr="00B73999" w:rsidRDefault="00180B46" w:rsidP="00B73999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bCs/>
          <w:color w:val="000000"/>
          <w:sz w:val="32"/>
          <w:szCs w:val="32"/>
        </w:rPr>
        <w:t>保温板</w:t>
      </w:r>
      <w:r w:rsidR="00692241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260FD4FA" w14:textId="77777777" w:rsidR="009F10C1" w:rsidRDefault="00692241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486A4021" w14:textId="77777777" w:rsidR="009F10C1" w:rsidRDefault="00692241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F2B0C81" w14:textId="5D4A3C2B" w:rsidR="009F10C1" w:rsidRDefault="00692241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</w:t>
      </w:r>
      <w:r w:rsidR="00A42854">
        <w:rPr>
          <w:rFonts w:ascii="宋体" w:hAnsi="宋体" w:hint="eastAsia"/>
          <w:color w:val="000000"/>
          <w:sz w:val="24"/>
          <w:szCs w:val="21"/>
        </w:rPr>
        <w:t>2</w:t>
      </w:r>
      <w:r>
        <w:rPr>
          <w:rFonts w:ascii="宋体" w:hAnsi="宋体" w:hint="eastAsia"/>
          <w:color w:val="000000"/>
          <w:sz w:val="24"/>
          <w:szCs w:val="21"/>
        </w:rPr>
        <w:t>台，其中</w:t>
      </w:r>
      <w:r w:rsidR="00A42854">
        <w:rPr>
          <w:rFonts w:ascii="宋体" w:hAnsi="宋体" w:hint="eastAsia"/>
          <w:color w:val="000000"/>
          <w:sz w:val="24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台作为检验样品，1台作为备用</w:t>
      </w:r>
      <w:r w:rsidR="00C57C29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14:paraId="7E021357" w14:textId="77777777" w:rsidR="009F10C1" w:rsidRDefault="00692241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30ACE891" w14:textId="77777777" w:rsidR="009F10C1" w:rsidRDefault="00692241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表1 </w:t>
      </w:r>
      <w:r w:rsidR="00180B46" w:rsidRPr="00180B46">
        <w:rPr>
          <w:rFonts w:hint="eastAsia"/>
          <w:bCs/>
          <w:color w:val="000000"/>
          <w:szCs w:val="21"/>
        </w:rPr>
        <w:t>保温板</w:t>
      </w:r>
      <w:r>
        <w:rPr>
          <w:rFonts w:hint="eastAsia"/>
          <w:color w:val="000000"/>
          <w:szCs w:val="21"/>
        </w:rPr>
        <w:t>产品检验项目</w:t>
      </w:r>
    </w:p>
    <w:tbl>
      <w:tblPr>
        <w:tblW w:w="8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2558"/>
        <w:gridCol w:w="2687"/>
        <w:gridCol w:w="2835"/>
      </w:tblGrid>
      <w:tr w:rsidR="00D67A6E" w14:paraId="65656E60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7462D52B" w14:textId="77777777" w:rsidR="00D67A6E" w:rsidRDefault="00D67A6E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2558" w:type="dxa"/>
            <w:vAlign w:val="center"/>
          </w:tcPr>
          <w:p w14:paraId="0E98D24D" w14:textId="77777777" w:rsidR="00D67A6E" w:rsidRDefault="00D67A6E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2687" w:type="dxa"/>
            <w:vAlign w:val="center"/>
          </w:tcPr>
          <w:p w14:paraId="17C89B3B" w14:textId="77777777" w:rsidR="00D67A6E" w:rsidRDefault="00D67A6E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835" w:type="dxa"/>
            <w:vAlign w:val="center"/>
          </w:tcPr>
          <w:p w14:paraId="05F7F650" w14:textId="77777777" w:rsidR="00D67A6E" w:rsidRDefault="00D67A6E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D67A6E" w14:paraId="1E4D218C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7F4841FF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58" w:type="dxa"/>
            <w:vAlign w:val="center"/>
          </w:tcPr>
          <w:p w14:paraId="1218CDC6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2687" w:type="dxa"/>
            <w:vAlign w:val="center"/>
          </w:tcPr>
          <w:p w14:paraId="5C9ADB67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14:paraId="3BDFDA48" w14:textId="11DA6A76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.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2835" w:type="dxa"/>
            <w:vAlign w:val="center"/>
          </w:tcPr>
          <w:p w14:paraId="15C5CA29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14:paraId="5FE93DBE" w14:textId="0332F5E1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.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</w:tr>
      <w:tr w:rsidR="00D67A6E" w14:paraId="11BBAE7D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100CB095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558" w:type="dxa"/>
            <w:vAlign w:val="center"/>
          </w:tcPr>
          <w:p w14:paraId="51DF0ADC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2687" w:type="dxa"/>
            <w:vAlign w:val="center"/>
          </w:tcPr>
          <w:p w14:paraId="74B085BE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</w:t>
            </w:r>
          </w:p>
          <w:p w14:paraId="3307B279" w14:textId="550F7761" w:rsidR="00D67A6E" w:rsidRDefault="00D67A6E" w:rsidP="00527FA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.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2835" w:type="dxa"/>
            <w:vAlign w:val="center"/>
          </w:tcPr>
          <w:p w14:paraId="4956ADE3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</w:t>
            </w:r>
          </w:p>
          <w:p w14:paraId="1D59C6D1" w14:textId="4D639862" w:rsidR="00D67A6E" w:rsidRDefault="00D67A6E" w:rsidP="00527FA1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.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</w:t>
            </w:r>
          </w:p>
        </w:tc>
      </w:tr>
      <w:tr w:rsidR="00D67A6E" w14:paraId="60E45378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68219A18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2558" w:type="dxa"/>
            <w:vAlign w:val="center"/>
          </w:tcPr>
          <w:p w14:paraId="6C217CC2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2687" w:type="dxa"/>
            <w:vAlign w:val="center"/>
          </w:tcPr>
          <w:p w14:paraId="5BBC09D9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</w:t>
            </w:r>
          </w:p>
          <w:p w14:paraId="57D2AEE9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835" w:type="dxa"/>
            <w:vAlign w:val="center"/>
          </w:tcPr>
          <w:p w14:paraId="488CFBC2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</w:t>
            </w:r>
          </w:p>
          <w:p w14:paraId="63A31685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</w:t>
            </w:r>
          </w:p>
        </w:tc>
      </w:tr>
      <w:tr w:rsidR="00D67A6E" w14:paraId="799B9115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3262FF35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2558" w:type="dxa"/>
            <w:vAlign w:val="center"/>
          </w:tcPr>
          <w:p w14:paraId="1AE57237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2687" w:type="dxa"/>
            <w:vAlign w:val="center"/>
          </w:tcPr>
          <w:p w14:paraId="6F5B7946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11</w:t>
            </w:r>
          </w:p>
          <w:p w14:paraId="234875B5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2835" w:type="dxa"/>
            <w:vAlign w:val="center"/>
          </w:tcPr>
          <w:p w14:paraId="2DD85D39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11</w:t>
            </w:r>
          </w:p>
          <w:p w14:paraId="607D1D96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11</w:t>
            </w:r>
          </w:p>
        </w:tc>
      </w:tr>
      <w:tr w:rsidR="00D67A6E" w14:paraId="3EB28F1B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6019C425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2558" w:type="dxa"/>
            <w:vAlign w:val="center"/>
          </w:tcPr>
          <w:p w14:paraId="5786A079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2687" w:type="dxa"/>
            <w:vAlign w:val="center"/>
          </w:tcPr>
          <w:p w14:paraId="62C72469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</w:t>
            </w:r>
          </w:p>
          <w:p w14:paraId="0CCCC3EA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835" w:type="dxa"/>
            <w:vAlign w:val="center"/>
          </w:tcPr>
          <w:p w14:paraId="26848D79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</w:t>
            </w:r>
          </w:p>
          <w:p w14:paraId="46342DE7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</w:t>
            </w:r>
          </w:p>
        </w:tc>
      </w:tr>
      <w:tr w:rsidR="00D67A6E" w14:paraId="4CD69A18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6328D0EE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2558" w:type="dxa"/>
            <w:vAlign w:val="center"/>
          </w:tcPr>
          <w:p w14:paraId="2FE4174C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耐潮湿</w:t>
            </w:r>
          </w:p>
        </w:tc>
        <w:tc>
          <w:tcPr>
            <w:tcW w:w="2687" w:type="dxa"/>
            <w:vAlign w:val="center"/>
          </w:tcPr>
          <w:p w14:paraId="5C5E9A78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</w:t>
            </w:r>
          </w:p>
          <w:p w14:paraId="3458E1F5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835" w:type="dxa"/>
            <w:vAlign w:val="center"/>
          </w:tcPr>
          <w:p w14:paraId="50E15137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</w:t>
            </w:r>
          </w:p>
          <w:p w14:paraId="6EF58352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</w:t>
            </w:r>
          </w:p>
        </w:tc>
      </w:tr>
      <w:tr w:rsidR="00D67A6E" w14:paraId="07D3D251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5FE25F63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2558" w:type="dxa"/>
            <w:vAlign w:val="center"/>
          </w:tcPr>
          <w:p w14:paraId="0A723C8C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2687" w:type="dxa"/>
            <w:vAlign w:val="center"/>
          </w:tcPr>
          <w:p w14:paraId="5B8989B2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  <w:p w14:paraId="46744C67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2835" w:type="dxa"/>
            <w:vAlign w:val="center"/>
          </w:tcPr>
          <w:p w14:paraId="76A3E3FB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  <w:p w14:paraId="086E08DA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</w:tc>
      </w:tr>
      <w:tr w:rsidR="00D67A6E" w14:paraId="42EB0E98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64382433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2558" w:type="dxa"/>
            <w:vAlign w:val="center"/>
          </w:tcPr>
          <w:p w14:paraId="58D19846" w14:textId="4037772F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非正常工作</w:t>
            </w:r>
            <w:r w:rsidRPr="00527FA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(不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测</w:t>
            </w:r>
            <w:r w:rsidRPr="00527FA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19.11.4)</w:t>
            </w:r>
          </w:p>
        </w:tc>
        <w:tc>
          <w:tcPr>
            <w:tcW w:w="2687" w:type="dxa"/>
            <w:vAlign w:val="center"/>
          </w:tcPr>
          <w:p w14:paraId="7BCBAB97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19</w:t>
            </w:r>
          </w:p>
          <w:p w14:paraId="4F82AADA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19</w:t>
            </w:r>
          </w:p>
        </w:tc>
        <w:tc>
          <w:tcPr>
            <w:tcW w:w="2835" w:type="dxa"/>
            <w:vAlign w:val="center"/>
          </w:tcPr>
          <w:p w14:paraId="62E155B8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19</w:t>
            </w:r>
          </w:p>
          <w:p w14:paraId="79A25C97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19</w:t>
            </w:r>
          </w:p>
        </w:tc>
      </w:tr>
      <w:tr w:rsidR="00D67A6E" w14:paraId="1A215AC9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4E9BB03D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2558" w:type="dxa"/>
            <w:vAlign w:val="center"/>
          </w:tcPr>
          <w:p w14:paraId="45C4F7E4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稳定性和机械危险</w:t>
            </w:r>
          </w:p>
        </w:tc>
        <w:tc>
          <w:tcPr>
            <w:tcW w:w="2687" w:type="dxa"/>
            <w:vAlign w:val="center"/>
          </w:tcPr>
          <w:p w14:paraId="3066B69A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</w:t>
            </w:r>
          </w:p>
          <w:p w14:paraId="6F780470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</w:t>
            </w:r>
          </w:p>
        </w:tc>
        <w:tc>
          <w:tcPr>
            <w:tcW w:w="2835" w:type="dxa"/>
            <w:vAlign w:val="center"/>
          </w:tcPr>
          <w:p w14:paraId="6A4F3C5D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</w:t>
            </w:r>
          </w:p>
          <w:p w14:paraId="7CCBA967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</w:t>
            </w:r>
          </w:p>
        </w:tc>
      </w:tr>
      <w:tr w:rsidR="00D67A6E" w14:paraId="7C64F275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0CA49D00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558" w:type="dxa"/>
            <w:vAlign w:val="center"/>
          </w:tcPr>
          <w:p w14:paraId="2227C385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2687" w:type="dxa"/>
            <w:vAlign w:val="center"/>
          </w:tcPr>
          <w:p w14:paraId="6A8499D5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21</w:t>
            </w:r>
          </w:p>
          <w:p w14:paraId="7C0E7C62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21</w:t>
            </w:r>
          </w:p>
        </w:tc>
        <w:tc>
          <w:tcPr>
            <w:tcW w:w="2835" w:type="dxa"/>
            <w:vAlign w:val="center"/>
          </w:tcPr>
          <w:p w14:paraId="52C6AD0B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21</w:t>
            </w:r>
          </w:p>
          <w:p w14:paraId="2AE95923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21</w:t>
            </w:r>
          </w:p>
        </w:tc>
      </w:tr>
      <w:tr w:rsidR="00D67A6E" w14:paraId="4B8940C9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47B66897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lastRenderedPageBreak/>
              <w:t>11</w:t>
            </w:r>
          </w:p>
        </w:tc>
        <w:tc>
          <w:tcPr>
            <w:tcW w:w="2558" w:type="dxa"/>
            <w:vAlign w:val="center"/>
          </w:tcPr>
          <w:p w14:paraId="3BD74CE3" w14:textId="0C86B2B3" w:rsidR="00D67A6E" w:rsidRDefault="00D67A6E" w:rsidP="0031240C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结构(不测22.46)</w:t>
            </w:r>
          </w:p>
        </w:tc>
        <w:tc>
          <w:tcPr>
            <w:tcW w:w="2687" w:type="dxa"/>
            <w:vAlign w:val="center"/>
          </w:tcPr>
          <w:p w14:paraId="4DAD66BF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22</w:t>
            </w:r>
          </w:p>
          <w:p w14:paraId="104B95C4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22</w:t>
            </w:r>
          </w:p>
        </w:tc>
        <w:tc>
          <w:tcPr>
            <w:tcW w:w="2835" w:type="dxa"/>
            <w:vAlign w:val="center"/>
          </w:tcPr>
          <w:p w14:paraId="3EBD34A7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22</w:t>
            </w:r>
          </w:p>
          <w:p w14:paraId="7B99CA33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22</w:t>
            </w:r>
          </w:p>
        </w:tc>
      </w:tr>
      <w:tr w:rsidR="00D67A6E" w14:paraId="2A112F05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6B87314A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558" w:type="dxa"/>
            <w:vAlign w:val="center"/>
          </w:tcPr>
          <w:p w14:paraId="3C7ACEA8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内部布线</w:t>
            </w:r>
          </w:p>
        </w:tc>
        <w:tc>
          <w:tcPr>
            <w:tcW w:w="2687" w:type="dxa"/>
            <w:vAlign w:val="center"/>
          </w:tcPr>
          <w:p w14:paraId="4E56D6BA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23</w:t>
            </w:r>
          </w:p>
          <w:p w14:paraId="74787349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23</w:t>
            </w:r>
          </w:p>
        </w:tc>
        <w:tc>
          <w:tcPr>
            <w:tcW w:w="2835" w:type="dxa"/>
            <w:vAlign w:val="center"/>
          </w:tcPr>
          <w:p w14:paraId="4BEBAFEE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23</w:t>
            </w:r>
          </w:p>
          <w:p w14:paraId="2BC91368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23</w:t>
            </w:r>
          </w:p>
        </w:tc>
      </w:tr>
      <w:tr w:rsidR="00D67A6E" w14:paraId="65EC1F01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70458D8F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558" w:type="dxa"/>
            <w:vAlign w:val="center"/>
          </w:tcPr>
          <w:p w14:paraId="37549060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2687" w:type="dxa"/>
            <w:vAlign w:val="center"/>
          </w:tcPr>
          <w:p w14:paraId="42337C3B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25</w:t>
            </w:r>
          </w:p>
          <w:p w14:paraId="4C31B69B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25</w:t>
            </w:r>
          </w:p>
        </w:tc>
        <w:tc>
          <w:tcPr>
            <w:tcW w:w="2835" w:type="dxa"/>
            <w:vAlign w:val="center"/>
          </w:tcPr>
          <w:p w14:paraId="2A37239D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25</w:t>
            </w:r>
          </w:p>
          <w:p w14:paraId="205E0691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25</w:t>
            </w:r>
          </w:p>
        </w:tc>
      </w:tr>
      <w:tr w:rsidR="00D67A6E" w14:paraId="618F654B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2E6E5423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2558" w:type="dxa"/>
            <w:vAlign w:val="center"/>
          </w:tcPr>
          <w:p w14:paraId="599E9655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2687" w:type="dxa"/>
            <w:vAlign w:val="center"/>
          </w:tcPr>
          <w:p w14:paraId="33FA2FFE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26</w:t>
            </w:r>
          </w:p>
          <w:p w14:paraId="200FF971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26</w:t>
            </w:r>
          </w:p>
        </w:tc>
        <w:tc>
          <w:tcPr>
            <w:tcW w:w="2835" w:type="dxa"/>
            <w:vAlign w:val="center"/>
          </w:tcPr>
          <w:p w14:paraId="1FE1398C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26</w:t>
            </w:r>
          </w:p>
          <w:p w14:paraId="1E696D01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26</w:t>
            </w:r>
          </w:p>
        </w:tc>
      </w:tr>
      <w:tr w:rsidR="00D67A6E" w14:paraId="035DEECC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552DC670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558" w:type="dxa"/>
            <w:vAlign w:val="center"/>
          </w:tcPr>
          <w:p w14:paraId="58228882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接地措施</w:t>
            </w:r>
          </w:p>
        </w:tc>
        <w:tc>
          <w:tcPr>
            <w:tcW w:w="2687" w:type="dxa"/>
            <w:vAlign w:val="center"/>
          </w:tcPr>
          <w:p w14:paraId="3FDBCA8E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27</w:t>
            </w:r>
          </w:p>
          <w:p w14:paraId="6DF66F91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27</w:t>
            </w:r>
          </w:p>
        </w:tc>
        <w:tc>
          <w:tcPr>
            <w:tcW w:w="2835" w:type="dxa"/>
            <w:vAlign w:val="center"/>
          </w:tcPr>
          <w:p w14:paraId="2223008B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27</w:t>
            </w:r>
          </w:p>
          <w:p w14:paraId="33D89982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27</w:t>
            </w:r>
          </w:p>
        </w:tc>
      </w:tr>
      <w:tr w:rsidR="00D67A6E" w14:paraId="394BC667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459EBAE9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2558" w:type="dxa"/>
            <w:vAlign w:val="center"/>
          </w:tcPr>
          <w:p w14:paraId="75755C53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2687" w:type="dxa"/>
            <w:vAlign w:val="center"/>
          </w:tcPr>
          <w:p w14:paraId="3263DAA2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28</w:t>
            </w:r>
          </w:p>
          <w:p w14:paraId="3BC743B5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28</w:t>
            </w:r>
          </w:p>
        </w:tc>
        <w:tc>
          <w:tcPr>
            <w:tcW w:w="2835" w:type="dxa"/>
            <w:vAlign w:val="center"/>
          </w:tcPr>
          <w:p w14:paraId="667D3BD6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28</w:t>
            </w:r>
          </w:p>
          <w:p w14:paraId="6D6D6CB6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28</w:t>
            </w:r>
          </w:p>
        </w:tc>
      </w:tr>
      <w:tr w:rsidR="00D67A6E" w14:paraId="657B046F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2B073995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2558" w:type="dxa"/>
            <w:vAlign w:val="center"/>
          </w:tcPr>
          <w:p w14:paraId="4F38CCA4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2687" w:type="dxa"/>
            <w:vAlign w:val="center"/>
          </w:tcPr>
          <w:p w14:paraId="510F7C4E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29</w:t>
            </w:r>
          </w:p>
          <w:p w14:paraId="5A20962C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29</w:t>
            </w:r>
          </w:p>
        </w:tc>
        <w:tc>
          <w:tcPr>
            <w:tcW w:w="2835" w:type="dxa"/>
            <w:vAlign w:val="center"/>
          </w:tcPr>
          <w:p w14:paraId="2F2E0E05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29</w:t>
            </w:r>
          </w:p>
          <w:p w14:paraId="14DCAF35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29</w:t>
            </w:r>
          </w:p>
        </w:tc>
      </w:tr>
      <w:tr w:rsidR="00D67A6E" w14:paraId="297F65A1" w14:textId="77777777" w:rsidTr="003C37D4">
        <w:trPr>
          <w:trHeight w:val="397"/>
          <w:jc w:val="center"/>
        </w:trPr>
        <w:tc>
          <w:tcPr>
            <w:tcW w:w="703" w:type="dxa"/>
            <w:vAlign w:val="center"/>
          </w:tcPr>
          <w:p w14:paraId="3B6608BE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2558" w:type="dxa"/>
            <w:vAlign w:val="center"/>
          </w:tcPr>
          <w:p w14:paraId="546A2283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耐热和耐燃</w:t>
            </w:r>
          </w:p>
        </w:tc>
        <w:tc>
          <w:tcPr>
            <w:tcW w:w="2687" w:type="dxa"/>
            <w:vAlign w:val="center"/>
          </w:tcPr>
          <w:p w14:paraId="06BACBFE" w14:textId="77777777" w:rsidR="00D67A6E" w:rsidRDefault="00D67A6E" w:rsidP="00180B46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14:paraId="47307EED" w14:textId="77777777" w:rsidR="00D67A6E" w:rsidRDefault="00D67A6E" w:rsidP="00F4114D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</w:tc>
        <w:tc>
          <w:tcPr>
            <w:tcW w:w="2835" w:type="dxa"/>
            <w:vAlign w:val="center"/>
          </w:tcPr>
          <w:p w14:paraId="2A823805" w14:textId="77777777" w:rsidR="00D67A6E" w:rsidRDefault="00D67A6E" w:rsidP="00F4114D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14:paraId="60ABDD33" w14:textId="77777777" w:rsidR="00D67A6E" w:rsidRDefault="00D67A6E" w:rsidP="00F4114D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4706.55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</w:tc>
      </w:tr>
    </w:tbl>
    <w:p w14:paraId="07E9500E" w14:textId="77777777" w:rsidR="009F10C1" w:rsidRDefault="009F10C1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rFonts w:ascii="����" w:hAnsi="����" w:hint="eastAsia"/>
          <w:color w:val="000000"/>
          <w:sz w:val="21"/>
          <w:szCs w:val="21"/>
        </w:rPr>
      </w:pPr>
    </w:p>
    <w:p w14:paraId="1CB0DA2B" w14:textId="29336467" w:rsidR="009F10C1" w:rsidRDefault="00692241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235C55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47AE561F" w14:textId="339F9C5C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235C5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062ACD70" w14:textId="60147788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331803ED" w14:textId="0D3E4034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235C5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3B5B6474" w14:textId="2831C902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235C5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3C298950" w14:textId="18F91B75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235C5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20858D5E" w14:textId="279F2728" w:rsidR="009F10C1" w:rsidRDefault="00692241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235C55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9F10C1" w:rsidSect="009F10C1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BC9EC" w14:textId="77777777" w:rsidR="00744227" w:rsidRDefault="00744227" w:rsidP="009F10C1">
      <w:r>
        <w:separator/>
      </w:r>
    </w:p>
  </w:endnote>
  <w:endnote w:type="continuationSeparator" w:id="0">
    <w:p w14:paraId="5A92351C" w14:textId="77777777" w:rsidR="00744227" w:rsidRDefault="00744227" w:rsidP="009F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����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4A8A5" w14:textId="77777777" w:rsidR="009F10C1" w:rsidRDefault="004628FE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 w:rsidR="00692241">
      <w:rPr>
        <w:rStyle w:val="aa"/>
      </w:rPr>
      <w:instrText xml:space="preserve">PAGE  </w:instrText>
    </w:r>
    <w:r>
      <w:fldChar w:fldCharType="separate"/>
    </w:r>
    <w:r w:rsidR="00692241">
      <w:rPr>
        <w:rStyle w:val="aa"/>
      </w:rPr>
      <w:t>2</w:t>
    </w:r>
    <w:r>
      <w:fldChar w:fldCharType="end"/>
    </w:r>
  </w:p>
  <w:p w14:paraId="78769363" w14:textId="77777777" w:rsidR="009F10C1" w:rsidRDefault="009F10C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1314D" w14:textId="77777777" w:rsidR="009F10C1" w:rsidRDefault="004628FE">
    <w:pPr>
      <w:pStyle w:val="a5"/>
      <w:jc w:val="center"/>
    </w:pPr>
    <w:r>
      <w:rPr>
        <w:lang w:val="zh-CN"/>
      </w:rPr>
      <w:fldChar w:fldCharType="begin"/>
    </w:r>
    <w:r w:rsidR="00692241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BC7BE3" w:rsidRPr="00BC7BE3">
      <w:rPr>
        <w:noProof/>
      </w:rPr>
      <w:t>3</w:t>
    </w:r>
    <w:r>
      <w:rPr>
        <w:lang w:val="zh-CN"/>
      </w:rPr>
      <w:fldChar w:fldCharType="end"/>
    </w:r>
  </w:p>
  <w:p w14:paraId="2EAD2F9D" w14:textId="77777777" w:rsidR="009F10C1" w:rsidRDefault="009F10C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58416" w14:textId="77777777" w:rsidR="00744227" w:rsidRDefault="00744227" w:rsidP="009F10C1">
      <w:r>
        <w:separator/>
      </w:r>
    </w:p>
  </w:footnote>
  <w:footnote w:type="continuationSeparator" w:id="0">
    <w:p w14:paraId="38290BFD" w14:textId="77777777" w:rsidR="00744227" w:rsidRDefault="00744227" w:rsidP="009F1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DF183" w14:textId="77777777" w:rsidR="009F10C1" w:rsidRDefault="009F10C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A47D3"/>
    <w:rsid w:val="000B2D0E"/>
    <w:rsid w:val="000C18E9"/>
    <w:rsid w:val="000C5FB2"/>
    <w:rsid w:val="00100AE3"/>
    <w:rsid w:val="0017709F"/>
    <w:rsid w:val="00180B46"/>
    <w:rsid w:val="001A1209"/>
    <w:rsid w:val="001C72DA"/>
    <w:rsid w:val="00200CF2"/>
    <w:rsid w:val="002140FA"/>
    <w:rsid w:val="00216553"/>
    <w:rsid w:val="00235C55"/>
    <w:rsid w:val="0024337B"/>
    <w:rsid w:val="00244A7F"/>
    <w:rsid w:val="00287C7A"/>
    <w:rsid w:val="002A5708"/>
    <w:rsid w:val="002B5BAA"/>
    <w:rsid w:val="003C37D4"/>
    <w:rsid w:val="003D0920"/>
    <w:rsid w:val="003D2DED"/>
    <w:rsid w:val="003D3524"/>
    <w:rsid w:val="003D5FE3"/>
    <w:rsid w:val="00400B03"/>
    <w:rsid w:val="00457216"/>
    <w:rsid w:val="004628FE"/>
    <w:rsid w:val="00470144"/>
    <w:rsid w:val="004754B8"/>
    <w:rsid w:val="00476047"/>
    <w:rsid w:val="004F6B66"/>
    <w:rsid w:val="00522A8A"/>
    <w:rsid w:val="00527FA1"/>
    <w:rsid w:val="00532B56"/>
    <w:rsid w:val="00545330"/>
    <w:rsid w:val="0058603F"/>
    <w:rsid w:val="005A6C5D"/>
    <w:rsid w:val="005D5712"/>
    <w:rsid w:val="00627252"/>
    <w:rsid w:val="00634372"/>
    <w:rsid w:val="00640C75"/>
    <w:rsid w:val="00692241"/>
    <w:rsid w:val="00694359"/>
    <w:rsid w:val="00730C62"/>
    <w:rsid w:val="00744227"/>
    <w:rsid w:val="00751A8D"/>
    <w:rsid w:val="007836CE"/>
    <w:rsid w:val="007869C0"/>
    <w:rsid w:val="00794808"/>
    <w:rsid w:val="007B2AF8"/>
    <w:rsid w:val="007B6510"/>
    <w:rsid w:val="007D081C"/>
    <w:rsid w:val="00830CE7"/>
    <w:rsid w:val="00882104"/>
    <w:rsid w:val="008914CE"/>
    <w:rsid w:val="0090682E"/>
    <w:rsid w:val="00912469"/>
    <w:rsid w:val="0093348D"/>
    <w:rsid w:val="009C6933"/>
    <w:rsid w:val="009F10C1"/>
    <w:rsid w:val="00A1100F"/>
    <w:rsid w:val="00A42854"/>
    <w:rsid w:val="00A656CB"/>
    <w:rsid w:val="00A8565D"/>
    <w:rsid w:val="00A90B53"/>
    <w:rsid w:val="00AB0483"/>
    <w:rsid w:val="00AB369F"/>
    <w:rsid w:val="00AC0658"/>
    <w:rsid w:val="00AF107E"/>
    <w:rsid w:val="00B04FC5"/>
    <w:rsid w:val="00B06622"/>
    <w:rsid w:val="00B525EF"/>
    <w:rsid w:val="00B62772"/>
    <w:rsid w:val="00B71D10"/>
    <w:rsid w:val="00B73999"/>
    <w:rsid w:val="00BC7BE3"/>
    <w:rsid w:val="00BD14FF"/>
    <w:rsid w:val="00BF559A"/>
    <w:rsid w:val="00C01902"/>
    <w:rsid w:val="00C370E7"/>
    <w:rsid w:val="00C53409"/>
    <w:rsid w:val="00C57C29"/>
    <w:rsid w:val="00CA0CFF"/>
    <w:rsid w:val="00CA5975"/>
    <w:rsid w:val="00CF096B"/>
    <w:rsid w:val="00D67A6E"/>
    <w:rsid w:val="00D913BE"/>
    <w:rsid w:val="00DD666A"/>
    <w:rsid w:val="00DE2355"/>
    <w:rsid w:val="00F1679A"/>
    <w:rsid w:val="00F332CA"/>
    <w:rsid w:val="00F33EC0"/>
    <w:rsid w:val="00F4114D"/>
    <w:rsid w:val="00F57ACD"/>
    <w:rsid w:val="00FA6787"/>
    <w:rsid w:val="00FD306B"/>
    <w:rsid w:val="06280A1B"/>
    <w:rsid w:val="07E26E43"/>
    <w:rsid w:val="08AC4CCE"/>
    <w:rsid w:val="2C2E55E9"/>
    <w:rsid w:val="3D672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4F629C"/>
  <w15:docId w15:val="{5206A20D-1A19-4B7A-A20B-18812F6F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0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9F10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9F10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9F10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rsid w:val="009F10C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  <w:rsid w:val="009F10C1"/>
  </w:style>
  <w:style w:type="paragraph" w:customStyle="1" w:styleId="1">
    <w:name w:val="列出段落1"/>
    <w:basedOn w:val="a"/>
    <w:uiPriority w:val="34"/>
    <w:qFormat/>
    <w:rsid w:val="009F10C1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9F10C1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9F10C1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9F10C1"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rsid w:val="009F10C1"/>
    <w:pPr>
      <w:ind w:firstLineChars="200" w:firstLine="420"/>
    </w:pPr>
  </w:style>
  <w:style w:type="paragraph" w:styleId="ac">
    <w:name w:val="Revision"/>
    <w:hidden/>
    <w:uiPriority w:val="99"/>
    <w:semiHidden/>
    <w:rsid w:val="00D67A6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4090E4-6A78-4A4D-8232-AD8FCF52B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288</Words>
  <Characters>1647</Characters>
  <Application>Microsoft Office Word</Application>
  <DocSecurity>0</DocSecurity>
  <Lines>13</Lines>
  <Paragraphs>3</Paragraphs>
  <ScaleCrop>false</ScaleCrop>
  <Company>Legend (Beijing) Limited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31</cp:revision>
  <cp:lastPrinted>2019-12-05T15:53:00Z</cp:lastPrinted>
  <dcterms:created xsi:type="dcterms:W3CDTF">2021-01-28T02:47:00Z</dcterms:created>
  <dcterms:modified xsi:type="dcterms:W3CDTF">2024-01-23T06:01:00Z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