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AAA0B4B" w14:textId="77777777" w:rsidR="00090048" w:rsidRDefault="00160EF6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SHSSXZ0124-202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4</w:t>
      </w:r>
    </w:p>
    <w:p w14:paraId="38800201" w14:textId="77777777" w:rsidR="00090048" w:rsidRDefault="00160EF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21D9BE53" w14:textId="77777777" w:rsidR="00090048" w:rsidRDefault="00160EF6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车用汽油产品</w:t>
      </w:r>
    </w:p>
    <w:p w14:paraId="39674773" w14:textId="77777777" w:rsidR="00090048" w:rsidRDefault="00160EF6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4A2CE3B0" w14:textId="77777777" w:rsidR="00090048" w:rsidRDefault="00160EF6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3727B9C5" w14:textId="77777777" w:rsidR="00090048" w:rsidRDefault="00160EF6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每批次样品最多抽取6L，其中4L作为检验样品，2L作为备用样品。</w:t>
      </w:r>
    </w:p>
    <w:p w14:paraId="0A0E8473" w14:textId="77777777" w:rsidR="00090048" w:rsidRDefault="00160EF6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69FBE6FF" w14:textId="77777777" w:rsidR="00090048" w:rsidRDefault="00160EF6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 w:hint="eastAsia"/>
          <w:color w:val="000000"/>
          <w:szCs w:val="21"/>
        </w:rPr>
        <w:t xml:space="preserve">1 </w:t>
      </w:r>
      <w:r>
        <w:rPr>
          <w:rFonts w:ascii="宋体" w:hAnsi="宋体" w:hint="eastAsia"/>
          <w:color w:val="000000"/>
          <w:sz w:val="24"/>
          <w:szCs w:val="21"/>
        </w:rPr>
        <w:t>车用汽油产品检验项目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1"/>
        <w:gridCol w:w="2071"/>
        <w:gridCol w:w="2414"/>
        <w:gridCol w:w="3377"/>
      </w:tblGrid>
      <w:tr w:rsidR="00090048" w14:paraId="7FDE8F64" w14:textId="77777777" w:rsidTr="003C2E70">
        <w:trPr>
          <w:trHeight w:val="397"/>
          <w:tblHeader/>
        </w:trPr>
        <w:tc>
          <w:tcPr>
            <w:tcW w:w="714" w:type="pct"/>
            <w:vAlign w:val="center"/>
          </w:tcPr>
          <w:p w14:paraId="7FD9BFD1" w14:textId="77777777" w:rsidR="00090048" w:rsidRDefault="00160EF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129" w:type="pct"/>
            <w:vAlign w:val="center"/>
          </w:tcPr>
          <w:p w14:paraId="5FA0A671" w14:textId="77777777" w:rsidR="00090048" w:rsidRDefault="00160EF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16" w:type="pct"/>
            <w:vAlign w:val="center"/>
          </w:tcPr>
          <w:p w14:paraId="311E1E16" w14:textId="77777777" w:rsidR="00090048" w:rsidRDefault="00160EF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842" w:type="pct"/>
            <w:vAlign w:val="center"/>
          </w:tcPr>
          <w:p w14:paraId="6B74EE15" w14:textId="77777777" w:rsidR="00090048" w:rsidRDefault="00160EF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090048" w14:paraId="50466A5F" w14:textId="77777777" w:rsidTr="003C2E70">
        <w:trPr>
          <w:trHeight w:val="737"/>
        </w:trPr>
        <w:tc>
          <w:tcPr>
            <w:tcW w:w="714" w:type="pct"/>
            <w:vAlign w:val="center"/>
          </w:tcPr>
          <w:p w14:paraId="182FE199" w14:textId="77777777" w:rsidR="00090048" w:rsidRDefault="00160EF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</w:t>
            </w:r>
          </w:p>
        </w:tc>
        <w:tc>
          <w:tcPr>
            <w:tcW w:w="1129" w:type="pct"/>
            <w:vAlign w:val="center"/>
          </w:tcPr>
          <w:p w14:paraId="7FEE5E34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研究法辛烷值（RON）</w:t>
            </w:r>
          </w:p>
        </w:tc>
        <w:tc>
          <w:tcPr>
            <w:tcW w:w="1316" w:type="pct"/>
            <w:vAlign w:val="center"/>
          </w:tcPr>
          <w:p w14:paraId="76A0F6DC" w14:textId="77777777" w:rsidR="00090048" w:rsidRDefault="00160EF6">
            <w:pPr>
              <w:pStyle w:val="ab"/>
              <w:widowControl w:val="0"/>
              <w:wordWrap/>
              <w:overflowPunct/>
              <w:autoSpaceDE/>
              <w:autoSpaceDN/>
              <w:adjustRightInd w:val="0"/>
              <w:snapToGrid w:val="0"/>
              <w:jc w:val="center"/>
              <w:textAlignment w:val="auto"/>
              <w:outlineLvl w:val="9"/>
              <w:rPr>
                <w:rFonts w:ascii="宋体" w:eastAsia="宋体" w:hAnsi="宋体"/>
                <w:bCs/>
                <w:color w:val="000000"/>
                <w:kern w:val="2"/>
                <w:szCs w:val="21"/>
              </w:rPr>
            </w:pPr>
            <w:r>
              <w:rPr>
                <w:rFonts w:ascii="宋体" w:eastAsia="宋体" w:hAnsi="宋体"/>
                <w:bCs/>
                <w:color w:val="000000"/>
                <w:kern w:val="2"/>
                <w:szCs w:val="21"/>
              </w:rPr>
              <w:t>GB/T 5487-2015</w:t>
            </w:r>
          </w:p>
        </w:tc>
        <w:tc>
          <w:tcPr>
            <w:tcW w:w="1842" w:type="pct"/>
            <w:vAlign w:val="center"/>
          </w:tcPr>
          <w:p w14:paraId="182B4D6F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szCs w:val="21"/>
              </w:rPr>
              <w:t>GB 17930-2016/表4、表A.2</w:t>
            </w:r>
          </w:p>
        </w:tc>
      </w:tr>
      <w:tr w:rsidR="00090048" w14:paraId="5D0C8341" w14:textId="77777777" w:rsidTr="003C2E70">
        <w:trPr>
          <w:trHeight w:val="737"/>
        </w:trPr>
        <w:tc>
          <w:tcPr>
            <w:tcW w:w="714" w:type="pct"/>
            <w:vAlign w:val="center"/>
          </w:tcPr>
          <w:p w14:paraId="386BB08E" w14:textId="77777777" w:rsidR="00090048" w:rsidRDefault="00160EF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2</w:t>
            </w:r>
          </w:p>
        </w:tc>
        <w:tc>
          <w:tcPr>
            <w:tcW w:w="1129" w:type="pct"/>
            <w:vAlign w:val="center"/>
          </w:tcPr>
          <w:p w14:paraId="1660FC99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抗爆指数（RON+MON）/2</w:t>
            </w:r>
          </w:p>
        </w:tc>
        <w:tc>
          <w:tcPr>
            <w:tcW w:w="1316" w:type="pct"/>
            <w:vAlign w:val="center"/>
          </w:tcPr>
          <w:p w14:paraId="21C73839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503-2016</w:t>
            </w:r>
          </w:p>
          <w:p w14:paraId="72C4B6D9" w14:textId="77777777" w:rsidR="00090048" w:rsidRDefault="00160EF6">
            <w:pPr>
              <w:pStyle w:val="ab"/>
              <w:widowControl w:val="0"/>
              <w:wordWrap/>
              <w:overflowPunct/>
              <w:autoSpaceDE/>
              <w:autoSpaceDN/>
              <w:adjustRightInd w:val="0"/>
              <w:snapToGrid w:val="0"/>
              <w:jc w:val="center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ascii="宋体" w:eastAsia="宋体" w:hAnsi="宋体"/>
                <w:bCs/>
                <w:color w:val="000000"/>
                <w:kern w:val="2"/>
                <w:szCs w:val="21"/>
              </w:rPr>
              <w:t>GB/T 5487-2015</w:t>
            </w:r>
          </w:p>
        </w:tc>
        <w:tc>
          <w:tcPr>
            <w:tcW w:w="1842" w:type="pct"/>
            <w:vAlign w:val="center"/>
          </w:tcPr>
          <w:p w14:paraId="7FA7A25B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17930-2016/表4、表A.2</w:t>
            </w:r>
          </w:p>
        </w:tc>
      </w:tr>
      <w:tr w:rsidR="00090048" w14:paraId="7B08DFEA" w14:textId="77777777" w:rsidTr="003C2E70">
        <w:trPr>
          <w:trHeight w:val="737"/>
        </w:trPr>
        <w:tc>
          <w:tcPr>
            <w:tcW w:w="714" w:type="pct"/>
            <w:vAlign w:val="center"/>
          </w:tcPr>
          <w:p w14:paraId="44143ABE" w14:textId="77777777" w:rsidR="00090048" w:rsidRDefault="00160EF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3</w:t>
            </w:r>
          </w:p>
        </w:tc>
        <w:tc>
          <w:tcPr>
            <w:tcW w:w="1129" w:type="pct"/>
            <w:vAlign w:val="center"/>
          </w:tcPr>
          <w:p w14:paraId="571E549A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馏程</w:t>
            </w:r>
          </w:p>
        </w:tc>
        <w:tc>
          <w:tcPr>
            <w:tcW w:w="1316" w:type="pct"/>
            <w:vAlign w:val="center"/>
          </w:tcPr>
          <w:p w14:paraId="41A08005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GB/T 6536-2010</w:t>
            </w:r>
          </w:p>
        </w:tc>
        <w:tc>
          <w:tcPr>
            <w:tcW w:w="1842" w:type="pct"/>
            <w:vAlign w:val="center"/>
          </w:tcPr>
          <w:p w14:paraId="455C251F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17930-2016/表4、表A.2</w:t>
            </w:r>
          </w:p>
        </w:tc>
      </w:tr>
      <w:tr w:rsidR="00090048" w14:paraId="1C09282A" w14:textId="77777777" w:rsidTr="003C2E70">
        <w:trPr>
          <w:trHeight w:val="737"/>
        </w:trPr>
        <w:tc>
          <w:tcPr>
            <w:tcW w:w="714" w:type="pct"/>
            <w:vAlign w:val="center"/>
          </w:tcPr>
          <w:p w14:paraId="1E83030E" w14:textId="77777777" w:rsidR="00090048" w:rsidRDefault="00160EF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4</w:t>
            </w:r>
          </w:p>
        </w:tc>
        <w:tc>
          <w:tcPr>
            <w:tcW w:w="1129" w:type="pct"/>
            <w:vAlign w:val="center"/>
          </w:tcPr>
          <w:p w14:paraId="2318EB0E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未洗胶质含量</w:t>
            </w:r>
          </w:p>
          <w:p w14:paraId="0DFE500E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（加入清净剂前）</w:t>
            </w:r>
          </w:p>
        </w:tc>
        <w:tc>
          <w:tcPr>
            <w:tcW w:w="1316" w:type="pct"/>
            <w:vAlign w:val="center"/>
          </w:tcPr>
          <w:p w14:paraId="7051E600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GB/T 8019-2008</w:t>
            </w:r>
          </w:p>
        </w:tc>
        <w:tc>
          <w:tcPr>
            <w:tcW w:w="1842" w:type="pct"/>
            <w:vAlign w:val="center"/>
          </w:tcPr>
          <w:p w14:paraId="10F181B1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17930-2016/表4、表A.2</w:t>
            </w:r>
          </w:p>
        </w:tc>
      </w:tr>
      <w:tr w:rsidR="00090048" w14:paraId="1D6ED188" w14:textId="77777777" w:rsidTr="003C2E70">
        <w:trPr>
          <w:trHeight w:val="737"/>
        </w:trPr>
        <w:tc>
          <w:tcPr>
            <w:tcW w:w="714" w:type="pct"/>
            <w:vAlign w:val="center"/>
          </w:tcPr>
          <w:p w14:paraId="265683F7" w14:textId="77777777" w:rsidR="00090048" w:rsidRDefault="00160EF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5</w:t>
            </w:r>
          </w:p>
        </w:tc>
        <w:tc>
          <w:tcPr>
            <w:tcW w:w="1129" w:type="pct"/>
            <w:vAlign w:val="center"/>
          </w:tcPr>
          <w:p w14:paraId="601150C1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溶剂洗胶质含量</w:t>
            </w:r>
          </w:p>
        </w:tc>
        <w:tc>
          <w:tcPr>
            <w:tcW w:w="1316" w:type="pct"/>
            <w:vAlign w:val="center"/>
          </w:tcPr>
          <w:p w14:paraId="1353D488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GB/T 8019-2008</w:t>
            </w:r>
          </w:p>
        </w:tc>
        <w:tc>
          <w:tcPr>
            <w:tcW w:w="1842" w:type="pct"/>
            <w:vAlign w:val="center"/>
          </w:tcPr>
          <w:p w14:paraId="120D25C6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17930-2016/表4、表A.2</w:t>
            </w:r>
          </w:p>
        </w:tc>
      </w:tr>
      <w:tr w:rsidR="00090048" w14:paraId="4AAD30E2" w14:textId="77777777" w:rsidTr="003C2E70">
        <w:trPr>
          <w:trHeight w:val="737"/>
        </w:trPr>
        <w:tc>
          <w:tcPr>
            <w:tcW w:w="714" w:type="pct"/>
            <w:vAlign w:val="center"/>
          </w:tcPr>
          <w:p w14:paraId="3F691583" w14:textId="77777777" w:rsidR="00090048" w:rsidRDefault="00160EF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6</w:t>
            </w:r>
          </w:p>
        </w:tc>
        <w:tc>
          <w:tcPr>
            <w:tcW w:w="1129" w:type="pct"/>
            <w:vAlign w:val="center"/>
          </w:tcPr>
          <w:p w14:paraId="3D6B2AE4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硫含量</w:t>
            </w:r>
          </w:p>
        </w:tc>
        <w:tc>
          <w:tcPr>
            <w:tcW w:w="1316" w:type="pct"/>
            <w:vAlign w:val="center"/>
          </w:tcPr>
          <w:p w14:paraId="535940AC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SH/T 0689-2000</w:t>
            </w:r>
          </w:p>
        </w:tc>
        <w:tc>
          <w:tcPr>
            <w:tcW w:w="1842" w:type="pct"/>
            <w:vAlign w:val="center"/>
          </w:tcPr>
          <w:p w14:paraId="2212EA24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17930-2016/表4、表A.2</w:t>
            </w:r>
          </w:p>
        </w:tc>
      </w:tr>
      <w:tr w:rsidR="00090048" w14:paraId="6EF21E79" w14:textId="77777777" w:rsidTr="003C2E70">
        <w:trPr>
          <w:trHeight w:val="737"/>
        </w:trPr>
        <w:tc>
          <w:tcPr>
            <w:tcW w:w="714" w:type="pct"/>
            <w:vAlign w:val="center"/>
          </w:tcPr>
          <w:p w14:paraId="713924B7" w14:textId="77777777" w:rsidR="00090048" w:rsidRDefault="00160EF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7</w:t>
            </w:r>
          </w:p>
        </w:tc>
        <w:tc>
          <w:tcPr>
            <w:tcW w:w="1129" w:type="pct"/>
            <w:vAlign w:val="center"/>
          </w:tcPr>
          <w:p w14:paraId="38427FC9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硫醇（博士试验）</w:t>
            </w:r>
          </w:p>
        </w:tc>
        <w:tc>
          <w:tcPr>
            <w:tcW w:w="1316" w:type="pct"/>
            <w:vAlign w:val="center"/>
          </w:tcPr>
          <w:p w14:paraId="6A2D0CDF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NB/SH/T 0174-2015</w:t>
            </w:r>
          </w:p>
        </w:tc>
        <w:tc>
          <w:tcPr>
            <w:tcW w:w="1842" w:type="pct"/>
            <w:vAlign w:val="center"/>
          </w:tcPr>
          <w:p w14:paraId="5D53B275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17930-2016/表4、表A.2</w:t>
            </w:r>
          </w:p>
        </w:tc>
      </w:tr>
      <w:tr w:rsidR="00090048" w14:paraId="69180E58" w14:textId="77777777" w:rsidTr="003C2E70">
        <w:trPr>
          <w:trHeight w:val="737"/>
        </w:trPr>
        <w:tc>
          <w:tcPr>
            <w:tcW w:w="714" w:type="pct"/>
            <w:vAlign w:val="center"/>
          </w:tcPr>
          <w:p w14:paraId="5987FE58" w14:textId="77777777" w:rsidR="00090048" w:rsidRDefault="00160EF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8</w:t>
            </w:r>
          </w:p>
        </w:tc>
        <w:tc>
          <w:tcPr>
            <w:tcW w:w="1129" w:type="pct"/>
            <w:vAlign w:val="center"/>
          </w:tcPr>
          <w:p w14:paraId="51354F82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苯含量</w:t>
            </w:r>
          </w:p>
          <w:p w14:paraId="05380A64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（体积分数）</w:t>
            </w:r>
          </w:p>
        </w:tc>
        <w:tc>
          <w:tcPr>
            <w:tcW w:w="1316" w:type="pct"/>
            <w:vAlign w:val="center"/>
          </w:tcPr>
          <w:p w14:paraId="51F361D6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GB/T 30519-2014</w:t>
            </w:r>
          </w:p>
          <w:p w14:paraId="00FD41D6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SH/T 0713-2002</w:t>
            </w:r>
          </w:p>
          <w:p w14:paraId="0ED36239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NB/SH/T 0713-2023</w:t>
            </w:r>
          </w:p>
        </w:tc>
        <w:tc>
          <w:tcPr>
            <w:tcW w:w="1842" w:type="pct"/>
            <w:vAlign w:val="center"/>
          </w:tcPr>
          <w:p w14:paraId="5E6BD004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17930-2016/表4、表A.2</w:t>
            </w:r>
          </w:p>
        </w:tc>
      </w:tr>
      <w:tr w:rsidR="00090048" w14:paraId="7A7722CD" w14:textId="77777777" w:rsidTr="003C2E70">
        <w:trPr>
          <w:trHeight w:val="737"/>
        </w:trPr>
        <w:tc>
          <w:tcPr>
            <w:tcW w:w="714" w:type="pct"/>
            <w:vAlign w:val="center"/>
          </w:tcPr>
          <w:p w14:paraId="5AEB22E1" w14:textId="77777777" w:rsidR="00090048" w:rsidRDefault="00160EF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9</w:t>
            </w:r>
          </w:p>
        </w:tc>
        <w:tc>
          <w:tcPr>
            <w:tcW w:w="1129" w:type="pct"/>
            <w:vAlign w:val="center"/>
          </w:tcPr>
          <w:p w14:paraId="09A5F493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芳烃含量</w:t>
            </w:r>
          </w:p>
          <w:p w14:paraId="3EA44EEB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（体积分数）</w:t>
            </w:r>
          </w:p>
        </w:tc>
        <w:tc>
          <w:tcPr>
            <w:tcW w:w="1316" w:type="pct"/>
            <w:vAlign w:val="center"/>
          </w:tcPr>
          <w:p w14:paraId="40746AF5" w14:textId="77777777" w:rsidR="00090048" w:rsidRDefault="00160EF6">
            <w:pPr>
              <w:pStyle w:val="ab"/>
              <w:widowControl w:val="0"/>
              <w:wordWrap/>
              <w:overflowPunct/>
              <w:autoSpaceDE/>
              <w:autoSpaceDN/>
              <w:adjustRightInd w:val="0"/>
              <w:snapToGrid w:val="0"/>
              <w:jc w:val="center"/>
              <w:textAlignment w:val="auto"/>
              <w:outlineLvl w:val="9"/>
              <w:rPr>
                <w:rFonts w:ascii="宋体" w:eastAsia="宋体" w:hAnsi="宋体"/>
                <w:bCs/>
                <w:color w:val="000000"/>
                <w:kern w:val="2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000000"/>
                <w:kern w:val="2"/>
                <w:szCs w:val="21"/>
              </w:rPr>
              <w:t>GB/T 30519-2014</w:t>
            </w:r>
          </w:p>
        </w:tc>
        <w:tc>
          <w:tcPr>
            <w:tcW w:w="1842" w:type="pct"/>
            <w:vAlign w:val="center"/>
          </w:tcPr>
          <w:p w14:paraId="4D380DD2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17930-2016/表4、表A.2</w:t>
            </w:r>
          </w:p>
        </w:tc>
      </w:tr>
      <w:tr w:rsidR="00090048" w14:paraId="460EA1CC" w14:textId="77777777" w:rsidTr="003C2E70">
        <w:trPr>
          <w:trHeight w:val="737"/>
        </w:trPr>
        <w:tc>
          <w:tcPr>
            <w:tcW w:w="714" w:type="pct"/>
            <w:vAlign w:val="center"/>
          </w:tcPr>
          <w:p w14:paraId="477F19CB" w14:textId="77777777" w:rsidR="00090048" w:rsidRDefault="00160EF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10</w:t>
            </w:r>
          </w:p>
        </w:tc>
        <w:tc>
          <w:tcPr>
            <w:tcW w:w="1129" w:type="pct"/>
            <w:vAlign w:val="center"/>
          </w:tcPr>
          <w:p w14:paraId="720D5C61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烯烃含量</w:t>
            </w:r>
          </w:p>
          <w:p w14:paraId="059DFB10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（体积分数）</w:t>
            </w:r>
          </w:p>
        </w:tc>
        <w:tc>
          <w:tcPr>
            <w:tcW w:w="1316" w:type="pct"/>
            <w:vAlign w:val="center"/>
          </w:tcPr>
          <w:p w14:paraId="18B5582D" w14:textId="77777777" w:rsidR="00090048" w:rsidRDefault="00160EF6">
            <w:pPr>
              <w:pStyle w:val="ab"/>
              <w:widowControl w:val="0"/>
              <w:wordWrap/>
              <w:overflowPunct/>
              <w:autoSpaceDE/>
              <w:autoSpaceDN/>
              <w:adjustRightInd w:val="0"/>
              <w:snapToGrid w:val="0"/>
              <w:jc w:val="center"/>
              <w:textAlignment w:val="auto"/>
              <w:outlineLvl w:val="9"/>
              <w:rPr>
                <w:rFonts w:ascii="宋体" w:eastAsia="宋体" w:hAnsi="宋体"/>
                <w:bCs/>
                <w:color w:val="000000"/>
                <w:kern w:val="2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000000"/>
                <w:kern w:val="2"/>
                <w:szCs w:val="21"/>
              </w:rPr>
              <w:t>GB/T 30519-2014</w:t>
            </w:r>
          </w:p>
        </w:tc>
        <w:tc>
          <w:tcPr>
            <w:tcW w:w="1842" w:type="pct"/>
            <w:vAlign w:val="center"/>
          </w:tcPr>
          <w:p w14:paraId="00047524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17930-2016/表4、表A.2</w:t>
            </w:r>
          </w:p>
        </w:tc>
      </w:tr>
      <w:tr w:rsidR="00090048" w14:paraId="7BEF9B5D" w14:textId="77777777" w:rsidTr="003C2E70">
        <w:trPr>
          <w:trHeight w:val="737"/>
        </w:trPr>
        <w:tc>
          <w:tcPr>
            <w:tcW w:w="714" w:type="pct"/>
            <w:vAlign w:val="center"/>
          </w:tcPr>
          <w:p w14:paraId="3A61E009" w14:textId="77777777" w:rsidR="00090048" w:rsidRDefault="00160EF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11</w:t>
            </w:r>
          </w:p>
        </w:tc>
        <w:tc>
          <w:tcPr>
            <w:tcW w:w="1129" w:type="pct"/>
            <w:vAlign w:val="center"/>
          </w:tcPr>
          <w:p w14:paraId="57DC8133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氧含量</w:t>
            </w:r>
          </w:p>
          <w:p w14:paraId="415569C1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（质量分数）</w:t>
            </w:r>
          </w:p>
        </w:tc>
        <w:tc>
          <w:tcPr>
            <w:tcW w:w="1316" w:type="pct"/>
            <w:vAlign w:val="center"/>
          </w:tcPr>
          <w:p w14:paraId="04C6DDFE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NB/SH/T 0663-2014</w:t>
            </w:r>
          </w:p>
        </w:tc>
        <w:tc>
          <w:tcPr>
            <w:tcW w:w="1842" w:type="pct"/>
            <w:vAlign w:val="center"/>
          </w:tcPr>
          <w:p w14:paraId="5C3F1AAF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17930-2016/表4、表A.2</w:t>
            </w:r>
          </w:p>
        </w:tc>
      </w:tr>
      <w:tr w:rsidR="00090048" w14:paraId="100FF43A" w14:textId="77777777" w:rsidTr="003C2E70">
        <w:trPr>
          <w:trHeight w:val="737"/>
        </w:trPr>
        <w:tc>
          <w:tcPr>
            <w:tcW w:w="714" w:type="pct"/>
            <w:vAlign w:val="center"/>
          </w:tcPr>
          <w:p w14:paraId="32283F4A" w14:textId="77777777" w:rsidR="00090048" w:rsidRDefault="00160EF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lastRenderedPageBreak/>
              <w:t>12</w:t>
            </w:r>
          </w:p>
        </w:tc>
        <w:tc>
          <w:tcPr>
            <w:tcW w:w="1129" w:type="pct"/>
            <w:vAlign w:val="center"/>
          </w:tcPr>
          <w:p w14:paraId="4D10C124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甲醇含量</w:t>
            </w:r>
          </w:p>
          <w:p w14:paraId="16CE51F4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（质量分数）</w:t>
            </w:r>
          </w:p>
        </w:tc>
        <w:tc>
          <w:tcPr>
            <w:tcW w:w="1316" w:type="pct"/>
            <w:vAlign w:val="center"/>
          </w:tcPr>
          <w:p w14:paraId="042AC93F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NB/SH/T 0663-2014</w:t>
            </w:r>
          </w:p>
        </w:tc>
        <w:tc>
          <w:tcPr>
            <w:tcW w:w="1842" w:type="pct"/>
            <w:vAlign w:val="center"/>
          </w:tcPr>
          <w:p w14:paraId="787733ED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17930-2016/表4、表A.2</w:t>
            </w:r>
          </w:p>
        </w:tc>
      </w:tr>
      <w:tr w:rsidR="00090048" w14:paraId="2B714F7A" w14:textId="77777777" w:rsidTr="003C2E70">
        <w:trPr>
          <w:trHeight w:val="737"/>
        </w:trPr>
        <w:tc>
          <w:tcPr>
            <w:tcW w:w="714" w:type="pct"/>
            <w:vAlign w:val="center"/>
          </w:tcPr>
          <w:p w14:paraId="4F19028D" w14:textId="77777777" w:rsidR="00090048" w:rsidRDefault="00160EF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13</w:t>
            </w:r>
          </w:p>
        </w:tc>
        <w:tc>
          <w:tcPr>
            <w:tcW w:w="1129" w:type="pct"/>
            <w:vAlign w:val="center"/>
          </w:tcPr>
          <w:p w14:paraId="0D83BEE1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锰含量</w:t>
            </w:r>
          </w:p>
        </w:tc>
        <w:tc>
          <w:tcPr>
            <w:tcW w:w="1316" w:type="pct"/>
            <w:vAlign w:val="center"/>
          </w:tcPr>
          <w:p w14:paraId="123E878C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NB/SH/T 0711-2019</w:t>
            </w:r>
          </w:p>
        </w:tc>
        <w:tc>
          <w:tcPr>
            <w:tcW w:w="1842" w:type="pct"/>
            <w:vAlign w:val="center"/>
          </w:tcPr>
          <w:p w14:paraId="03E2B61E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17930-2016/表4、表A.2</w:t>
            </w:r>
          </w:p>
        </w:tc>
      </w:tr>
      <w:tr w:rsidR="00090048" w14:paraId="7818DFC4" w14:textId="77777777" w:rsidTr="003C2E70">
        <w:trPr>
          <w:trHeight w:val="737"/>
        </w:trPr>
        <w:tc>
          <w:tcPr>
            <w:tcW w:w="714" w:type="pct"/>
            <w:vAlign w:val="center"/>
          </w:tcPr>
          <w:p w14:paraId="3502C61A" w14:textId="77777777" w:rsidR="00090048" w:rsidRDefault="00160EF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14</w:t>
            </w:r>
          </w:p>
        </w:tc>
        <w:tc>
          <w:tcPr>
            <w:tcW w:w="1129" w:type="pct"/>
            <w:vAlign w:val="center"/>
          </w:tcPr>
          <w:p w14:paraId="46769190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密度（20℃）</w:t>
            </w:r>
          </w:p>
        </w:tc>
        <w:tc>
          <w:tcPr>
            <w:tcW w:w="1316" w:type="pct"/>
            <w:vAlign w:val="center"/>
          </w:tcPr>
          <w:p w14:paraId="4DBB0B0B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GB/T 1884-2000</w:t>
            </w:r>
          </w:p>
          <w:p w14:paraId="1BA374A6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GB/T 1885-1998</w:t>
            </w:r>
          </w:p>
        </w:tc>
        <w:tc>
          <w:tcPr>
            <w:tcW w:w="1842" w:type="pct"/>
            <w:vAlign w:val="center"/>
          </w:tcPr>
          <w:p w14:paraId="68BEBB00" w14:textId="77777777" w:rsidR="00090048" w:rsidRDefault="00160EF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17930-2016/表4、表A.2</w:t>
            </w:r>
          </w:p>
        </w:tc>
      </w:tr>
    </w:tbl>
    <w:p w14:paraId="6D4D4A33" w14:textId="77777777" w:rsidR="00090048" w:rsidRDefault="00090048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49248B3A" w14:textId="473304CF" w:rsidR="00090048" w:rsidRDefault="00160EF6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 w:rsidR="0071417A"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19FDFDEC" w14:textId="3E44B969" w:rsidR="00090048" w:rsidRDefault="00160EF6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71417A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40031602" w14:textId="77777777" w:rsidR="00090048" w:rsidRDefault="00160EF6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51702B4F" w14:textId="3759B174" w:rsidR="00090048" w:rsidRDefault="00160EF6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71417A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573A54B5" w14:textId="0715FAA4" w:rsidR="00090048" w:rsidRDefault="00160EF6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71417A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73D089E1" w14:textId="550F2B11" w:rsidR="00090048" w:rsidRDefault="00160EF6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71417A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22466CAF" w14:textId="6D10F38F" w:rsidR="00090048" w:rsidRDefault="00160EF6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71417A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090048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50661" w14:textId="77777777" w:rsidR="007B1B84" w:rsidRDefault="007B1B84">
      <w:r>
        <w:separator/>
      </w:r>
    </w:p>
  </w:endnote>
  <w:endnote w:type="continuationSeparator" w:id="0">
    <w:p w14:paraId="0DF191C5" w14:textId="77777777" w:rsidR="007B1B84" w:rsidRDefault="007B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B4E03" w14:textId="77777777" w:rsidR="00090048" w:rsidRDefault="00160EF6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066C8F14" w14:textId="77777777" w:rsidR="00090048" w:rsidRDefault="0009004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892B8" w14:textId="77777777" w:rsidR="00090048" w:rsidRDefault="00160EF6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5DC15484" w14:textId="77777777" w:rsidR="00090048" w:rsidRDefault="0009004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C33A0B" w14:textId="77777777" w:rsidR="007B1B84" w:rsidRDefault="007B1B84">
      <w:r>
        <w:separator/>
      </w:r>
    </w:p>
  </w:footnote>
  <w:footnote w:type="continuationSeparator" w:id="0">
    <w:p w14:paraId="0B99799A" w14:textId="77777777" w:rsidR="007B1B84" w:rsidRDefault="007B1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0E2DE" w14:textId="77777777" w:rsidR="00090048" w:rsidRDefault="00090048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zQ2NWU1ZjA0OTUxNmI4MGE2YmNkNWNmMTIyOTYzNzMifQ=="/>
  </w:docVars>
  <w:rsids>
    <w:rsidRoot w:val="00B525EF"/>
    <w:rsid w:val="0004724C"/>
    <w:rsid w:val="00052216"/>
    <w:rsid w:val="00060F63"/>
    <w:rsid w:val="00074373"/>
    <w:rsid w:val="000827A6"/>
    <w:rsid w:val="00090048"/>
    <w:rsid w:val="000B1B6D"/>
    <w:rsid w:val="000B2D0E"/>
    <w:rsid w:val="000C5FB2"/>
    <w:rsid w:val="000F4E64"/>
    <w:rsid w:val="00100AE3"/>
    <w:rsid w:val="00160EF6"/>
    <w:rsid w:val="00162026"/>
    <w:rsid w:val="001A1209"/>
    <w:rsid w:val="001B4DF3"/>
    <w:rsid w:val="001E5B8D"/>
    <w:rsid w:val="001F1047"/>
    <w:rsid w:val="00212C27"/>
    <w:rsid w:val="00287C7A"/>
    <w:rsid w:val="002B5BAA"/>
    <w:rsid w:val="002C1C0B"/>
    <w:rsid w:val="00355A3E"/>
    <w:rsid w:val="00392A23"/>
    <w:rsid w:val="003C2E70"/>
    <w:rsid w:val="00404A01"/>
    <w:rsid w:val="00466084"/>
    <w:rsid w:val="004670F8"/>
    <w:rsid w:val="004754B8"/>
    <w:rsid w:val="004A37F3"/>
    <w:rsid w:val="004B20D3"/>
    <w:rsid w:val="004C331D"/>
    <w:rsid w:val="004E0C75"/>
    <w:rsid w:val="00522A8A"/>
    <w:rsid w:val="00532B56"/>
    <w:rsid w:val="00545330"/>
    <w:rsid w:val="00586C1F"/>
    <w:rsid w:val="005B7B8B"/>
    <w:rsid w:val="005D10E4"/>
    <w:rsid w:val="005F2A1C"/>
    <w:rsid w:val="005F65CD"/>
    <w:rsid w:val="00634372"/>
    <w:rsid w:val="00640C75"/>
    <w:rsid w:val="006734F7"/>
    <w:rsid w:val="006C5B30"/>
    <w:rsid w:val="0071417A"/>
    <w:rsid w:val="007260B9"/>
    <w:rsid w:val="00730C62"/>
    <w:rsid w:val="007322E2"/>
    <w:rsid w:val="007869C0"/>
    <w:rsid w:val="007B1B84"/>
    <w:rsid w:val="007B2AF8"/>
    <w:rsid w:val="007D3411"/>
    <w:rsid w:val="007D4886"/>
    <w:rsid w:val="007E026F"/>
    <w:rsid w:val="00820F57"/>
    <w:rsid w:val="0086288F"/>
    <w:rsid w:val="008914CE"/>
    <w:rsid w:val="00912469"/>
    <w:rsid w:val="0093348D"/>
    <w:rsid w:val="00987AB3"/>
    <w:rsid w:val="00997070"/>
    <w:rsid w:val="009B78DE"/>
    <w:rsid w:val="009D7849"/>
    <w:rsid w:val="00A0101F"/>
    <w:rsid w:val="00A4678B"/>
    <w:rsid w:val="00A656CB"/>
    <w:rsid w:val="00A76935"/>
    <w:rsid w:val="00AA0754"/>
    <w:rsid w:val="00AB0483"/>
    <w:rsid w:val="00AC0658"/>
    <w:rsid w:val="00AD1A92"/>
    <w:rsid w:val="00AF107E"/>
    <w:rsid w:val="00B04FC5"/>
    <w:rsid w:val="00B525EF"/>
    <w:rsid w:val="00B71D10"/>
    <w:rsid w:val="00C05C9A"/>
    <w:rsid w:val="00C06A1B"/>
    <w:rsid w:val="00C36F6E"/>
    <w:rsid w:val="00C53409"/>
    <w:rsid w:val="00C56AA6"/>
    <w:rsid w:val="00C71319"/>
    <w:rsid w:val="00C77C43"/>
    <w:rsid w:val="00CD7623"/>
    <w:rsid w:val="00CF096B"/>
    <w:rsid w:val="00CF13F3"/>
    <w:rsid w:val="00D32899"/>
    <w:rsid w:val="00D913BE"/>
    <w:rsid w:val="00DE2355"/>
    <w:rsid w:val="00E15B37"/>
    <w:rsid w:val="00E42318"/>
    <w:rsid w:val="00F007ED"/>
    <w:rsid w:val="00F1679A"/>
    <w:rsid w:val="00F332CA"/>
    <w:rsid w:val="00F57ACD"/>
    <w:rsid w:val="00F8074C"/>
    <w:rsid w:val="00FB12AE"/>
    <w:rsid w:val="00FB2837"/>
    <w:rsid w:val="01415CD2"/>
    <w:rsid w:val="0BF719E6"/>
    <w:rsid w:val="0C3C3C66"/>
    <w:rsid w:val="0FE663C2"/>
    <w:rsid w:val="10264A11"/>
    <w:rsid w:val="120F76B9"/>
    <w:rsid w:val="14076907"/>
    <w:rsid w:val="176B4309"/>
    <w:rsid w:val="1A253F8B"/>
    <w:rsid w:val="20711CD8"/>
    <w:rsid w:val="21A47E8B"/>
    <w:rsid w:val="22574EFE"/>
    <w:rsid w:val="254A2AF8"/>
    <w:rsid w:val="288811D3"/>
    <w:rsid w:val="2A7228D5"/>
    <w:rsid w:val="2E1E4B22"/>
    <w:rsid w:val="2ED973C6"/>
    <w:rsid w:val="321F1AB6"/>
    <w:rsid w:val="34AB5EEB"/>
    <w:rsid w:val="35E90436"/>
    <w:rsid w:val="3BD66A3C"/>
    <w:rsid w:val="43790D20"/>
    <w:rsid w:val="440F6F8F"/>
    <w:rsid w:val="46E14C12"/>
    <w:rsid w:val="481728B6"/>
    <w:rsid w:val="48910C7F"/>
    <w:rsid w:val="53A2397B"/>
    <w:rsid w:val="540208BE"/>
    <w:rsid w:val="5601340B"/>
    <w:rsid w:val="57A06424"/>
    <w:rsid w:val="57A852D8"/>
    <w:rsid w:val="5A7A2F5C"/>
    <w:rsid w:val="5AE44879"/>
    <w:rsid w:val="5D537A94"/>
    <w:rsid w:val="5DCF7A63"/>
    <w:rsid w:val="5E930D96"/>
    <w:rsid w:val="61F564A8"/>
    <w:rsid w:val="64C058B9"/>
    <w:rsid w:val="661701F9"/>
    <w:rsid w:val="66D423B7"/>
    <w:rsid w:val="69280027"/>
    <w:rsid w:val="6F4656AB"/>
    <w:rsid w:val="711041C2"/>
    <w:rsid w:val="760360A4"/>
    <w:rsid w:val="77EC519A"/>
    <w:rsid w:val="77F264DF"/>
    <w:rsid w:val="78511348"/>
    <w:rsid w:val="7CDB7433"/>
    <w:rsid w:val="7D9D293A"/>
    <w:rsid w:val="7FDA7E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E6FC4F"/>
  <w15:docId w15:val="{7C30D5AB-59D0-4D81-87B0-DF94BC0EE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autoRedefine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autoRedefine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autoRedefine/>
    <w:uiPriority w:val="99"/>
    <w:qFormat/>
    <w:pPr>
      <w:ind w:firstLineChars="200" w:firstLine="420"/>
    </w:pPr>
  </w:style>
  <w:style w:type="paragraph" w:customStyle="1" w:styleId="ab">
    <w:name w:val="附录一级条标题"/>
    <w:basedOn w:val="a"/>
    <w:next w:val="a"/>
    <w:qFormat/>
    <w:pPr>
      <w:widowControl/>
      <w:wordWrap w:val="0"/>
      <w:overflowPunct w:val="0"/>
      <w:autoSpaceDE w:val="0"/>
      <w:autoSpaceDN w:val="0"/>
      <w:textAlignment w:val="baseline"/>
      <w:outlineLvl w:val="2"/>
    </w:pPr>
    <w:rPr>
      <w:rFonts w:ascii="黑体" w:eastAsia="黑体"/>
      <w:kern w:val="21"/>
      <w:szCs w:val="20"/>
    </w:rPr>
  </w:style>
  <w:style w:type="paragraph" w:customStyle="1" w:styleId="10">
    <w:name w:val="修订1"/>
    <w:hidden/>
    <w:uiPriority w:val="99"/>
    <w:semiHidden/>
    <w:rPr>
      <w:kern w:val="2"/>
      <w:sz w:val="21"/>
      <w:szCs w:val="24"/>
    </w:rPr>
  </w:style>
  <w:style w:type="paragraph" w:styleId="ac">
    <w:name w:val="Revision"/>
    <w:hidden/>
    <w:uiPriority w:val="99"/>
    <w:unhideWhenUsed/>
    <w:rsid w:val="0071417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6D326-34AA-4193-86C1-15926F1A5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998</Characters>
  <Application>Microsoft Office Word</Application>
  <DocSecurity>0</DocSecurity>
  <Lines>8</Lines>
  <Paragraphs>2</Paragraphs>
  <ScaleCrop>false</ScaleCrop>
  <Company>Legend (Beijing) Limited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7</cp:revision>
  <cp:lastPrinted>2019-12-05T15:53:00Z</cp:lastPrinted>
  <dcterms:created xsi:type="dcterms:W3CDTF">2024-01-30T13:50:00Z</dcterms:created>
  <dcterms:modified xsi:type="dcterms:W3CDTF">2024-02-01T02:18:00Z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5F2B0AD720304B5CAAD5FAD6922C8CE8</vt:lpwstr>
  </property>
</Properties>
</file>