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36A50">
      <w:pPr>
        <w:jc w:val="center"/>
        <w:rPr>
          <w:rFonts w:ascii="黑体" w:hAnsi="黑体" w:eastAsia="黑体" w:cs="黑体"/>
          <w:bCs/>
          <w:color w:val="auto"/>
          <w:sz w:val="36"/>
          <w:szCs w:val="36"/>
        </w:rPr>
      </w:pPr>
      <w:r>
        <w:rPr>
          <w:rFonts w:hint="eastAsia" w:ascii="黑体" w:hAnsi="黑体" w:eastAsia="黑体" w:cs="黑体"/>
          <w:bCs/>
          <w:color w:val="auto"/>
          <w:sz w:val="36"/>
          <w:szCs w:val="36"/>
        </w:rPr>
        <w:t>经营者集中简易案件公示表</w:t>
      </w:r>
    </w:p>
    <w:tbl>
      <w:tblPr>
        <w:tblStyle w:val="8"/>
        <w:tblW w:w="9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0"/>
        <w:gridCol w:w="1547"/>
        <w:gridCol w:w="6153"/>
      </w:tblGrid>
      <w:tr w14:paraId="340DF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1940" w:type="dxa"/>
            <w:shd w:val="clear" w:color="auto" w:fill="D9D9D9"/>
            <w:vAlign w:val="center"/>
          </w:tcPr>
          <w:p w14:paraId="372F8346">
            <w:pPr>
              <w:pStyle w:val="3"/>
              <w:adjustRightInd w:val="0"/>
              <w:snapToGrid w:val="0"/>
              <w:spacing w:after="0" w:line="240" w:lineRule="auto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GB"/>
              </w:rPr>
              <w:t>案件名称</w:t>
            </w:r>
          </w:p>
        </w:tc>
        <w:tc>
          <w:tcPr>
            <w:tcW w:w="7700" w:type="dxa"/>
            <w:gridSpan w:val="2"/>
            <w:vAlign w:val="center"/>
          </w:tcPr>
          <w:p w14:paraId="6A67BB5F">
            <w:pPr>
              <w:widowControl/>
              <w:snapToGrid w:val="0"/>
              <w:rPr>
                <w:rFonts w:ascii="宋体" w:hAnsi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万华化学（烟台）电池产业有限公司收购鲁银（菏泽）盐业有限公司股权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案</w:t>
            </w:r>
          </w:p>
        </w:tc>
      </w:tr>
      <w:tr w14:paraId="56063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1940" w:type="dxa"/>
            <w:shd w:val="clear" w:color="auto" w:fill="D9D9D9"/>
            <w:vAlign w:val="center"/>
          </w:tcPr>
          <w:p w14:paraId="3884FCEB">
            <w:pPr>
              <w:pStyle w:val="3"/>
              <w:adjustRightInd w:val="0"/>
              <w:snapToGrid w:val="0"/>
              <w:spacing w:after="0" w:line="240" w:lineRule="auto"/>
              <w:rPr>
                <w:rFonts w:ascii="宋体" w:hAnsi="宋体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GB" w:eastAsia="zh-CN"/>
              </w:rPr>
              <w:t>交易概况（限200字内）</w:t>
            </w:r>
          </w:p>
        </w:tc>
        <w:tc>
          <w:tcPr>
            <w:tcW w:w="7700" w:type="dxa"/>
            <w:gridSpan w:val="2"/>
            <w:vAlign w:val="center"/>
          </w:tcPr>
          <w:p w14:paraId="709A3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80" w:firstLine="0"/>
              <w:jc w:val="both"/>
              <w:textAlignment w:val="auto"/>
              <w:rPr>
                <w:rFonts w:hint="default" w:ascii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2026年9月，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万华化学（烟台）电池产业有限公司（“万华电池产业”）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与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鲁银（菏泽）盐业有限公司（“菏泽盐业”）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及其原股东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鲁银投资集团股份有限公司（“鲁银投资”）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菏泽能矿资源集团有限公司（“菏泽能矿”）、菏泽单州实业发展集团有限公司（“单州实业”）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签署协议，拟向菏泽盐业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增资3.33亿元，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取得增资后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40%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股权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。菏泽盐业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拟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从事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食盐、工业盐及电池级纯碱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的生产与销售业务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。交易前，鲁银投资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持有菏泽盐业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67%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股权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，单独控制菏泽盐业；交易后，万华电池产业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持有菏泽盐业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40%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股权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，鲁银投资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一致行动人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菏泽能矿、单州实业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合计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持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有菏泽盐业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60%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股权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，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万华电池产业和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鲁银投资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共同控制菏泽盐业。</w:t>
            </w:r>
          </w:p>
        </w:tc>
      </w:tr>
      <w:tr w14:paraId="5C8F3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2BA0A6D9">
            <w:pPr>
              <w:pStyle w:val="3"/>
              <w:adjustRightInd w:val="0"/>
              <w:snapToGrid w:val="0"/>
              <w:spacing w:after="0" w:line="240" w:lineRule="auto"/>
              <w:rPr>
                <w:rFonts w:ascii="宋体" w:hAnsi="宋体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GB" w:eastAsia="zh-CN"/>
              </w:rPr>
              <w:t>参与集中的经营者简介（每个限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eastAsia="zh-CN"/>
              </w:rPr>
              <w:t>100字以内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GB" w:eastAsia="zh-CN"/>
              </w:rPr>
              <w:t>）</w:t>
            </w:r>
          </w:p>
        </w:tc>
        <w:tc>
          <w:tcPr>
            <w:tcW w:w="1547" w:type="dxa"/>
            <w:vAlign w:val="center"/>
          </w:tcPr>
          <w:p w14:paraId="384676BF">
            <w:pPr>
              <w:pStyle w:val="3"/>
              <w:adjustRightInd w:val="0"/>
              <w:snapToGrid w:val="0"/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4"/>
                <w:szCs w:val="24"/>
                <w:lang w:eastAsia="zh-CN"/>
              </w:rPr>
              <w:t>1.</w:t>
            </w:r>
            <w:r>
              <w:rPr>
                <w:rFonts w:hint="eastAsia" w:ascii="Times New Roman" w:hAnsi="Times New Roman" w:cs="Times New Roman"/>
                <w:bCs/>
                <w:color w:val="auto"/>
                <w:sz w:val="24"/>
                <w:szCs w:val="24"/>
                <w:lang w:val="en-US" w:eastAsia="zh-CN"/>
              </w:rPr>
              <w:t>鲁银投资</w:t>
            </w:r>
          </w:p>
        </w:tc>
        <w:tc>
          <w:tcPr>
            <w:tcW w:w="6153" w:type="dxa"/>
            <w:vAlign w:val="center"/>
          </w:tcPr>
          <w:p w14:paraId="53EB7B65">
            <w:pPr>
              <w:adjustRightInd w:val="0"/>
              <w:snapToGrid w:val="0"/>
              <w:rPr>
                <w:rFonts w:hint="default" w:ascii="Times New Roman" w:hAnsi="Times New Roman" w:cs="Times New Roman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鲁银投资成立于1993年9月，注册地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为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山东省济南市，上海证券交易所上市公司，主营盐及盐化工、新材料、新能源。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鲁银投资的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最终控制人为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山东发展投资控股集团有限公司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，主要业务为国有资产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经营管理。</w:t>
            </w:r>
          </w:p>
        </w:tc>
      </w:tr>
      <w:tr w14:paraId="08380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1940" w:type="dxa"/>
            <w:vMerge w:val="continue"/>
            <w:shd w:val="clear" w:color="auto" w:fill="D9D9D9"/>
            <w:vAlign w:val="center"/>
          </w:tcPr>
          <w:p w14:paraId="378AE343">
            <w:pPr>
              <w:pStyle w:val="3"/>
              <w:adjustRightInd w:val="0"/>
              <w:snapToGrid w:val="0"/>
              <w:spacing w:after="0" w:line="240" w:lineRule="auto"/>
              <w:rPr>
                <w:rFonts w:ascii="宋体" w:hAnsi="宋体" w:cs="宋体"/>
                <w:bCs/>
                <w:color w:val="auto"/>
                <w:sz w:val="24"/>
                <w:szCs w:val="24"/>
                <w:lang w:val="en-GB" w:eastAsia="zh-CN"/>
              </w:rPr>
            </w:pPr>
          </w:p>
        </w:tc>
        <w:tc>
          <w:tcPr>
            <w:tcW w:w="1547" w:type="dxa"/>
            <w:vAlign w:val="center"/>
          </w:tcPr>
          <w:p w14:paraId="479B1AF7">
            <w:pPr>
              <w:pStyle w:val="3"/>
              <w:adjustRightInd w:val="0"/>
              <w:snapToGrid w:val="0"/>
              <w:spacing w:after="0" w:line="240" w:lineRule="auto"/>
              <w:rPr>
                <w:rFonts w:hint="default" w:ascii="Times New Roman" w:hAnsi="Times New Roman" w:cs="Times New Roman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4"/>
                <w:szCs w:val="24"/>
                <w:lang w:eastAsia="zh-CN"/>
              </w:rPr>
              <w:t>2.</w:t>
            </w:r>
            <w:r>
              <w:rPr>
                <w:rFonts w:hint="eastAsia" w:ascii="Times New Roman" w:hAnsi="Times New Roman" w:cs="Times New Roman"/>
                <w:bCs/>
                <w:color w:val="auto"/>
                <w:sz w:val="24"/>
                <w:szCs w:val="24"/>
                <w:lang w:val="en-US" w:eastAsia="zh-CN"/>
              </w:rPr>
              <w:t>万华电池产业</w:t>
            </w:r>
          </w:p>
        </w:tc>
        <w:tc>
          <w:tcPr>
            <w:tcW w:w="6153" w:type="dxa"/>
            <w:vAlign w:val="center"/>
          </w:tcPr>
          <w:p w14:paraId="6376B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both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theme="minorBidi"/>
                <w:color w:val="000000"/>
                <w:sz w:val="24"/>
                <w:szCs w:val="24"/>
                <w:lang w:val="en-US" w:eastAsia="zh-CN"/>
              </w:rPr>
              <w:t>万华电池产业</w:t>
            </w: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</w:rPr>
              <w:t>成立于2023年12月，注册地</w:t>
            </w:r>
            <w:r>
              <w:rPr>
                <w:rFonts w:hint="eastAsia" w:ascii="宋体" w:hAnsi="宋体" w:cstheme="minorBidi"/>
                <w:color w:val="000000"/>
                <w:sz w:val="24"/>
                <w:szCs w:val="24"/>
                <w:lang w:val="en-US" w:eastAsia="zh-CN"/>
              </w:rPr>
              <w:t>为</w:t>
            </w: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</w:rPr>
              <w:t>山东省烟台市，主营电池正极材料、电池化学品的生产销售。</w:t>
            </w:r>
          </w:p>
          <w:p w14:paraId="0A07679F">
            <w:pPr>
              <w:adjustRightInd w:val="0"/>
              <w:snapToGrid w:val="0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-AE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lang w:val="en-US" w:eastAsia="zh-CN"/>
              </w:rPr>
              <w:t>万华电池产业的</w:t>
            </w: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</w:rPr>
              <w:t>最终控制人为烟台国丰投资控股集团有限公司，主要业务为国有资产投资运营与管理等。</w:t>
            </w:r>
          </w:p>
        </w:tc>
      </w:tr>
      <w:tr w14:paraId="2D10D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4C64EF88">
            <w:pPr>
              <w:pStyle w:val="3"/>
              <w:adjustRightInd w:val="0"/>
              <w:snapToGrid w:val="0"/>
              <w:spacing w:after="0" w:line="240" w:lineRule="auto"/>
              <w:rPr>
                <w:rFonts w:ascii="宋体" w:hAnsi="宋体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GB" w:eastAsia="zh-CN"/>
              </w:rPr>
              <w:t>简易案件理由（可以单选，也可以多选）</w:t>
            </w:r>
          </w:p>
        </w:tc>
        <w:tc>
          <w:tcPr>
            <w:tcW w:w="7700" w:type="dxa"/>
            <w:gridSpan w:val="2"/>
            <w:vAlign w:val="center"/>
          </w:tcPr>
          <w:p w14:paraId="1FD288F3">
            <w:pPr>
              <w:pStyle w:val="3"/>
              <w:adjustRightInd w:val="0"/>
              <w:snapToGrid w:val="0"/>
              <w:spacing w:after="0" w:line="240" w:lineRule="auto"/>
              <w:rPr>
                <w:rFonts w:ascii="宋体" w:hAnsi="宋体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GB" w:eastAsia="zh-CN"/>
              </w:rPr>
              <w:sym w:font="Wingdings" w:char="00A8"/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GB" w:eastAsia="zh-CN"/>
              </w:rPr>
              <w:t xml:space="preserve"> 1、在同一相关市场，所有参与集中的经营者所占市场份额之和小于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eastAsia="zh-CN"/>
              </w:rPr>
              <w:t>15%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GB" w:eastAsia="zh-CN"/>
              </w:rPr>
              <w:t>。</w:t>
            </w:r>
          </w:p>
        </w:tc>
      </w:tr>
      <w:tr w14:paraId="4C80A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940" w:type="dxa"/>
            <w:vMerge w:val="continue"/>
            <w:shd w:val="clear" w:color="auto" w:fill="D9D9D9"/>
            <w:vAlign w:val="center"/>
          </w:tcPr>
          <w:p w14:paraId="3B4DA136">
            <w:pPr>
              <w:pStyle w:val="3"/>
              <w:adjustRightInd w:val="0"/>
              <w:snapToGrid w:val="0"/>
              <w:spacing w:after="0" w:line="240" w:lineRule="auto"/>
              <w:rPr>
                <w:rFonts w:ascii="宋体" w:hAnsi="宋体" w:cs="宋体"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14D61436">
            <w:pPr>
              <w:pStyle w:val="3"/>
              <w:adjustRightInd w:val="0"/>
              <w:snapToGrid w:val="0"/>
              <w:spacing w:after="0" w:line="240" w:lineRule="auto"/>
              <w:rPr>
                <w:rFonts w:ascii="宋体" w:hAnsi="宋体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GB" w:eastAsia="zh-CN"/>
              </w:rPr>
              <w:sym w:font="Wingdings" w:char="00FE"/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GB" w:eastAsia="zh-CN"/>
              </w:rPr>
              <w:t xml:space="preserve"> 2、存在上下游关系的参与集中的经营者，在上下游市场所占的市场份额均小于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eastAsia="zh-CN"/>
              </w:rPr>
              <w:t>25%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GB" w:eastAsia="zh-CN"/>
              </w:rPr>
              <w:t>。</w:t>
            </w:r>
          </w:p>
        </w:tc>
      </w:tr>
      <w:tr w14:paraId="455A4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40" w:type="dxa"/>
            <w:vMerge w:val="continue"/>
            <w:shd w:val="clear" w:color="auto" w:fill="D9D9D9"/>
            <w:vAlign w:val="center"/>
          </w:tcPr>
          <w:p w14:paraId="3E5E2BDF">
            <w:pPr>
              <w:pStyle w:val="3"/>
              <w:adjustRightInd w:val="0"/>
              <w:snapToGrid w:val="0"/>
              <w:spacing w:after="0" w:line="240" w:lineRule="auto"/>
              <w:rPr>
                <w:rFonts w:ascii="宋体" w:hAnsi="宋体" w:cs="宋体"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3EB55E76">
            <w:pPr>
              <w:pStyle w:val="3"/>
              <w:adjustRightInd w:val="0"/>
              <w:snapToGrid w:val="0"/>
              <w:spacing w:after="0" w:line="240" w:lineRule="auto"/>
              <w:rPr>
                <w:rFonts w:ascii="宋体" w:hAnsi="宋体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GB" w:eastAsia="zh-CN"/>
              </w:rPr>
              <w:sym w:font="Wingdings" w:char="00FE"/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GB" w:eastAsia="zh-CN"/>
              </w:rPr>
              <w:t xml:space="preserve"> 3、不在同一相关市场、也不存在上下游关系的参与集中的经营者，在与交易有关的每个市场所占的份额均小于25%。</w:t>
            </w:r>
          </w:p>
        </w:tc>
      </w:tr>
      <w:tr w14:paraId="16683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940" w:type="dxa"/>
            <w:vMerge w:val="continue"/>
            <w:shd w:val="clear" w:color="auto" w:fill="D9D9D9"/>
            <w:vAlign w:val="center"/>
          </w:tcPr>
          <w:p w14:paraId="76C0A61B">
            <w:pPr>
              <w:pStyle w:val="3"/>
              <w:adjustRightInd w:val="0"/>
              <w:snapToGrid w:val="0"/>
              <w:spacing w:after="0" w:line="240" w:lineRule="auto"/>
              <w:rPr>
                <w:rFonts w:ascii="宋体" w:hAnsi="宋体" w:cs="宋体"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6CF6DD74">
            <w:pPr>
              <w:pStyle w:val="3"/>
              <w:adjustRightInd w:val="0"/>
              <w:snapToGrid w:val="0"/>
              <w:spacing w:after="0" w:line="240" w:lineRule="auto"/>
              <w:rPr>
                <w:rFonts w:ascii="宋体" w:hAnsi="宋体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GB" w:eastAsia="zh-CN"/>
              </w:rPr>
              <w:sym w:font="Wingdings" w:char="00A8"/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GB" w:eastAsia="zh-CN"/>
              </w:rPr>
              <w:t xml:space="preserve"> 4、参与集中的经营者在中国境外设立合营企业，合营企业不在中国境内从事经济活动。</w:t>
            </w:r>
          </w:p>
        </w:tc>
      </w:tr>
      <w:tr w14:paraId="5E427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940" w:type="dxa"/>
            <w:vMerge w:val="continue"/>
            <w:shd w:val="clear" w:color="auto" w:fill="D9D9D9"/>
            <w:vAlign w:val="center"/>
          </w:tcPr>
          <w:p w14:paraId="66EB496B">
            <w:pPr>
              <w:pStyle w:val="3"/>
              <w:adjustRightInd w:val="0"/>
              <w:snapToGrid w:val="0"/>
              <w:spacing w:after="0" w:line="240" w:lineRule="auto"/>
              <w:rPr>
                <w:rFonts w:ascii="宋体" w:hAnsi="宋体" w:cs="宋体"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6FD94EF6">
            <w:pPr>
              <w:pStyle w:val="3"/>
              <w:adjustRightInd w:val="0"/>
              <w:snapToGrid w:val="0"/>
              <w:spacing w:after="0" w:line="240" w:lineRule="auto"/>
              <w:rPr>
                <w:rFonts w:ascii="宋体" w:hAnsi="宋体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GB" w:eastAsia="zh-CN"/>
              </w:rPr>
              <w:sym w:font="Wingdings" w:char="00A8"/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GB" w:eastAsia="zh-CN"/>
              </w:rPr>
              <w:t xml:space="preserve"> 5、参与集中的经营者收购境外企业股权或资产的，该境外企业不在中国境内从事经济活动。</w:t>
            </w:r>
          </w:p>
        </w:tc>
      </w:tr>
      <w:tr w14:paraId="6B280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940" w:type="dxa"/>
            <w:vMerge w:val="continue"/>
            <w:shd w:val="clear" w:color="auto" w:fill="D9D9D9"/>
            <w:vAlign w:val="center"/>
          </w:tcPr>
          <w:p w14:paraId="26A9B663">
            <w:pPr>
              <w:pStyle w:val="3"/>
              <w:adjustRightInd w:val="0"/>
              <w:snapToGrid w:val="0"/>
              <w:spacing w:after="0" w:line="240" w:lineRule="auto"/>
              <w:rPr>
                <w:rFonts w:ascii="宋体" w:hAnsi="宋体" w:cs="宋体"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586C4AD3">
            <w:pPr>
              <w:pStyle w:val="3"/>
              <w:adjustRightInd w:val="0"/>
              <w:snapToGrid w:val="0"/>
              <w:spacing w:after="0" w:line="240" w:lineRule="auto"/>
              <w:rPr>
                <w:rFonts w:ascii="宋体" w:hAnsi="宋体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GB" w:eastAsia="zh-CN"/>
              </w:rPr>
              <w:sym w:font="Wingdings" w:char="00A8"/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GB" w:eastAsia="zh-CN"/>
              </w:rPr>
              <w:t xml:space="preserve"> 6、由两个以上的经营者共同控制的合营企业，通过集中被其中一个或一个以上经营者控制。</w:t>
            </w:r>
          </w:p>
        </w:tc>
      </w:tr>
      <w:tr w14:paraId="24DCE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940" w:type="dxa"/>
            <w:shd w:val="clear" w:color="auto" w:fill="D9D9D9"/>
            <w:vAlign w:val="center"/>
          </w:tcPr>
          <w:p w14:paraId="24249A0A">
            <w:pPr>
              <w:pStyle w:val="3"/>
              <w:adjustRightInd w:val="0"/>
              <w:snapToGrid w:val="0"/>
              <w:spacing w:after="0" w:line="240" w:lineRule="auto"/>
              <w:rPr>
                <w:rFonts w:ascii="宋体" w:hAnsi="宋体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eastAsia="zh-CN"/>
              </w:rPr>
              <w:t>备注</w:t>
            </w:r>
          </w:p>
        </w:tc>
        <w:tc>
          <w:tcPr>
            <w:tcW w:w="7700" w:type="dxa"/>
            <w:gridSpan w:val="2"/>
            <w:vAlign w:val="center"/>
          </w:tcPr>
          <w:p w14:paraId="50161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宋体" w:hAnsi="宋体" w:cs="宋体"/>
                <w:b/>
                <w:color w:val="auto"/>
                <w:kern w:val="0"/>
                <w:sz w:val="24"/>
                <w:lang w:val="en-GB" w:eastAsia="zh-CN" w:bidi="ar-A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lang w:val="en-US" w:eastAsia="zh-CN" w:bidi="ar-AE"/>
              </w:rPr>
              <w:t>纵向关联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lang w:val="en-GB" w:eastAsia="zh-CN" w:bidi="ar-AE"/>
              </w:rPr>
              <w:t>：</w:t>
            </w:r>
          </w:p>
          <w:p w14:paraId="44C92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highlight w:val="none"/>
                <w:lang w:val="en-GB" w:eastAsia="zh-CN" w:bidi="ar-A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24"/>
                <w:lang w:val="en-US" w:eastAsia="zh-CN" w:bidi="ar-AE"/>
              </w:rPr>
              <w:t>上游：2025年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GB" w:bidi="ar-AE"/>
              </w:rPr>
              <w:t>中国境内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 w:bidi="ar-AE"/>
              </w:rPr>
              <w:t>电池级纯碱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GB" w:bidi="ar-AE"/>
              </w:rPr>
              <w:t>市场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highlight w:val="none"/>
                <w:lang w:val="en-GB" w:eastAsia="zh-CN" w:bidi="ar-AE"/>
              </w:rPr>
              <w:t>：</w:t>
            </w:r>
          </w:p>
          <w:p w14:paraId="6A406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GB" w:bidi="ar-A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 w:bidi="ar-AE"/>
              </w:rPr>
              <w:t>鲁银投资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GB" w:bidi="ar-AE"/>
              </w:rPr>
              <w:t>：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 w:bidi="ar-AE"/>
              </w:rPr>
              <w:t>0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GB" w:bidi="ar-AE"/>
              </w:rPr>
              <w:t>-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 w:bidi="ar-AE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GB" w:bidi="ar-AE"/>
              </w:rPr>
              <w:t>%</w:t>
            </w:r>
          </w:p>
          <w:p w14:paraId="0A4E0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highlight w:val="none"/>
                <w:lang w:val="en-GB" w:eastAsia="zh-CN" w:bidi="ar-A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lang w:val="en-US" w:eastAsia="zh-CN" w:bidi="ar-AE"/>
              </w:rPr>
              <w:t>下游：2025年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GB" w:bidi="ar-AE"/>
              </w:rPr>
              <w:t>中国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lang w:val="en-US" w:eastAsia="zh-CN" w:bidi="ar-AE"/>
              </w:rPr>
              <w:t>境内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 w:bidi="ar-AE"/>
              </w:rPr>
              <w:t>钠离子电池正极材料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highlight w:val="none"/>
                <w:lang w:val="en-GB" w:bidi="ar-AE"/>
              </w:rPr>
              <w:t>市场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highlight w:val="none"/>
                <w:lang w:val="en-GB" w:eastAsia="zh-CN" w:bidi="ar-AE"/>
              </w:rPr>
              <w:t>：</w:t>
            </w:r>
          </w:p>
          <w:p w14:paraId="57295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 w:bidi="ar-A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 w:bidi="ar-AE"/>
              </w:rPr>
              <w:t>万华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GB" w:bidi="ar-AE"/>
              </w:rPr>
              <w:t>电池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 w:bidi="ar-AE"/>
              </w:rPr>
              <w:t>产业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GB" w:bidi="ar-AE"/>
              </w:rPr>
              <w:t>：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 w:bidi="ar-AE"/>
              </w:rPr>
              <w:t>0-5%</w:t>
            </w:r>
          </w:p>
          <w:p w14:paraId="5DB25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宋体" w:hAnsi="宋体" w:cs="宋体"/>
                <w:b/>
                <w:bCs w:val="0"/>
                <w:color w:val="auto"/>
                <w:kern w:val="0"/>
                <w:sz w:val="24"/>
                <w:lang w:val="en-US" w:eastAsia="zh-CN" w:bidi="ar-AE"/>
              </w:rPr>
            </w:pPr>
            <w:r>
              <w:rPr>
                <w:rFonts w:hint="default" w:ascii="宋体" w:hAnsi="宋体" w:cs="宋体"/>
                <w:b/>
                <w:bCs w:val="0"/>
                <w:color w:val="auto"/>
                <w:kern w:val="0"/>
                <w:sz w:val="24"/>
                <w:lang w:val="en-US" w:eastAsia="zh-CN" w:bidi="ar-AE"/>
              </w:rPr>
              <w:t>混合集中：</w:t>
            </w:r>
          </w:p>
          <w:p w14:paraId="2CDE04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kern w:val="0"/>
                <w:sz w:val="24"/>
                <w:lang w:val="en-US" w:eastAsia="zh-CN" w:bidi="ar-A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24"/>
                <w:lang w:val="en-US" w:eastAsia="zh-CN" w:bidi="ar-AE"/>
              </w:rPr>
              <w:t>1.</w:t>
            </w:r>
            <w:r>
              <w:rPr>
                <w:rFonts w:hint="default" w:ascii="宋体" w:hAnsi="宋体" w:cs="宋体"/>
                <w:b w:val="0"/>
                <w:bCs/>
                <w:color w:val="auto"/>
                <w:kern w:val="0"/>
                <w:sz w:val="24"/>
                <w:lang w:val="en-US" w:eastAsia="zh-CN" w:bidi="ar-AE"/>
              </w:rPr>
              <w:t>202</w:t>
            </w:r>
            <w:r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24"/>
                <w:lang w:val="en-US" w:eastAsia="zh-CN" w:bidi="ar-AE"/>
              </w:rPr>
              <w:t>5</w:t>
            </w:r>
            <w:r>
              <w:rPr>
                <w:rFonts w:hint="default" w:ascii="宋体" w:hAnsi="宋体" w:cs="宋体"/>
                <w:b w:val="0"/>
                <w:bCs/>
                <w:color w:val="auto"/>
                <w:kern w:val="0"/>
                <w:sz w:val="24"/>
                <w:lang w:val="en-US" w:eastAsia="zh-CN" w:bidi="ar-AE"/>
              </w:rPr>
              <w:t>年中国境内</w:t>
            </w:r>
            <w:r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24"/>
                <w:lang w:val="en-US" w:eastAsia="zh-CN" w:bidi="ar-AE"/>
              </w:rPr>
              <w:t>食盐</w:t>
            </w:r>
            <w:r>
              <w:rPr>
                <w:rFonts w:hint="default" w:ascii="宋体" w:hAnsi="宋体" w:cs="宋体"/>
                <w:b w:val="0"/>
                <w:bCs/>
                <w:color w:val="auto"/>
                <w:kern w:val="0"/>
                <w:sz w:val="24"/>
                <w:lang w:val="en-US" w:eastAsia="zh-CN" w:bidi="ar-AE"/>
              </w:rPr>
              <w:t>市场：</w:t>
            </w:r>
          </w:p>
          <w:p w14:paraId="3E31F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kern w:val="0"/>
                <w:sz w:val="24"/>
                <w:lang w:val="en-US" w:eastAsia="zh-CN" w:bidi="ar-A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24"/>
                <w:lang w:val="en-US" w:eastAsia="zh-CN" w:bidi="ar-AE"/>
              </w:rPr>
              <w:t>鲁银投资</w:t>
            </w:r>
            <w:r>
              <w:rPr>
                <w:rFonts w:hint="default" w:ascii="宋体" w:hAnsi="宋体" w:cs="宋体"/>
                <w:b w:val="0"/>
                <w:bCs/>
                <w:color w:val="auto"/>
                <w:kern w:val="0"/>
                <w:sz w:val="24"/>
                <w:lang w:val="en-US" w:eastAsia="zh-CN" w:bidi="ar-AE"/>
              </w:rPr>
              <w:t>：0-5%</w:t>
            </w:r>
          </w:p>
          <w:p w14:paraId="50711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kern w:val="0"/>
                <w:sz w:val="24"/>
                <w:lang w:val="en-US" w:eastAsia="zh-CN" w:bidi="ar-A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24"/>
                <w:lang w:val="en-US" w:eastAsia="zh-CN" w:bidi="ar-AE"/>
              </w:rPr>
              <w:t>2.</w:t>
            </w:r>
            <w:r>
              <w:rPr>
                <w:rFonts w:hint="default" w:ascii="宋体" w:hAnsi="宋体" w:cs="宋体"/>
                <w:b w:val="0"/>
                <w:bCs/>
                <w:color w:val="auto"/>
                <w:kern w:val="0"/>
                <w:sz w:val="24"/>
                <w:lang w:val="en-US" w:eastAsia="zh-CN" w:bidi="ar-AE"/>
              </w:rPr>
              <w:t>202</w:t>
            </w:r>
            <w:r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24"/>
                <w:lang w:val="en-US" w:eastAsia="zh-CN" w:bidi="ar-AE"/>
              </w:rPr>
              <w:t>5</w:t>
            </w:r>
            <w:r>
              <w:rPr>
                <w:rFonts w:hint="default" w:ascii="宋体" w:hAnsi="宋体" w:cs="宋体"/>
                <w:b w:val="0"/>
                <w:bCs/>
                <w:color w:val="auto"/>
                <w:kern w:val="0"/>
                <w:sz w:val="24"/>
                <w:lang w:val="en-US" w:eastAsia="zh-CN" w:bidi="ar-AE"/>
              </w:rPr>
              <w:t>年中国境内</w:t>
            </w:r>
            <w:r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24"/>
                <w:lang w:val="en-US" w:eastAsia="zh-CN" w:bidi="ar-AE"/>
              </w:rPr>
              <w:t>工业盐</w:t>
            </w:r>
            <w:r>
              <w:rPr>
                <w:rFonts w:hint="default" w:ascii="宋体" w:hAnsi="宋体" w:cs="宋体"/>
                <w:b w:val="0"/>
                <w:bCs/>
                <w:color w:val="auto"/>
                <w:kern w:val="0"/>
                <w:sz w:val="24"/>
                <w:lang w:val="en-US" w:eastAsia="zh-CN" w:bidi="ar-AE"/>
              </w:rPr>
              <w:t>市场：</w:t>
            </w:r>
          </w:p>
          <w:p w14:paraId="7F6C6B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kern w:val="0"/>
                <w:sz w:val="24"/>
                <w:lang w:val="en-US" w:eastAsia="zh-CN" w:bidi="ar-A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24"/>
                <w:lang w:val="en-US" w:eastAsia="zh-CN" w:bidi="ar-AE"/>
              </w:rPr>
              <w:t>鲁银投资</w:t>
            </w:r>
            <w:r>
              <w:rPr>
                <w:rFonts w:hint="default" w:ascii="宋体" w:hAnsi="宋体" w:cs="宋体"/>
                <w:b w:val="0"/>
                <w:bCs/>
                <w:color w:val="auto"/>
                <w:kern w:val="0"/>
                <w:sz w:val="24"/>
                <w:lang w:val="en-US" w:eastAsia="zh-CN" w:bidi="ar-AE"/>
              </w:rPr>
              <w:t>：0-5%</w:t>
            </w:r>
          </w:p>
        </w:tc>
      </w:tr>
    </w:tbl>
    <w:p w14:paraId="73A43DF4">
      <w:pPr>
        <w:rPr>
          <w:color w:val="auto"/>
        </w:rPr>
      </w:pPr>
    </w:p>
    <w:p w14:paraId="1D5D4F65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G Times">
    <w:altName w:val="Microsoft YaHei UI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F94296"/>
    <w:rsid w:val="00750FB4"/>
    <w:rsid w:val="008A0031"/>
    <w:rsid w:val="009F0ACB"/>
    <w:rsid w:val="00F57933"/>
    <w:rsid w:val="01BC741D"/>
    <w:rsid w:val="026B3344"/>
    <w:rsid w:val="033C0E47"/>
    <w:rsid w:val="044C0C16"/>
    <w:rsid w:val="046967AC"/>
    <w:rsid w:val="049B69AA"/>
    <w:rsid w:val="09F74173"/>
    <w:rsid w:val="0A111161"/>
    <w:rsid w:val="0D1A49C7"/>
    <w:rsid w:val="0D7D66AF"/>
    <w:rsid w:val="0F2D78F0"/>
    <w:rsid w:val="0F8314CF"/>
    <w:rsid w:val="11F970A4"/>
    <w:rsid w:val="13DA5F6C"/>
    <w:rsid w:val="1594066F"/>
    <w:rsid w:val="15D86F92"/>
    <w:rsid w:val="1A0F2F14"/>
    <w:rsid w:val="1B4E3668"/>
    <w:rsid w:val="1D540E0F"/>
    <w:rsid w:val="1F710978"/>
    <w:rsid w:val="1FAB29D4"/>
    <w:rsid w:val="216C7BE6"/>
    <w:rsid w:val="2208041A"/>
    <w:rsid w:val="24E52C95"/>
    <w:rsid w:val="26BC2B71"/>
    <w:rsid w:val="2C13228F"/>
    <w:rsid w:val="2C7F4C87"/>
    <w:rsid w:val="39F80AAB"/>
    <w:rsid w:val="3CF94296"/>
    <w:rsid w:val="403C0094"/>
    <w:rsid w:val="413D5C30"/>
    <w:rsid w:val="444A6DEE"/>
    <w:rsid w:val="47382D2F"/>
    <w:rsid w:val="48D06467"/>
    <w:rsid w:val="4C475C21"/>
    <w:rsid w:val="4D9966DC"/>
    <w:rsid w:val="55594E94"/>
    <w:rsid w:val="58323E01"/>
    <w:rsid w:val="5CA13F40"/>
    <w:rsid w:val="61422649"/>
    <w:rsid w:val="614D53BF"/>
    <w:rsid w:val="65D3041F"/>
    <w:rsid w:val="66056F5E"/>
    <w:rsid w:val="66873D26"/>
    <w:rsid w:val="676509E6"/>
    <w:rsid w:val="6C57134F"/>
    <w:rsid w:val="70735317"/>
    <w:rsid w:val="70DE6288"/>
    <w:rsid w:val="763F3E11"/>
    <w:rsid w:val="768F7938"/>
    <w:rsid w:val="79262C46"/>
    <w:rsid w:val="7A9E5EA4"/>
    <w:rsid w:val="7AED5135"/>
    <w:rsid w:val="7FC1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widowControl/>
      <w:spacing w:after="240" w:line="288" w:lineRule="auto"/>
    </w:pPr>
    <w:rPr>
      <w:rFonts w:ascii="CG Times" w:hAnsi="CG Times"/>
      <w:kern w:val="0"/>
      <w:sz w:val="22"/>
      <w:szCs w:val="20"/>
      <w:lang w:eastAsia="en-US"/>
    </w:r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"/>
    <w:basedOn w:val="3"/>
    <w:qFormat/>
    <w:uiPriority w:val="0"/>
    <w:pPr>
      <w:ind w:firstLine="420" w:firstLineChars="100"/>
    </w:pPr>
  </w:style>
  <w:style w:type="table" w:styleId="9">
    <w:name w:val="Table Grid"/>
    <w:basedOn w:val="8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页脚 字符"/>
    <w:basedOn w:val="10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批注框文本 字符"/>
    <w:basedOn w:val="10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889</Words>
  <Characters>954</Characters>
  <Lines>6</Lines>
  <Paragraphs>1</Paragraphs>
  <TotalTime>6</TotalTime>
  <ScaleCrop>false</ScaleCrop>
  <LinksUpToDate>false</LinksUpToDate>
  <CharactersWithSpaces>960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2025-05-29T23:44:00Z</dcterms:created>
  <dc:creator>GH</dc:creator>
  <cp:lastModifiedBy>GH</cp:lastModifiedBy>
  <dcterms:modified xsi:type="dcterms:W3CDTF">2026-09-24T06:56:31Z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30452D4DEC174D77BC4DC8E214198047_11</vt:lpwstr>
  </property>
  <property fmtid="{D5CDD505-2E9C-101B-9397-08002B2CF9AE}" pid="4" name="KSOTemplateDocerSaveRecord">
    <vt:lpwstr>eyJoZGlkIjoiMzEwNTM5NzYwMDRjMzkwZTVkZjY2ODkwMGIxNGU0OTUiLCJ1c2VySWQiOiI5NDUzMjI2MzUifQ==</vt:lpwstr>
  </property>
</Properties>
</file>