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C60C25">
      <w:pPr>
        <w:jc w:val="center"/>
        <w:rPr>
          <w:rFonts w:hint="eastAsia" w:ascii="方正小标宋_GBK" w:hAnsi="方正小标宋_GBK" w:eastAsia="方正小标宋_GBK" w:cs="方正小标宋_GBK"/>
          <w:sz w:val="44"/>
          <w:szCs w:val="44"/>
        </w:rPr>
      </w:pPr>
      <w:bookmarkStart w:id="0" w:name="OLE_LINK6"/>
      <w:r>
        <w:rPr>
          <w:rFonts w:hint="eastAsia" w:ascii="方正小标宋_GBK" w:hAnsi="方正小标宋_GBK" w:eastAsia="方正小标宋_GBK" w:cs="方正小标宋_GBK"/>
          <w:sz w:val="44"/>
          <w:szCs w:val="44"/>
        </w:rPr>
        <w:t>经营者集中简易案件公示表</w:t>
      </w:r>
    </w:p>
    <w:tbl>
      <w:tblPr>
        <w:tblStyle w:val="7"/>
        <w:tblW w:w="964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0"/>
        <w:gridCol w:w="1746"/>
        <w:gridCol w:w="5954"/>
      </w:tblGrid>
      <w:tr w14:paraId="12A76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1940" w:type="dxa"/>
            <w:shd w:val="clear" w:color="auto" w:fill="D9D9D9"/>
            <w:vAlign w:val="center"/>
          </w:tcPr>
          <w:p w14:paraId="7E6C7DD7">
            <w:pPr>
              <w:adjustRightInd w:val="0"/>
              <w:snapToGrid w:val="0"/>
              <w:spacing w:after="0"/>
              <w:rPr>
                <w:rFonts w:cs="宋体"/>
                <w:bCs/>
                <w:color w:val="000000"/>
                <w:lang w:val="en-US" w:eastAsia="en-GB"/>
              </w:rPr>
            </w:pPr>
            <w:r>
              <w:rPr>
                <w:rFonts w:hint="eastAsia" w:cs="宋体"/>
                <w:bCs/>
                <w:color w:val="000000"/>
                <w:lang w:eastAsia="en-GB"/>
              </w:rPr>
              <w:t>案件名称</w:t>
            </w:r>
          </w:p>
        </w:tc>
        <w:tc>
          <w:tcPr>
            <w:tcW w:w="7700" w:type="dxa"/>
            <w:gridSpan w:val="2"/>
            <w:vAlign w:val="center"/>
          </w:tcPr>
          <w:p w14:paraId="5DDB28AB">
            <w:pPr>
              <w:adjustRightInd w:val="0"/>
              <w:snapToGrid w:val="0"/>
              <w:spacing w:after="0"/>
              <w:rPr>
                <w:rFonts w:cs="宋体"/>
                <w:highlight w:val="yellow"/>
                <w:lang w:val="en-US"/>
              </w:rPr>
            </w:pPr>
            <w:r>
              <w:rPr>
                <w:rFonts w:hint="eastAsia"/>
                <w:szCs w:val="21"/>
              </w:rPr>
              <w:t>六安市产业投资</w:t>
            </w:r>
            <w:r>
              <w:rPr>
                <w:rFonts w:hint="eastAsia"/>
                <w:szCs w:val="21"/>
                <w:lang w:val="en-US" w:eastAsia="zh-CN"/>
              </w:rPr>
              <w:t>发展</w:t>
            </w:r>
            <w:r>
              <w:rPr>
                <w:rFonts w:hint="eastAsia"/>
                <w:szCs w:val="21"/>
              </w:rPr>
              <w:t>有限公司</w:t>
            </w:r>
            <w:r>
              <w:rPr>
                <w:rFonts w:hint="eastAsia"/>
                <w:szCs w:val="21"/>
                <w:lang w:val="en-US" w:eastAsia="zh-CN"/>
              </w:rPr>
              <w:t>与</w:t>
            </w:r>
            <w:r>
              <w:rPr>
                <w:rFonts w:hint="eastAsia" w:cs="宋体"/>
                <w:bCs/>
                <w:color w:val="000000"/>
              </w:rPr>
              <w:t>安徽国控资本私募基金管理有限公司等经营者新设合营企业案</w:t>
            </w:r>
          </w:p>
        </w:tc>
      </w:tr>
      <w:tr w14:paraId="19132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1" w:hRule="atLeast"/>
        </w:trPr>
        <w:tc>
          <w:tcPr>
            <w:tcW w:w="1940" w:type="dxa"/>
            <w:shd w:val="clear" w:color="auto" w:fill="D9D9D9"/>
            <w:vAlign w:val="center"/>
          </w:tcPr>
          <w:p w14:paraId="700F35EB">
            <w:pPr>
              <w:adjustRightInd w:val="0"/>
              <w:snapToGrid w:val="0"/>
              <w:spacing w:after="0"/>
              <w:rPr>
                <w:rFonts w:cs="宋体"/>
                <w:bCs/>
                <w:color w:val="000000"/>
                <w:lang w:val="en-US"/>
              </w:rPr>
            </w:pPr>
            <w:r>
              <w:rPr>
                <w:rFonts w:hint="eastAsia" w:cs="宋体"/>
                <w:bCs/>
                <w:color w:val="000000"/>
              </w:rPr>
              <w:t>交易概况（限200字内）</w:t>
            </w:r>
          </w:p>
        </w:tc>
        <w:tc>
          <w:tcPr>
            <w:tcW w:w="7700" w:type="dxa"/>
            <w:gridSpan w:val="2"/>
            <w:vAlign w:val="center"/>
          </w:tcPr>
          <w:p w14:paraId="403FE64B">
            <w:pPr>
              <w:adjustRightInd w:val="0"/>
              <w:snapToGrid w:val="0"/>
              <w:spacing w:after="0"/>
              <w:rPr>
                <w:rFonts w:cs="宋体"/>
                <w:bCs/>
                <w:color w:val="000000"/>
              </w:rPr>
            </w:pPr>
            <w:r>
              <w:rPr>
                <w:rFonts w:hint="eastAsia"/>
                <w:szCs w:val="21"/>
              </w:rPr>
              <w:t>六安市产业投资</w:t>
            </w:r>
            <w:r>
              <w:rPr>
                <w:rFonts w:hint="eastAsia"/>
                <w:szCs w:val="21"/>
                <w:lang w:val="en-US" w:eastAsia="zh-CN"/>
              </w:rPr>
              <w:t>发展</w:t>
            </w:r>
            <w:r>
              <w:rPr>
                <w:rFonts w:hint="eastAsia"/>
                <w:szCs w:val="21"/>
              </w:rPr>
              <w:t>有限公司（“</w:t>
            </w:r>
            <w:r>
              <w:rPr>
                <w:rFonts w:hint="eastAsia"/>
                <w:b/>
                <w:bCs/>
                <w:szCs w:val="21"/>
              </w:rPr>
              <w:t>六安产投</w:t>
            </w:r>
            <w:r>
              <w:rPr>
                <w:rFonts w:hint="eastAsia"/>
                <w:szCs w:val="21"/>
              </w:rPr>
              <w:t>”）</w:t>
            </w:r>
            <w:r>
              <w:rPr>
                <w:rFonts w:hint="eastAsia"/>
                <w:szCs w:val="21"/>
                <w:lang w:eastAsia="zh-CN"/>
              </w:rPr>
              <w:t>、</w:t>
            </w:r>
            <w:r>
              <w:rPr>
                <w:rFonts w:hint="eastAsia"/>
                <w:szCs w:val="21"/>
              </w:rPr>
              <w:t>安徽国控资本私募基金管理有限公司（“</w:t>
            </w:r>
            <w:r>
              <w:rPr>
                <w:rFonts w:hint="eastAsia"/>
                <w:b/>
                <w:bCs/>
                <w:szCs w:val="21"/>
              </w:rPr>
              <w:t>安徽国控</w:t>
            </w:r>
            <w:r>
              <w:rPr>
                <w:rFonts w:hint="eastAsia"/>
                <w:szCs w:val="21"/>
              </w:rPr>
              <w:t>”）</w:t>
            </w:r>
            <w:r>
              <w:rPr>
                <w:rFonts w:hint="eastAsia"/>
                <w:szCs w:val="21"/>
                <w:lang w:eastAsia="zh-CN"/>
              </w:rPr>
              <w:t>、</w:t>
            </w:r>
            <w:r>
              <w:rPr>
                <w:rFonts w:hint="eastAsia"/>
                <w:szCs w:val="21"/>
              </w:rPr>
              <w:t>广州盈蓬私募基金管理有限公司（“</w:t>
            </w:r>
            <w:r>
              <w:rPr>
                <w:rFonts w:hint="eastAsia"/>
                <w:b/>
                <w:bCs/>
                <w:szCs w:val="21"/>
              </w:rPr>
              <w:t>广州盈蓬</w:t>
            </w:r>
            <w:r>
              <w:rPr>
                <w:rFonts w:hint="eastAsia"/>
                <w:szCs w:val="21"/>
              </w:rPr>
              <w:t>”）、安徽国控</w:t>
            </w:r>
            <w:r>
              <w:rPr>
                <w:rFonts w:hint="eastAsia" w:cs="宋体"/>
                <w:bCs/>
                <w:color w:val="000000"/>
              </w:rPr>
              <w:t>资本</w:t>
            </w:r>
            <w:r>
              <w:rPr>
                <w:rFonts w:hint="eastAsia" w:cs="宋体"/>
                <w:bCs/>
                <w:color w:val="000000"/>
                <w:lang w:val="en-US" w:eastAsia="zh-CN"/>
              </w:rPr>
              <w:t>有限公司</w:t>
            </w:r>
            <w:r>
              <w:rPr>
                <w:rFonts w:hint="eastAsia" w:cs="宋体"/>
                <w:bCs/>
                <w:color w:val="000000"/>
              </w:rPr>
              <w:t>以及广汽资本有限公司签署协议，拟</w:t>
            </w:r>
            <w:r>
              <w:rPr>
                <w:rFonts w:hint="eastAsia" w:cs="宋体"/>
                <w:bCs/>
                <w:color w:val="000000"/>
                <w:lang w:val="en-US" w:eastAsia="zh-CN"/>
              </w:rPr>
              <w:t>在六安市</w:t>
            </w:r>
            <w:r>
              <w:rPr>
                <w:rFonts w:hint="eastAsia" w:cs="宋体"/>
                <w:bCs/>
                <w:color w:val="000000"/>
              </w:rPr>
              <w:t>共同出资设立合营企业。合营企业主要在中国境内从事私募股权投资基金业务。</w:t>
            </w:r>
          </w:p>
          <w:p w14:paraId="46AA26DD">
            <w:pPr>
              <w:adjustRightInd w:val="0"/>
              <w:snapToGrid w:val="0"/>
              <w:spacing w:after="0"/>
              <w:rPr>
                <w:rFonts w:cs="宋体"/>
              </w:rPr>
            </w:pPr>
            <w:r>
              <w:rPr>
                <w:rFonts w:hint="eastAsia" w:cs="宋体"/>
                <w:bCs/>
                <w:color w:val="000000"/>
              </w:rPr>
              <w:t>本次交易后，六安产投为合营企业的有限合伙人，持有合营企业认缴出资总额的</w:t>
            </w:r>
            <w:r>
              <w:rPr>
                <w:rFonts w:cs="宋体"/>
                <w:bCs/>
                <w:color w:val="000000"/>
              </w:rPr>
              <w:t>3</w:t>
            </w:r>
            <w:r>
              <w:rPr>
                <w:rFonts w:hint="eastAsia" w:cs="宋体"/>
                <w:bCs/>
                <w:color w:val="000000"/>
                <w:lang w:val="en-US" w:eastAsia="zh-CN"/>
              </w:rPr>
              <w:t>0</w:t>
            </w:r>
            <w:r>
              <w:rPr>
                <w:rFonts w:cs="宋体"/>
                <w:bCs/>
                <w:color w:val="000000"/>
              </w:rPr>
              <w:t>%</w:t>
            </w:r>
            <w:r>
              <w:rPr>
                <w:rFonts w:hint="eastAsia" w:cs="宋体"/>
                <w:bCs/>
                <w:color w:val="000000"/>
                <w:lang w:eastAsia="zh-CN"/>
              </w:rPr>
              <w:t>。</w:t>
            </w:r>
            <w:r>
              <w:rPr>
                <w:rFonts w:hint="eastAsia" w:cs="宋体"/>
                <w:bCs/>
                <w:color w:val="000000"/>
              </w:rPr>
              <w:t>安徽国控以及广州盈蓬均作为合营企业的普通合伙人，安徽国控持有合营企业认缴出资总额的</w:t>
            </w:r>
            <w:r>
              <w:rPr>
                <w:rFonts w:cs="宋体"/>
                <w:bCs/>
                <w:color w:val="000000"/>
              </w:rPr>
              <w:t>0.2%</w:t>
            </w:r>
            <w:r>
              <w:rPr>
                <w:rFonts w:hint="eastAsia" w:cs="宋体"/>
                <w:bCs/>
                <w:color w:val="000000"/>
              </w:rPr>
              <w:t>，广州盈蓬持有合营企业认缴出资总额的</w:t>
            </w:r>
            <w:r>
              <w:rPr>
                <w:rFonts w:cs="宋体"/>
                <w:bCs/>
                <w:color w:val="000000"/>
              </w:rPr>
              <w:t>0.2%</w:t>
            </w:r>
            <w:r>
              <w:rPr>
                <w:rFonts w:hint="eastAsia" w:cs="宋体"/>
                <w:bCs/>
                <w:color w:val="000000"/>
              </w:rPr>
              <w:t>。</w:t>
            </w:r>
            <w:r>
              <w:rPr>
                <w:rFonts w:hint="eastAsia" w:cs="宋体"/>
                <w:bCs/>
                <w:color w:val="000000"/>
                <w:lang w:val="en-US" w:eastAsia="zh-CN"/>
              </w:rPr>
              <w:t>六安产投</w:t>
            </w:r>
            <w:r>
              <w:rPr>
                <w:rFonts w:hint="eastAsia" w:cs="宋体"/>
                <w:bCs/>
                <w:color w:val="000000"/>
              </w:rPr>
              <w:t>与安徽国控和广州盈蓬共同控制投资决策委员会以决定合营企业的投资事项，安徽国控、广州盈蓬、六安产投共同控制合营企业。</w:t>
            </w:r>
          </w:p>
        </w:tc>
      </w:tr>
      <w:tr w14:paraId="5F1B4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trPr>
        <w:tc>
          <w:tcPr>
            <w:tcW w:w="1940" w:type="dxa"/>
            <w:vMerge w:val="restart"/>
            <w:shd w:val="clear" w:color="auto" w:fill="D9D9D9"/>
            <w:vAlign w:val="center"/>
          </w:tcPr>
          <w:p w14:paraId="395E4A89">
            <w:pPr>
              <w:adjustRightInd w:val="0"/>
              <w:snapToGrid w:val="0"/>
              <w:spacing w:after="0"/>
              <w:rPr>
                <w:rFonts w:cs="宋体"/>
                <w:bCs/>
                <w:color w:val="000000"/>
                <w:lang w:val="en-US"/>
              </w:rPr>
            </w:pPr>
            <w:r>
              <w:rPr>
                <w:rFonts w:hint="eastAsia" w:cs="宋体"/>
                <w:bCs/>
                <w:color w:val="000000"/>
              </w:rPr>
              <w:t>参与集中的经营者简介（每个限</w:t>
            </w:r>
            <w:r>
              <w:rPr>
                <w:rFonts w:hint="eastAsia" w:cs="宋体"/>
                <w:bCs/>
                <w:color w:val="000000"/>
                <w:lang w:val="en-US"/>
              </w:rPr>
              <w:t>100字以内</w:t>
            </w:r>
            <w:r>
              <w:rPr>
                <w:rFonts w:hint="eastAsia" w:cs="宋体"/>
                <w:bCs/>
                <w:color w:val="000000"/>
              </w:rPr>
              <w:t>）</w:t>
            </w:r>
          </w:p>
        </w:tc>
        <w:tc>
          <w:tcPr>
            <w:tcW w:w="1746" w:type="dxa"/>
            <w:shd w:val="clear" w:color="auto" w:fill="auto"/>
            <w:vAlign w:val="center"/>
          </w:tcPr>
          <w:p w14:paraId="51A3236A">
            <w:pPr>
              <w:adjustRightInd w:val="0"/>
              <w:snapToGrid w:val="0"/>
              <w:spacing w:after="0"/>
              <w:rPr>
                <w:rFonts w:ascii="Times New Roman" w:hAnsi="Times New Roman" w:eastAsia="宋体" w:cs="宋体"/>
                <w:bCs/>
                <w:color w:val="000000"/>
                <w:kern w:val="0"/>
                <w:sz w:val="24"/>
                <w:szCs w:val="24"/>
                <w:lang w:val="en-GB" w:eastAsia="zh-CN" w:bidi="ar-AE"/>
              </w:rPr>
            </w:pPr>
            <w:r>
              <w:rPr>
                <w:rFonts w:hint="eastAsia" w:cs="宋体"/>
                <w:bCs/>
                <w:color w:val="000000"/>
                <w:lang w:val="en-US" w:eastAsia="zh-CN"/>
              </w:rPr>
              <w:t>1</w:t>
            </w:r>
            <w:r>
              <w:rPr>
                <w:rFonts w:cs="宋体"/>
                <w:bCs/>
                <w:color w:val="000000"/>
              </w:rPr>
              <w:t xml:space="preserve">. </w:t>
            </w:r>
            <w:r>
              <w:rPr>
                <w:rFonts w:hint="eastAsia" w:cs="宋体"/>
                <w:bCs/>
                <w:color w:val="000000"/>
              </w:rPr>
              <w:t>六安产投</w:t>
            </w:r>
          </w:p>
        </w:tc>
        <w:tc>
          <w:tcPr>
            <w:tcW w:w="5954" w:type="dxa"/>
            <w:shd w:val="clear" w:color="auto" w:fill="auto"/>
            <w:vAlign w:val="center"/>
          </w:tcPr>
          <w:p w14:paraId="2B2CFF7B">
            <w:pPr>
              <w:adjustRightInd w:val="0"/>
              <w:snapToGrid w:val="0"/>
              <w:spacing w:after="0"/>
              <w:rPr>
                <w:rFonts w:cs="宋体"/>
                <w:bCs/>
                <w:color w:val="000000"/>
              </w:rPr>
            </w:pPr>
            <w:r>
              <w:rPr>
                <w:rFonts w:hint="eastAsia" w:cs="宋体"/>
                <w:bCs/>
                <w:color w:val="000000"/>
              </w:rPr>
              <w:t>六安产投于20</w:t>
            </w:r>
            <w:r>
              <w:rPr>
                <w:rFonts w:hint="eastAsia" w:cs="宋体"/>
                <w:bCs/>
                <w:color w:val="000000"/>
                <w:lang w:val="en-US" w:eastAsia="zh-CN"/>
              </w:rPr>
              <w:t>09</w:t>
            </w:r>
            <w:r>
              <w:rPr>
                <w:rFonts w:hint="eastAsia" w:cs="宋体"/>
                <w:bCs/>
                <w:color w:val="000000"/>
              </w:rPr>
              <w:t>年</w:t>
            </w:r>
            <w:r>
              <w:rPr>
                <w:rFonts w:hint="eastAsia" w:cs="宋体"/>
                <w:bCs/>
                <w:color w:val="000000"/>
                <w:lang w:val="en-US" w:eastAsia="zh-CN"/>
              </w:rPr>
              <w:t>2</w:t>
            </w:r>
            <w:r>
              <w:rPr>
                <w:rFonts w:hint="eastAsia" w:cs="宋体"/>
                <w:bCs/>
                <w:color w:val="000000"/>
              </w:rPr>
              <w:t>月1</w:t>
            </w:r>
            <w:r>
              <w:rPr>
                <w:rFonts w:hint="eastAsia" w:cs="宋体"/>
                <w:bCs/>
                <w:color w:val="000000"/>
                <w:lang w:val="en-US" w:eastAsia="zh-CN"/>
              </w:rPr>
              <w:t>8</w:t>
            </w:r>
            <w:r>
              <w:rPr>
                <w:rFonts w:hint="eastAsia" w:cs="宋体"/>
                <w:bCs/>
                <w:color w:val="000000"/>
              </w:rPr>
              <w:t>日成立于安徽省六安市，主要在中国境内从事股权投资</w:t>
            </w:r>
            <w:r>
              <w:rPr>
                <w:rFonts w:hint="eastAsia" w:cs="宋体"/>
                <w:bCs/>
                <w:color w:val="000000"/>
                <w:lang w:eastAsia="zh-CN"/>
              </w:rPr>
              <w:t>，</w:t>
            </w:r>
            <w:r>
              <w:rPr>
                <w:rFonts w:hint="eastAsia" w:cs="宋体"/>
                <w:bCs/>
                <w:color w:val="000000"/>
              </w:rPr>
              <w:t>资产管理等。</w:t>
            </w:r>
          </w:p>
          <w:p w14:paraId="79EBDCC2">
            <w:pPr>
              <w:adjustRightInd w:val="0"/>
              <w:snapToGrid w:val="0"/>
              <w:spacing w:after="0"/>
              <w:rPr>
                <w:rFonts w:cs="宋体"/>
                <w:bCs/>
                <w:color w:val="000000"/>
              </w:rPr>
            </w:pPr>
          </w:p>
          <w:p w14:paraId="39BE5633">
            <w:pPr>
              <w:adjustRightInd w:val="0"/>
              <w:snapToGrid w:val="0"/>
              <w:spacing w:after="0"/>
              <w:rPr>
                <w:rFonts w:ascii="Times New Roman" w:hAnsi="Times New Roman" w:eastAsia="宋体" w:cs="宋体"/>
                <w:bCs/>
                <w:color w:val="000000"/>
                <w:kern w:val="0"/>
                <w:sz w:val="24"/>
                <w:szCs w:val="24"/>
                <w:lang w:val="en-GB" w:eastAsia="zh-CN" w:bidi="ar-AE"/>
              </w:rPr>
            </w:pPr>
            <w:r>
              <w:rPr>
                <w:rFonts w:hint="eastAsia" w:cs="宋体"/>
                <w:bCs/>
                <w:color w:val="000000"/>
              </w:rPr>
              <w:t>六安产投最终控制人为</w:t>
            </w:r>
            <w:r>
              <w:rPr>
                <w:rFonts w:hint="eastAsia"/>
              </w:rPr>
              <w:t>六安市国控资本控股集团有限公司</w:t>
            </w:r>
            <w:r>
              <w:rPr>
                <w:rFonts w:hint="eastAsia" w:cs="宋体"/>
                <w:bCs/>
                <w:color w:val="000000"/>
              </w:rPr>
              <w:t>，主要从事股权投资、</w:t>
            </w:r>
            <w:r>
              <w:rPr>
                <w:rFonts w:hint="eastAsia" w:cs="宋体"/>
                <w:bCs/>
                <w:color w:val="000000"/>
                <w:lang w:val="en-US" w:eastAsia="zh-CN"/>
              </w:rPr>
              <w:t>资产管理、融资咨询</w:t>
            </w:r>
            <w:r>
              <w:rPr>
                <w:rFonts w:hint="eastAsia" w:cs="宋体"/>
                <w:bCs/>
                <w:color w:val="000000"/>
              </w:rPr>
              <w:t>等业务。</w:t>
            </w:r>
          </w:p>
        </w:tc>
      </w:tr>
      <w:tr w14:paraId="3EF77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trPr>
        <w:tc>
          <w:tcPr>
            <w:tcW w:w="1940" w:type="dxa"/>
            <w:vMerge w:val="continue"/>
            <w:shd w:val="clear" w:color="auto" w:fill="D9D9D9"/>
            <w:vAlign w:val="center"/>
          </w:tcPr>
          <w:p w14:paraId="547C13BA">
            <w:pPr>
              <w:adjustRightInd w:val="0"/>
              <w:snapToGrid w:val="0"/>
              <w:spacing w:after="0"/>
              <w:rPr>
                <w:rFonts w:hint="eastAsia" w:cs="宋体"/>
                <w:bCs/>
                <w:color w:val="000000"/>
              </w:rPr>
            </w:pPr>
          </w:p>
        </w:tc>
        <w:tc>
          <w:tcPr>
            <w:tcW w:w="1746" w:type="dxa"/>
            <w:vAlign w:val="center"/>
          </w:tcPr>
          <w:p w14:paraId="1320CAE2">
            <w:pPr>
              <w:adjustRightInd w:val="0"/>
              <w:snapToGrid w:val="0"/>
              <w:spacing w:after="0"/>
              <w:rPr>
                <w:rFonts w:cs="宋体"/>
                <w:bCs/>
                <w:color w:val="000000"/>
              </w:rPr>
            </w:pPr>
            <w:r>
              <w:rPr>
                <w:rFonts w:hint="eastAsia" w:cs="宋体"/>
                <w:bCs/>
                <w:color w:val="000000"/>
                <w:lang w:val="en-US" w:eastAsia="zh-CN"/>
              </w:rPr>
              <w:t>2</w:t>
            </w:r>
            <w:r>
              <w:rPr>
                <w:rFonts w:cs="宋体"/>
                <w:bCs/>
                <w:color w:val="000000"/>
              </w:rPr>
              <w:t xml:space="preserve">. </w:t>
            </w:r>
            <w:r>
              <w:rPr>
                <w:rFonts w:hint="eastAsia" w:cs="宋体"/>
                <w:bCs/>
                <w:color w:val="000000"/>
              </w:rPr>
              <w:t>安徽国控</w:t>
            </w:r>
          </w:p>
        </w:tc>
        <w:tc>
          <w:tcPr>
            <w:tcW w:w="5954" w:type="dxa"/>
            <w:vAlign w:val="center"/>
          </w:tcPr>
          <w:p w14:paraId="28D49958">
            <w:pPr>
              <w:rPr>
                <w:rFonts w:cs="宋体"/>
                <w:bCs/>
                <w:color w:val="000000"/>
              </w:rPr>
            </w:pPr>
            <w:r>
              <w:rPr>
                <w:rFonts w:hint="eastAsia" w:cs="宋体"/>
                <w:bCs/>
                <w:color w:val="000000"/>
              </w:rPr>
              <w:t>安徽国控于</w:t>
            </w:r>
            <w:r>
              <w:rPr>
                <w:rFonts w:hint="eastAsia" w:cs="宋体"/>
                <w:bCs/>
                <w:color w:val="000000"/>
                <w:lang w:val="en-US" w:eastAsia="zh-CN"/>
              </w:rPr>
              <w:t>2017</w:t>
            </w:r>
            <w:r>
              <w:rPr>
                <w:rFonts w:hint="eastAsia" w:cs="宋体"/>
                <w:bCs/>
                <w:color w:val="000000"/>
              </w:rPr>
              <w:t>年</w:t>
            </w:r>
            <w:r>
              <w:rPr>
                <w:rFonts w:hint="eastAsia" w:cs="宋体"/>
                <w:bCs/>
                <w:color w:val="000000"/>
                <w:lang w:val="en-US" w:eastAsia="zh-CN"/>
              </w:rPr>
              <w:t>11</w:t>
            </w:r>
            <w:r>
              <w:rPr>
                <w:rFonts w:hint="eastAsia" w:cs="宋体"/>
                <w:bCs/>
                <w:color w:val="000000"/>
              </w:rPr>
              <w:t>月</w:t>
            </w:r>
            <w:r>
              <w:rPr>
                <w:rFonts w:hint="eastAsia" w:cs="宋体"/>
                <w:bCs/>
                <w:color w:val="000000"/>
                <w:lang w:val="en-US" w:eastAsia="zh-CN"/>
              </w:rPr>
              <w:t>23</w:t>
            </w:r>
            <w:r>
              <w:rPr>
                <w:rFonts w:hint="eastAsia" w:cs="宋体"/>
                <w:bCs/>
                <w:color w:val="000000"/>
              </w:rPr>
              <w:t>日成立于</w:t>
            </w:r>
            <w:bookmarkStart w:id="1" w:name="_GoBack"/>
            <w:bookmarkEnd w:id="1"/>
            <w:r>
              <w:rPr>
                <w:rFonts w:hint="eastAsia" w:cs="宋体"/>
                <w:bCs/>
                <w:color w:val="000000"/>
              </w:rPr>
              <w:t>安徽省合肥市，主要在中国境内从事私募股权投资基金管理、创业投资基金管理服务。</w:t>
            </w:r>
          </w:p>
          <w:p w14:paraId="32B6F2A6">
            <w:pPr>
              <w:adjustRightInd w:val="0"/>
              <w:snapToGrid w:val="0"/>
              <w:spacing w:after="0"/>
              <w:rPr>
                <w:rFonts w:hint="eastAsia" w:cs="宋体"/>
                <w:bCs/>
                <w:color w:val="000000"/>
              </w:rPr>
            </w:pPr>
            <w:r>
              <w:rPr>
                <w:rFonts w:hint="eastAsia" w:cs="宋体"/>
                <w:bCs/>
                <w:color w:val="000000"/>
              </w:rPr>
              <w:t>安徽国控最终控制人为安徽省国有资本运营控股集团有限公司，主要业务为国有资本投资、运营及相关业务等。</w:t>
            </w:r>
          </w:p>
        </w:tc>
      </w:tr>
      <w:tr w14:paraId="1CF80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1940" w:type="dxa"/>
            <w:vMerge w:val="continue"/>
            <w:shd w:val="clear" w:color="auto" w:fill="D9D9D9"/>
            <w:vAlign w:val="center"/>
          </w:tcPr>
          <w:p w14:paraId="29A6AD6C">
            <w:pPr>
              <w:adjustRightInd w:val="0"/>
              <w:snapToGrid w:val="0"/>
              <w:spacing w:after="0"/>
              <w:rPr>
                <w:rFonts w:cs="宋体"/>
                <w:bCs/>
                <w:color w:val="000000"/>
                <w:lang w:val="en-US"/>
              </w:rPr>
            </w:pPr>
          </w:p>
        </w:tc>
        <w:tc>
          <w:tcPr>
            <w:tcW w:w="1746" w:type="dxa"/>
            <w:vAlign w:val="center"/>
          </w:tcPr>
          <w:p w14:paraId="3520FEBB">
            <w:pPr>
              <w:adjustRightInd w:val="0"/>
              <w:snapToGrid w:val="0"/>
              <w:spacing w:after="0"/>
              <w:rPr>
                <w:rFonts w:cs="宋体"/>
                <w:bCs/>
                <w:color w:val="000000"/>
              </w:rPr>
            </w:pPr>
            <w:r>
              <w:rPr>
                <w:rFonts w:hint="eastAsia" w:cs="宋体"/>
                <w:bCs/>
                <w:color w:val="000000"/>
                <w:lang w:val="en-US" w:eastAsia="zh-CN"/>
              </w:rPr>
              <w:t>3</w:t>
            </w:r>
            <w:r>
              <w:rPr>
                <w:rFonts w:cs="宋体"/>
                <w:bCs/>
                <w:color w:val="000000"/>
              </w:rPr>
              <w:t xml:space="preserve">. </w:t>
            </w:r>
            <w:r>
              <w:rPr>
                <w:rFonts w:hint="eastAsia" w:cs="宋体"/>
                <w:bCs/>
                <w:color w:val="000000"/>
              </w:rPr>
              <w:t xml:space="preserve">广州盈蓬 </w:t>
            </w:r>
          </w:p>
        </w:tc>
        <w:tc>
          <w:tcPr>
            <w:tcW w:w="5954" w:type="dxa"/>
            <w:vAlign w:val="center"/>
          </w:tcPr>
          <w:p w14:paraId="681502E5">
            <w:pPr>
              <w:adjustRightInd w:val="0"/>
              <w:snapToGrid w:val="0"/>
              <w:spacing w:after="0"/>
              <w:rPr>
                <w:rFonts w:cs="宋体"/>
                <w:bCs/>
                <w:color w:val="000000"/>
              </w:rPr>
            </w:pPr>
            <w:r>
              <w:rPr>
                <w:rFonts w:hint="eastAsia" w:cs="宋体"/>
                <w:bCs/>
                <w:color w:val="000000"/>
              </w:rPr>
              <w:t>广州盈蓬</w:t>
            </w:r>
            <w:r>
              <w:rPr>
                <w:rFonts w:cs="宋体"/>
                <w:bCs/>
                <w:color w:val="000000"/>
              </w:rPr>
              <w:t>于</w:t>
            </w:r>
            <w:r>
              <w:rPr>
                <w:rFonts w:hint="eastAsia" w:cs="宋体"/>
                <w:bCs/>
                <w:color w:val="000000"/>
              </w:rPr>
              <w:t>2017年3月28日</w:t>
            </w:r>
            <w:r>
              <w:rPr>
                <w:rFonts w:cs="宋体"/>
                <w:bCs/>
                <w:color w:val="000000"/>
              </w:rPr>
              <w:t>成立于</w:t>
            </w:r>
            <w:r>
              <w:rPr>
                <w:rFonts w:hint="eastAsia" w:cs="宋体"/>
                <w:bCs/>
                <w:color w:val="000000"/>
              </w:rPr>
              <w:t>广东省广州市</w:t>
            </w:r>
            <w:r>
              <w:rPr>
                <w:rFonts w:cs="宋体"/>
                <w:bCs/>
                <w:color w:val="000000"/>
              </w:rPr>
              <w:t>，</w:t>
            </w:r>
            <w:r>
              <w:rPr>
                <w:rFonts w:hint="eastAsia" w:cs="宋体"/>
                <w:bCs/>
                <w:color w:val="000000"/>
              </w:rPr>
              <w:t>主要在中国境内从事私募股权投资基金管理、创业投资基金管理服务等。</w:t>
            </w:r>
          </w:p>
          <w:p w14:paraId="2DEB3B8E">
            <w:pPr>
              <w:adjustRightInd w:val="0"/>
              <w:snapToGrid w:val="0"/>
              <w:spacing w:after="0"/>
              <w:rPr>
                <w:rFonts w:cs="宋体"/>
                <w:bCs/>
                <w:color w:val="000000"/>
              </w:rPr>
            </w:pPr>
          </w:p>
          <w:p w14:paraId="0624AD0D">
            <w:pPr>
              <w:adjustRightInd w:val="0"/>
              <w:snapToGrid w:val="0"/>
              <w:spacing w:after="0"/>
              <w:rPr>
                <w:rFonts w:cs="宋体"/>
                <w:bCs/>
                <w:color w:val="000000"/>
              </w:rPr>
            </w:pPr>
            <w:r>
              <w:rPr>
                <w:rFonts w:hint="eastAsia" w:cs="宋体"/>
                <w:bCs/>
                <w:color w:val="000000"/>
              </w:rPr>
              <w:t>广州盈蓬</w:t>
            </w:r>
            <w:r>
              <w:rPr>
                <w:rFonts w:cs="宋体"/>
                <w:bCs/>
                <w:color w:val="000000"/>
              </w:rPr>
              <w:t>最终控制人为</w:t>
            </w:r>
            <w:r>
              <w:rPr>
                <w:rFonts w:hint="eastAsia" w:cs="宋体"/>
                <w:bCs/>
                <w:color w:val="000000"/>
              </w:rPr>
              <w:t>广州汽车工业集团有限公司</w:t>
            </w:r>
            <w:r>
              <w:rPr>
                <w:rFonts w:cs="宋体"/>
                <w:bCs/>
                <w:color w:val="000000"/>
              </w:rPr>
              <w:t>，</w:t>
            </w:r>
            <w:r>
              <w:rPr>
                <w:rFonts w:hint="eastAsia" w:cs="宋体"/>
                <w:bCs/>
                <w:color w:val="000000"/>
              </w:rPr>
              <w:t xml:space="preserve">主要从事企业管理、企业总部管理、以自有资金从事投资活动等。 </w:t>
            </w:r>
          </w:p>
        </w:tc>
      </w:tr>
      <w:tr w14:paraId="2FDF4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1940" w:type="dxa"/>
            <w:vMerge w:val="restart"/>
            <w:shd w:val="clear" w:color="auto" w:fill="D9D9D9"/>
            <w:vAlign w:val="center"/>
          </w:tcPr>
          <w:p w14:paraId="38ADC5F8">
            <w:pPr>
              <w:adjustRightInd w:val="0"/>
              <w:snapToGrid w:val="0"/>
              <w:spacing w:after="0"/>
              <w:rPr>
                <w:rFonts w:cs="宋体"/>
                <w:bCs/>
                <w:color w:val="000000"/>
                <w:lang w:val="en-US"/>
              </w:rPr>
            </w:pPr>
            <w:r>
              <w:rPr>
                <w:rFonts w:hint="eastAsia" w:cs="宋体"/>
                <w:bCs/>
                <w:color w:val="000000"/>
              </w:rPr>
              <w:t>简易案件理由（可以单选，也可以多选）</w:t>
            </w:r>
          </w:p>
        </w:tc>
        <w:tc>
          <w:tcPr>
            <w:tcW w:w="7700" w:type="dxa"/>
            <w:gridSpan w:val="2"/>
            <w:vAlign w:val="center"/>
          </w:tcPr>
          <w:p w14:paraId="7AB2022F">
            <w:pPr>
              <w:adjustRightInd w:val="0"/>
              <w:snapToGrid w:val="0"/>
              <w:spacing w:after="0"/>
              <w:rPr>
                <w:rFonts w:cs="宋体"/>
                <w:bCs/>
                <w:color w:val="000000"/>
                <w:lang w:val="en-US"/>
              </w:rPr>
            </w:pPr>
            <w:r>
              <w:rPr>
                <w:rFonts w:hint="eastAsia" w:cs="宋体"/>
                <w:bCs/>
                <w:color w:val="000000"/>
              </w:rPr>
              <w:sym w:font="Wingdings" w:char="00FE"/>
            </w:r>
            <w:r>
              <w:rPr>
                <w:rFonts w:hint="eastAsia" w:cs="宋体"/>
                <w:bCs/>
                <w:color w:val="000000"/>
              </w:rPr>
              <w:t xml:space="preserve"> 1.在同一相关市场，所有参与集中的经营者所占市场份额之和小于15%。</w:t>
            </w:r>
          </w:p>
        </w:tc>
      </w:tr>
      <w:tr w14:paraId="7A0AC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940" w:type="dxa"/>
            <w:vMerge w:val="continue"/>
            <w:shd w:val="clear" w:color="auto" w:fill="D9D9D9"/>
            <w:vAlign w:val="center"/>
          </w:tcPr>
          <w:p w14:paraId="678BA406">
            <w:pPr>
              <w:adjustRightInd w:val="0"/>
              <w:snapToGrid w:val="0"/>
              <w:spacing w:after="0"/>
              <w:rPr>
                <w:rFonts w:cs="宋体"/>
                <w:bCs/>
                <w:color w:val="000000"/>
                <w:lang w:val="en-US"/>
              </w:rPr>
            </w:pPr>
          </w:p>
        </w:tc>
        <w:tc>
          <w:tcPr>
            <w:tcW w:w="7700" w:type="dxa"/>
            <w:gridSpan w:val="2"/>
            <w:vAlign w:val="center"/>
          </w:tcPr>
          <w:p w14:paraId="0762704B">
            <w:pPr>
              <w:adjustRightInd w:val="0"/>
              <w:snapToGrid w:val="0"/>
              <w:spacing w:after="0"/>
              <w:rPr>
                <w:rFonts w:cs="宋体"/>
                <w:bCs/>
                <w:color w:val="000000"/>
                <w:lang w:val="en-US"/>
              </w:rPr>
            </w:pPr>
            <w:r>
              <w:rPr>
                <w:rFonts w:hint="eastAsia" w:cs="宋体"/>
                <w:bCs/>
                <w:color w:val="000000"/>
              </w:rPr>
              <w:sym w:font="Wingdings" w:char="00A8"/>
            </w:r>
            <w:r>
              <w:rPr>
                <w:rFonts w:hint="eastAsia" w:cs="宋体"/>
                <w:bCs/>
                <w:color w:val="000000"/>
              </w:rPr>
              <w:t xml:space="preserve"> 2.</w:t>
            </w:r>
            <w:r>
              <w:rPr>
                <w:rFonts w:cs="宋体"/>
                <w:bCs/>
                <w:color w:val="000000"/>
              </w:rPr>
              <w:t>在上下游市场，参与集中的经营者所占的市场份额均小于25%</w:t>
            </w:r>
            <w:r>
              <w:rPr>
                <w:rFonts w:hint="eastAsia" w:cs="宋体"/>
                <w:bCs/>
                <w:color w:val="000000"/>
              </w:rPr>
              <w:t>。</w:t>
            </w:r>
          </w:p>
        </w:tc>
      </w:tr>
      <w:tr w14:paraId="53DE3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940" w:type="dxa"/>
            <w:vMerge w:val="continue"/>
            <w:shd w:val="clear" w:color="auto" w:fill="D9D9D9"/>
            <w:vAlign w:val="center"/>
          </w:tcPr>
          <w:p w14:paraId="6EDD2132">
            <w:pPr>
              <w:adjustRightInd w:val="0"/>
              <w:snapToGrid w:val="0"/>
              <w:spacing w:after="0"/>
              <w:rPr>
                <w:rFonts w:cs="宋体"/>
                <w:bCs/>
                <w:color w:val="000000"/>
                <w:lang w:val="en-US"/>
              </w:rPr>
            </w:pPr>
          </w:p>
        </w:tc>
        <w:tc>
          <w:tcPr>
            <w:tcW w:w="7700" w:type="dxa"/>
            <w:gridSpan w:val="2"/>
            <w:vAlign w:val="center"/>
          </w:tcPr>
          <w:p w14:paraId="5FEC1025">
            <w:pPr>
              <w:adjustRightInd w:val="0"/>
              <w:snapToGrid w:val="0"/>
              <w:spacing w:after="0"/>
              <w:rPr>
                <w:rFonts w:cs="宋体"/>
                <w:bCs/>
                <w:color w:val="000000"/>
                <w:lang w:val="en-US"/>
              </w:rPr>
            </w:pPr>
            <w:r>
              <w:rPr>
                <w:rFonts w:hint="eastAsia" w:cs="宋体"/>
                <w:bCs/>
                <w:color w:val="000000"/>
              </w:rPr>
              <w:sym w:font="Wingdings" w:char="00A8"/>
            </w:r>
            <w:r>
              <w:rPr>
                <w:rFonts w:hint="eastAsia" w:cs="宋体"/>
                <w:bCs/>
                <w:color w:val="000000"/>
              </w:rPr>
              <w:t xml:space="preserve"> 3.</w:t>
            </w:r>
            <w:r>
              <w:rPr>
                <w:rFonts w:cs="宋体"/>
                <w:bCs/>
                <w:color w:val="000000"/>
              </w:rPr>
              <w:t>不在同一相关市场也不存在上下游关系的参与集中的经营者，在与交易有关的每个市场所占的市场份额均小于25%。</w:t>
            </w:r>
          </w:p>
        </w:tc>
      </w:tr>
      <w:tr w14:paraId="220BE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1940" w:type="dxa"/>
            <w:vMerge w:val="continue"/>
            <w:shd w:val="clear" w:color="auto" w:fill="D9D9D9"/>
            <w:vAlign w:val="center"/>
          </w:tcPr>
          <w:p w14:paraId="5804348C">
            <w:pPr>
              <w:adjustRightInd w:val="0"/>
              <w:snapToGrid w:val="0"/>
              <w:spacing w:after="0"/>
              <w:rPr>
                <w:rFonts w:cs="宋体"/>
                <w:bCs/>
                <w:color w:val="000000"/>
                <w:lang w:val="en-US"/>
              </w:rPr>
            </w:pPr>
          </w:p>
        </w:tc>
        <w:tc>
          <w:tcPr>
            <w:tcW w:w="7700" w:type="dxa"/>
            <w:gridSpan w:val="2"/>
            <w:vAlign w:val="center"/>
          </w:tcPr>
          <w:p w14:paraId="4F724F94">
            <w:pPr>
              <w:adjustRightInd w:val="0"/>
              <w:snapToGrid w:val="0"/>
              <w:spacing w:after="0"/>
              <w:rPr>
                <w:rFonts w:cs="宋体"/>
                <w:bCs/>
                <w:color w:val="000000"/>
                <w:lang w:val="en-US"/>
              </w:rPr>
            </w:pPr>
            <w:r>
              <w:rPr>
                <w:rFonts w:hint="eastAsia" w:cs="宋体"/>
                <w:bCs/>
                <w:color w:val="000000"/>
              </w:rPr>
              <w:sym w:font="Wingdings" w:char="00A8"/>
            </w:r>
            <w:r>
              <w:rPr>
                <w:rFonts w:hint="eastAsia" w:cs="宋体"/>
                <w:bCs/>
                <w:color w:val="000000"/>
              </w:rPr>
              <w:t xml:space="preserve"> </w:t>
            </w:r>
            <w:r>
              <w:rPr>
                <w:rFonts w:cs="宋体"/>
                <w:bCs/>
                <w:color w:val="000000"/>
              </w:rPr>
              <w:t>4.参与集中的经营者在中国境外设立合营企业，合营企业不在中国境内从事经济活动。</w:t>
            </w:r>
          </w:p>
        </w:tc>
      </w:tr>
      <w:tr w14:paraId="737F1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1940" w:type="dxa"/>
            <w:vMerge w:val="continue"/>
            <w:shd w:val="clear" w:color="auto" w:fill="D9D9D9"/>
            <w:vAlign w:val="center"/>
          </w:tcPr>
          <w:p w14:paraId="22C04ABD">
            <w:pPr>
              <w:adjustRightInd w:val="0"/>
              <w:snapToGrid w:val="0"/>
              <w:spacing w:after="0"/>
              <w:rPr>
                <w:rFonts w:cs="宋体"/>
                <w:bCs/>
                <w:color w:val="000000"/>
                <w:lang w:val="en-US"/>
              </w:rPr>
            </w:pPr>
          </w:p>
        </w:tc>
        <w:tc>
          <w:tcPr>
            <w:tcW w:w="7700" w:type="dxa"/>
            <w:gridSpan w:val="2"/>
            <w:vAlign w:val="center"/>
          </w:tcPr>
          <w:p w14:paraId="55609FF8">
            <w:pPr>
              <w:adjustRightInd w:val="0"/>
              <w:snapToGrid w:val="0"/>
              <w:spacing w:after="0"/>
              <w:rPr>
                <w:rFonts w:cs="宋体"/>
                <w:bCs/>
                <w:color w:val="000000"/>
                <w:lang w:val="en-US"/>
              </w:rPr>
            </w:pPr>
            <w:r>
              <w:rPr>
                <w:rFonts w:hint="eastAsia" w:cs="宋体"/>
                <w:bCs/>
                <w:color w:val="000000"/>
              </w:rPr>
              <w:sym w:font="Wingdings" w:char="00A8"/>
            </w:r>
            <w:r>
              <w:rPr>
                <w:rFonts w:hint="eastAsia" w:cs="宋体"/>
                <w:bCs/>
                <w:color w:val="000000"/>
              </w:rPr>
              <w:t xml:space="preserve"> </w:t>
            </w:r>
            <w:r>
              <w:rPr>
                <w:rFonts w:cs="宋体"/>
                <w:bCs/>
                <w:color w:val="000000"/>
              </w:rPr>
              <w:t>5.参与集中的经营者收购境外企业股权或资产的，该境外企业不在中国境内从事经济活动。</w:t>
            </w:r>
          </w:p>
        </w:tc>
      </w:tr>
      <w:tr w14:paraId="07EBB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40" w:type="dxa"/>
            <w:vMerge w:val="continue"/>
            <w:shd w:val="clear" w:color="auto" w:fill="D9D9D9"/>
            <w:vAlign w:val="center"/>
          </w:tcPr>
          <w:p w14:paraId="0FC92DC8">
            <w:pPr>
              <w:adjustRightInd w:val="0"/>
              <w:snapToGrid w:val="0"/>
              <w:spacing w:after="0"/>
              <w:rPr>
                <w:rFonts w:cs="宋体"/>
                <w:bCs/>
                <w:color w:val="000000"/>
                <w:lang w:val="en-US"/>
              </w:rPr>
            </w:pPr>
          </w:p>
        </w:tc>
        <w:tc>
          <w:tcPr>
            <w:tcW w:w="7700" w:type="dxa"/>
            <w:gridSpan w:val="2"/>
            <w:vAlign w:val="center"/>
          </w:tcPr>
          <w:p w14:paraId="33CACBC6">
            <w:pPr>
              <w:adjustRightInd w:val="0"/>
              <w:snapToGrid w:val="0"/>
              <w:spacing w:after="0"/>
              <w:rPr>
                <w:rFonts w:cs="宋体"/>
                <w:bCs/>
                <w:color w:val="000000"/>
                <w:lang w:val="en-US"/>
              </w:rPr>
            </w:pPr>
            <w:r>
              <w:rPr>
                <w:rFonts w:hint="eastAsia" w:cs="宋体"/>
                <w:bCs/>
                <w:color w:val="000000"/>
              </w:rPr>
              <w:sym w:font="Wingdings" w:char="00A8"/>
            </w:r>
            <w:r>
              <w:rPr>
                <w:rFonts w:hint="eastAsia" w:cs="宋体"/>
                <w:bCs/>
                <w:color w:val="000000"/>
              </w:rPr>
              <w:t xml:space="preserve"> </w:t>
            </w:r>
            <w:r>
              <w:rPr>
                <w:rFonts w:cs="宋体"/>
                <w:bCs/>
                <w:color w:val="000000"/>
              </w:rPr>
              <w:t>6.由两个以上的经营者共同控制的合营企业，通过集中被其中一个或一个以上经营者控制。</w:t>
            </w:r>
          </w:p>
        </w:tc>
      </w:tr>
      <w:tr w14:paraId="50A7F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940" w:type="dxa"/>
            <w:shd w:val="clear" w:color="auto" w:fill="D9D9D9"/>
            <w:vAlign w:val="center"/>
          </w:tcPr>
          <w:p w14:paraId="7F891B19">
            <w:pPr>
              <w:adjustRightInd w:val="0"/>
              <w:snapToGrid w:val="0"/>
              <w:spacing w:after="0"/>
              <w:rPr>
                <w:rFonts w:cs="宋体"/>
                <w:bCs/>
                <w:color w:val="000000"/>
                <w:lang w:val="en-US"/>
              </w:rPr>
            </w:pPr>
            <w:r>
              <w:rPr>
                <w:rFonts w:hint="eastAsia" w:cs="宋体"/>
                <w:bCs/>
                <w:color w:val="000000"/>
                <w:lang w:val="en-US"/>
              </w:rPr>
              <w:t>备注</w:t>
            </w:r>
          </w:p>
        </w:tc>
        <w:tc>
          <w:tcPr>
            <w:tcW w:w="7700" w:type="dxa"/>
            <w:gridSpan w:val="2"/>
            <w:vAlign w:val="center"/>
          </w:tcPr>
          <w:p w14:paraId="202FA16F">
            <w:pPr>
              <w:adjustRightInd w:val="0"/>
              <w:snapToGrid w:val="0"/>
              <w:spacing w:after="0"/>
              <w:rPr>
                <w:rFonts w:cs="宋体"/>
                <w:b/>
                <w:color w:val="000000"/>
              </w:rPr>
            </w:pPr>
            <w:r>
              <w:rPr>
                <w:rFonts w:hint="eastAsia" w:cs="宋体"/>
                <w:b/>
                <w:color w:val="000000"/>
              </w:rPr>
              <w:t>横向重叠：</w:t>
            </w:r>
          </w:p>
          <w:p w14:paraId="5965F006">
            <w:pPr>
              <w:adjustRightInd w:val="0"/>
              <w:snapToGrid w:val="0"/>
              <w:spacing w:after="0"/>
              <w:rPr>
                <w:rFonts w:cs="宋体"/>
                <w:b/>
                <w:color w:val="000000"/>
              </w:rPr>
            </w:pPr>
          </w:p>
          <w:p w14:paraId="1235A51C">
            <w:pPr>
              <w:adjustRightInd w:val="0"/>
              <w:snapToGrid w:val="0"/>
              <w:spacing w:after="0"/>
              <w:rPr>
                <w:rFonts w:cs="宋体"/>
                <w:bCs/>
                <w:color w:val="000000"/>
              </w:rPr>
            </w:pPr>
            <w:r>
              <w:rPr>
                <w:rFonts w:hint="eastAsia" w:cs="宋体"/>
                <w:bCs/>
                <w:color w:val="000000"/>
              </w:rPr>
              <w:t>中国境内私募股权投资基金市场</w:t>
            </w:r>
          </w:p>
          <w:p w14:paraId="4E0C066D">
            <w:pPr>
              <w:adjustRightInd w:val="0"/>
              <w:snapToGrid w:val="0"/>
              <w:spacing w:after="0"/>
              <w:rPr>
                <w:rFonts w:cs="宋体"/>
                <w:bCs/>
                <w:color w:val="000000"/>
              </w:rPr>
            </w:pPr>
          </w:p>
          <w:p w14:paraId="0468AB6D">
            <w:pPr>
              <w:adjustRightInd w:val="0"/>
              <w:snapToGrid w:val="0"/>
              <w:spacing w:after="0"/>
              <w:rPr>
                <w:rFonts w:cs="宋体"/>
                <w:bCs/>
                <w:color w:val="000000"/>
              </w:rPr>
            </w:pPr>
            <w:r>
              <w:rPr>
                <w:rFonts w:hint="eastAsia" w:cs="宋体"/>
                <w:bCs/>
                <w:color w:val="000000"/>
              </w:rPr>
              <w:t>六安产投：0-5%；安徽国控：0-5%；广州盈蓬：0-5%；各方合计：0-5%</w:t>
            </w:r>
          </w:p>
        </w:tc>
      </w:tr>
      <w:bookmarkEnd w:id="0"/>
    </w:tbl>
    <w:p w14:paraId="383A371A">
      <w:pPr>
        <w:rPr>
          <w:rFonts w:hint="eastAsia" w:ascii="黑体" w:hAnsi="黑体" w:eastAsia="黑体" w:cs="黑体"/>
          <w:bCs/>
          <w:sz w:val="36"/>
          <w:szCs w:val="36"/>
          <w:lang w:val="en-US"/>
        </w:rPr>
      </w:pPr>
    </w:p>
    <w:sectPr>
      <w:footerReference r:id="rId4" w:type="default"/>
      <w:pgSz w:w="11906" w:h="16838"/>
      <w:pgMar w:top="1440" w:right="1440" w:bottom="1276" w:left="1440" w:header="720" w:footer="34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implified Arabic">
    <w:altName w:val="Segoe Print"/>
    <w:panose1 w:val="00000000000000000000"/>
    <w:charset w:val="B2"/>
    <w:family w:val="roman"/>
    <w:pitch w:val="default"/>
    <w:sig w:usb0="00000000" w:usb1="00000000" w:usb2="00000008" w:usb3="00000000" w:csb0="00000041" w:csb1="00000000"/>
  </w:font>
  <w:font w:name="Segoe Print">
    <w:panose1 w:val="02000600000000000000"/>
    <w:charset w:val="00"/>
    <w:family w:val="auto"/>
    <w:pitch w:val="default"/>
    <w:sig w:usb0="0000028F" w:usb1="00000000" w:usb2="00000000" w:usb3="00000000" w:csb0="2000009F" w:csb1="47010000"/>
  </w:font>
  <w:font w:name="方正小标宋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7"/>
      <w:tblW w:w="0" w:type="auto"/>
      <w:tblInd w:w="0" w:type="dxa"/>
      <w:tblLayout w:type="autofit"/>
      <w:tblCellMar>
        <w:top w:w="0" w:type="dxa"/>
        <w:left w:w="108" w:type="dxa"/>
        <w:bottom w:w="0" w:type="dxa"/>
        <w:right w:w="108" w:type="dxa"/>
      </w:tblCellMar>
    </w:tblPr>
    <w:tblGrid>
      <w:gridCol w:w="3007"/>
      <w:gridCol w:w="3011"/>
      <w:gridCol w:w="3008"/>
    </w:tblGrid>
    <w:tr w14:paraId="50A00C3D">
      <w:tblPrEx>
        <w:tblCellMar>
          <w:top w:w="0" w:type="dxa"/>
          <w:left w:w="108" w:type="dxa"/>
          <w:bottom w:w="0" w:type="dxa"/>
          <w:right w:w="108" w:type="dxa"/>
        </w:tblCellMar>
      </w:tblPrEx>
      <w:tc>
        <w:tcPr>
          <w:tcW w:w="3080" w:type="dxa"/>
        </w:tcPr>
        <w:p w14:paraId="61DE7E87">
          <w:pPr>
            <w:pStyle w:val="4"/>
          </w:pPr>
        </w:p>
      </w:tc>
      <w:tc>
        <w:tcPr>
          <w:tcW w:w="3081" w:type="dxa"/>
        </w:tcPr>
        <w:p w14:paraId="73443C4B">
          <w:pPr>
            <w:pStyle w:val="4"/>
            <w:jc w:val="center"/>
            <w:rPr>
              <w:rStyle w:val="9"/>
            </w:rPr>
          </w:pPr>
          <w:r>
            <w:rPr>
              <w:rStyle w:val="9"/>
            </w:rPr>
            <w:t xml:space="preserve">- </w:t>
          </w:r>
          <w:r>
            <w:rPr>
              <w:rStyle w:val="9"/>
            </w:rPr>
            <w:fldChar w:fldCharType="begin"/>
          </w:r>
          <w:r>
            <w:rPr>
              <w:rStyle w:val="9"/>
            </w:rPr>
            <w:instrText xml:space="preserve"> PAGE   \* MERGEFORMAT </w:instrText>
          </w:r>
          <w:r>
            <w:rPr>
              <w:rStyle w:val="9"/>
            </w:rPr>
            <w:fldChar w:fldCharType="separate"/>
          </w:r>
          <w:r>
            <w:rPr>
              <w:rStyle w:val="9"/>
              <w:lang w:val="en-US"/>
            </w:rPr>
            <w:t>2</w:t>
          </w:r>
          <w:r>
            <w:rPr>
              <w:rStyle w:val="9"/>
            </w:rPr>
            <w:fldChar w:fldCharType="end"/>
          </w:r>
          <w:r>
            <w:rPr>
              <w:rStyle w:val="9"/>
            </w:rPr>
            <w:t xml:space="preserve"> -</w:t>
          </w:r>
        </w:p>
      </w:tc>
      <w:tc>
        <w:tcPr>
          <w:tcW w:w="3081" w:type="dxa"/>
        </w:tcPr>
        <w:p w14:paraId="475C1855">
          <w:pPr>
            <w:pStyle w:val="14"/>
          </w:pPr>
        </w:p>
      </w:tc>
    </w:tr>
  </w:tbl>
  <w:p w14:paraId="48494EE9">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03B"/>
    <w:rsid w:val="000130E4"/>
    <w:rsid w:val="000169A6"/>
    <w:rsid w:val="000176F6"/>
    <w:rsid w:val="00055AA9"/>
    <w:rsid w:val="000A2189"/>
    <w:rsid w:val="000A78B9"/>
    <w:rsid w:val="000B467A"/>
    <w:rsid w:val="000E6393"/>
    <w:rsid w:val="001068B1"/>
    <w:rsid w:val="001B1567"/>
    <w:rsid w:val="001C274E"/>
    <w:rsid w:val="002221AD"/>
    <w:rsid w:val="00224DE5"/>
    <w:rsid w:val="0022554A"/>
    <w:rsid w:val="00257EF8"/>
    <w:rsid w:val="002640B2"/>
    <w:rsid w:val="002B60BC"/>
    <w:rsid w:val="00316D2C"/>
    <w:rsid w:val="00360D0F"/>
    <w:rsid w:val="003C43EC"/>
    <w:rsid w:val="003F38FC"/>
    <w:rsid w:val="003F598B"/>
    <w:rsid w:val="00424305"/>
    <w:rsid w:val="004333C4"/>
    <w:rsid w:val="00490C8A"/>
    <w:rsid w:val="004B49F6"/>
    <w:rsid w:val="004C1AE4"/>
    <w:rsid w:val="00503F47"/>
    <w:rsid w:val="0053381D"/>
    <w:rsid w:val="00537C9B"/>
    <w:rsid w:val="0055003B"/>
    <w:rsid w:val="00566EFA"/>
    <w:rsid w:val="0059143F"/>
    <w:rsid w:val="005B03C0"/>
    <w:rsid w:val="005C4FA6"/>
    <w:rsid w:val="005E6D36"/>
    <w:rsid w:val="00646CAF"/>
    <w:rsid w:val="006F4133"/>
    <w:rsid w:val="00737513"/>
    <w:rsid w:val="00762A64"/>
    <w:rsid w:val="00776B3B"/>
    <w:rsid w:val="00785A80"/>
    <w:rsid w:val="007C412C"/>
    <w:rsid w:val="007D09F0"/>
    <w:rsid w:val="007E64F8"/>
    <w:rsid w:val="007F498C"/>
    <w:rsid w:val="008502AD"/>
    <w:rsid w:val="00870F5B"/>
    <w:rsid w:val="00890531"/>
    <w:rsid w:val="008A7231"/>
    <w:rsid w:val="008B5C03"/>
    <w:rsid w:val="008B6BC0"/>
    <w:rsid w:val="008E49BA"/>
    <w:rsid w:val="00907FF6"/>
    <w:rsid w:val="009228F1"/>
    <w:rsid w:val="0092295F"/>
    <w:rsid w:val="00926528"/>
    <w:rsid w:val="00991CC1"/>
    <w:rsid w:val="009931A1"/>
    <w:rsid w:val="009E5113"/>
    <w:rsid w:val="00A63BF4"/>
    <w:rsid w:val="00A84D51"/>
    <w:rsid w:val="00AC3A64"/>
    <w:rsid w:val="00B0082C"/>
    <w:rsid w:val="00B00E75"/>
    <w:rsid w:val="00BF2D5C"/>
    <w:rsid w:val="00C21210"/>
    <w:rsid w:val="00CB2EA7"/>
    <w:rsid w:val="00D1307D"/>
    <w:rsid w:val="00D23B8A"/>
    <w:rsid w:val="00D244B5"/>
    <w:rsid w:val="00D41283"/>
    <w:rsid w:val="00DA3926"/>
    <w:rsid w:val="00DD3199"/>
    <w:rsid w:val="00DE0244"/>
    <w:rsid w:val="00DE3DE8"/>
    <w:rsid w:val="00E04969"/>
    <w:rsid w:val="00E204B5"/>
    <w:rsid w:val="00E67766"/>
    <w:rsid w:val="00E73098"/>
    <w:rsid w:val="00EE2808"/>
    <w:rsid w:val="00F07CCC"/>
    <w:rsid w:val="00F14A42"/>
    <w:rsid w:val="00F17AC7"/>
    <w:rsid w:val="00F22F41"/>
    <w:rsid w:val="00F476DF"/>
    <w:rsid w:val="00F92179"/>
    <w:rsid w:val="00FA08E0"/>
    <w:rsid w:val="00FA263F"/>
    <w:rsid w:val="00FA730F"/>
    <w:rsid w:val="00FD4E81"/>
    <w:rsid w:val="05360E27"/>
    <w:rsid w:val="0CE1335A"/>
    <w:rsid w:val="108D6966"/>
    <w:rsid w:val="11BF7F66"/>
    <w:rsid w:val="12843C71"/>
    <w:rsid w:val="1C2F749B"/>
    <w:rsid w:val="2F5D0354"/>
    <w:rsid w:val="37734130"/>
    <w:rsid w:val="44DD0E3B"/>
    <w:rsid w:val="4D4E2547"/>
    <w:rsid w:val="4E1D6833"/>
    <w:rsid w:val="5329236F"/>
    <w:rsid w:val="57572347"/>
    <w:rsid w:val="5D8F4F70"/>
    <w:rsid w:val="60EA69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40"/>
      <w:jc w:val="both"/>
    </w:pPr>
    <w:rPr>
      <w:rFonts w:ascii="Times New Roman" w:hAnsi="Times New Roman" w:eastAsia="宋体" w:cs="Times New Roman"/>
      <w:kern w:val="0"/>
      <w:sz w:val="24"/>
      <w:szCs w:val="24"/>
      <w:lang w:val="en-GB" w:eastAsia="zh-CN" w:bidi="ar-AE"/>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unhideWhenUsed/>
    <w:qFormat/>
    <w:uiPriority w:val="99"/>
    <w:pPr>
      <w:jc w:val="left"/>
    </w:pPr>
  </w:style>
  <w:style w:type="paragraph" w:styleId="3">
    <w:name w:val="Body Text"/>
    <w:basedOn w:val="1"/>
    <w:link w:val="13"/>
    <w:qFormat/>
    <w:uiPriority w:val="0"/>
    <w:rPr>
      <w:rFonts w:cs="Simplified Arabic"/>
      <w:lang w:eastAsia="en-GB"/>
    </w:rPr>
  </w:style>
  <w:style w:type="paragraph" w:styleId="4">
    <w:name w:val="footer"/>
    <w:basedOn w:val="1"/>
    <w:link w:val="12"/>
    <w:unhideWhenUsed/>
    <w:qFormat/>
    <w:uiPriority w:val="0"/>
    <w:pPr>
      <w:tabs>
        <w:tab w:val="center" w:pos="4153"/>
        <w:tab w:val="right" w:pos="8306"/>
      </w:tabs>
      <w:snapToGrid w:val="0"/>
      <w:jc w:val="left"/>
    </w:pPr>
    <w:rPr>
      <w:sz w:val="18"/>
      <w:szCs w:val="18"/>
    </w:rPr>
  </w:style>
  <w:style w:type="paragraph" w:styleId="5">
    <w:name w:val="header"/>
    <w:basedOn w:val="1"/>
    <w:link w:val="11"/>
    <w:unhideWhenUsed/>
    <w:qFormat/>
    <w:uiPriority w:val="99"/>
    <w:pPr>
      <w:tabs>
        <w:tab w:val="center" w:pos="4153"/>
        <w:tab w:val="right" w:pos="8306"/>
      </w:tabs>
      <w:snapToGrid w:val="0"/>
      <w:jc w:val="center"/>
    </w:pPr>
    <w:rPr>
      <w:sz w:val="18"/>
      <w:szCs w:val="18"/>
    </w:rPr>
  </w:style>
  <w:style w:type="paragraph" w:styleId="6">
    <w:name w:val="annotation subject"/>
    <w:basedOn w:val="2"/>
    <w:next w:val="2"/>
    <w:link w:val="16"/>
    <w:semiHidden/>
    <w:unhideWhenUsed/>
    <w:qFormat/>
    <w:uiPriority w:val="99"/>
    <w:rPr>
      <w:b/>
      <w:bCs/>
    </w:rPr>
  </w:style>
  <w:style w:type="character" w:styleId="9">
    <w:name w:val="page number"/>
    <w:qFormat/>
    <w:uiPriority w:val="0"/>
    <w:rPr>
      <w:rFonts w:ascii="Times New Roman" w:hAnsi="Times New Roman" w:eastAsia="宋体" w:cs="Simplified Arabic"/>
      <w:sz w:val="24"/>
      <w:szCs w:val="24"/>
      <w:lang w:val="en-GB" w:bidi="ar-AE"/>
    </w:rPr>
  </w:style>
  <w:style w:type="character" w:styleId="10">
    <w:name w:val="annotation reference"/>
    <w:basedOn w:val="8"/>
    <w:semiHidden/>
    <w:unhideWhenUsed/>
    <w:qFormat/>
    <w:uiPriority w:val="99"/>
    <w:rPr>
      <w:sz w:val="21"/>
      <w:szCs w:val="21"/>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0"/>
    <w:rPr>
      <w:sz w:val="18"/>
      <w:szCs w:val="18"/>
    </w:rPr>
  </w:style>
  <w:style w:type="character" w:customStyle="1" w:styleId="13">
    <w:name w:val="正文文本 字符"/>
    <w:basedOn w:val="8"/>
    <w:link w:val="3"/>
    <w:qFormat/>
    <w:uiPriority w:val="0"/>
    <w:rPr>
      <w:rFonts w:ascii="Times New Roman" w:hAnsi="Times New Roman" w:eastAsia="宋体" w:cs="Simplified Arabic"/>
      <w:kern w:val="0"/>
      <w:sz w:val="24"/>
      <w:szCs w:val="24"/>
      <w:lang w:val="en-GB" w:eastAsia="en-GB" w:bidi="ar-AE"/>
    </w:rPr>
  </w:style>
  <w:style w:type="paragraph" w:customStyle="1" w:styleId="14">
    <w:name w:val="Footer Right"/>
    <w:basedOn w:val="4"/>
    <w:qFormat/>
    <w:uiPriority w:val="0"/>
    <w:pPr>
      <w:tabs>
        <w:tab w:val="clear" w:pos="4153"/>
        <w:tab w:val="clear" w:pos="8306"/>
      </w:tabs>
      <w:snapToGrid/>
      <w:jc w:val="right"/>
    </w:pPr>
    <w:rPr>
      <w:sz w:val="16"/>
      <w:szCs w:val="16"/>
      <w:lang w:bidi="he-IL"/>
    </w:rPr>
  </w:style>
  <w:style w:type="character" w:customStyle="1" w:styleId="15">
    <w:name w:val="批注文字 字符"/>
    <w:basedOn w:val="8"/>
    <w:link w:val="2"/>
    <w:qFormat/>
    <w:uiPriority w:val="99"/>
    <w:rPr>
      <w:rFonts w:ascii="Times New Roman" w:hAnsi="Times New Roman" w:eastAsia="宋体" w:cs="Times New Roman"/>
      <w:kern w:val="0"/>
      <w:sz w:val="24"/>
      <w:szCs w:val="24"/>
      <w:lang w:val="en-GB" w:bidi="ar-AE"/>
    </w:rPr>
  </w:style>
  <w:style w:type="character" w:customStyle="1" w:styleId="16">
    <w:name w:val="批注主题 字符"/>
    <w:basedOn w:val="15"/>
    <w:link w:val="6"/>
    <w:semiHidden/>
    <w:qFormat/>
    <w:uiPriority w:val="99"/>
    <w:rPr>
      <w:rFonts w:ascii="Times New Roman" w:hAnsi="Times New Roman" w:eastAsia="宋体" w:cs="Times New Roman"/>
      <w:b/>
      <w:bCs/>
      <w:kern w:val="0"/>
      <w:sz w:val="24"/>
      <w:szCs w:val="24"/>
      <w:lang w:val="en-GB" w:bidi="ar-AE"/>
    </w:rPr>
  </w:style>
  <w:style w:type="paragraph" w:customStyle="1" w:styleId="17">
    <w:name w:val="Revision"/>
    <w:hidden/>
    <w:semiHidden/>
    <w:qFormat/>
    <w:uiPriority w:val="99"/>
    <w:rPr>
      <w:rFonts w:ascii="Times New Roman" w:hAnsi="Times New Roman" w:eastAsia="宋体" w:cs="Times New Roman"/>
      <w:kern w:val="0"/>
      <w:sz w:val="24"/>
      <w:szCs w:val="24"/>
      <w:lang w:val="en-GB" w:eastAsia="zh-CN" w:bidi="ar-A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989</Words>
  <Characters>1041</Characters>
  <Lines>9</Lines>
  <Paragraphs>2</Paragraphs>
  <TotalTime>2</TotalTime>
  <ScaleCrop>false</ScaleCrop>
  <LinksUpToDate>false</LinksUpToDate>
  <CharactersWithSpaces>1052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2025-06-11T09:49:00Z</dcterms:created>
  <dc:creator>Administrator</dc:creator>
  <cp:lastModifiedBy>cyh</cp:lastModifiedBy>
  <dcterms:modified xsi:type="dcterms:W3CDTF">2026-10-23T02:44:32Z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eyJoZGlkIjoiNzNmOWJjNmNkMzAwODhmZDZkOGI0OGY3ODJlMzk0MTAiLCJ1c2VySWQiOiIxMDUwMjU4MjAxIn0=</vt:lpwstr>
  </property>
  <property fmtid="{D5CDD505-2E9C-101B-9397-08002B2CF9AE}" pid="4" name="ICV">
    <vt:lpwstr>95C22360BAC64DAF997A5178A8B38FFE_12</vt:lpwstr>
  </property>
</Properties>
</file>