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FZShuTi" w:hAnsi="FZShuTi" w:eastAsia="FZShuTi"/>
          <w:sz w:val="72"/>
        </w:rPr>
      </w:pPr>
    </w:p>
    <w:p>
      <w:pPr>
        <w:jc w:val="center"/>
        <w:rPr>
          <w:rFonts w:ascii="FZShuTi" w:hAnsi="FZShuTi" w:eastAsia="FZShuTi"/>
          <w:sz w:val="72"/>
        </w:rPr>
      </w:pPr>
    </w:p>
    <w:p>
      <w:pPr>
        <w:jc w:val="center"/>
      </w:pPr>
      <w:bookmarkStart w:id="0" w:name="_GoBack"/>
      <w:bookmarkEnd w:id="0"/>
      <w:r>
        <w:rPr>
          <w:rFonts w:ascii="FZShuTi" w:hAnsi="FZShuTi" w:eastAsia="FZShuTi"/>
          <w:sz w:val="72"/>
        </w:rPr>
        <w:t>场车使用单位</w:t>
      </w:r>
    </w:p>
    <w:p>
      <w:pPr>
        <w:jc w:val="center"/>
      </w:pPr>
      <w:r>
        <w:rPr>
          <w:rFonts w:ascii="FZShuTi" w:hAnsi="FZShuTi" w:eastAsia="FZShuTi"/>
          <w:sz w:val="72"/>
        </w:rPr>
        <w:t>安全总监题库</w:t>
      </w:r>
    </w:p>
    <w:p/>
    <w:p/>
    <w:p/>
    <w:p/>
    <w:p/>
    <w:p/>
    <w:p>
      <w:pPr>
        <w:jc w:val="center"/>
      </w:pPr>
      <w:r>
        <w:rPr>
          <w:rFonts w:ascii="FZShuTi" w:hAnsi="FZShuTi" w:eastAsia="FZShuTi"/>
          <w:sz w:val="36"/>
        </w:rPr>
        <w:t>题库编制组</w:t>
      </w:r>
    </w:p>
    <w:p>
      <w:pPr>
        <w:jc w:val="center"/>
      </w:pPr>
      <w:r>
        <w:rPr>
          <w:rFonts w:ascii="FZShuTi" w:hAnsi="FZShuTi" w:eastAsia="FZShuTi"/>
          <w:sz w:val="36"/>
        </w:rPr>
        <w:t>2024年6月20日</w:t>
      </w:r>
    </w:p>
    <w:p/>
    <w:p/>
    <w:p/>
    <w:p/>
    <w:p/>
    <w:p/>
    <w:p>
      <w:pPr>
        <w:jc w:val="center"/>
      </w:pPr>
      <w:r>
        <w:rPr>
          <w:rFonts w:ascii="SimHei" w:hAnsi="SimHei" w:eastAsia="SimHei"/>
          <w:sz w:val="44"/>
        </w:rPr>
        <w:t>场车安全总监</w:t>
      </w:r>
    </w:p>
    <w:p>
      <w:pPr>
        <w:jc w:val="left"/>
      </w:pPr>
      <w:r>
        <w:rPr>
          <w:rFonts w:ascii="宋体" w:hAnsi="宋体" w:eastAsia="宋体"/>
          <w:sz w:val="24"/>
        </w:rPr>
        <w:t>判断题</w:t>
      </w:r>
    </w:p>
    <w:p>
      <w:pPr>
        <w:jc w:val="left"/>
      </w:pPr>
      <w:r>
        <w:rPr>
          <w:rFonts w:ascii="宋体" w:hAnsi="宋体" w:eastAsia="宋体"/>
          <w:sz w:val="24"/>
        </w:rPr>
        <w:t>1、根据《场(厂)内专用机动车辆安全技术规程》（TSG 81—2022）的规定，工厂厂区，指有明确管理边界，从事加工、组装等的制造厂厂区，港口(码头)，铁路货场和物流园区。（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【来源】《场(厂)内专用机动车辆安全技术规程》（TSG 81—2022）1.2.1  工厂厂区、旅游景区、游乐场所</w:t>
      </w:r>
    </w:p>
    <w:p>
      <w:pPr>
        <w:jc w:val="left"/>
      </w:pPr>
      <w:r>
        <w:rPr>
          <w:rFonts w:ascii="宋体" w:hAnsi="宋体" w:eastAsia="宋体"/>
          <w:sz w:val="24"/>
        </w:rPr>
        <w:t>工厂厂区，指有明确管理边界，从事加工、组装等的制造厂厂区，港口(码头)，铁路货场和物流园区。</w:t>
      </w:r>
    </w:p>
    <w:p>
      <w:pPr>
        <w:jc w:val="left"/>
      </w:pPr>
      <w:r>
        <w:rPr>
          <w:rFonts w:ascii="宋体" w:hAnsi="宋体" w:eastAsia="宋体"/>
          <w:sz w:val="24"/>
        </w:rPr>
        <w:t>旅游景区，指有明确管理边界，纳入风景游览区、公园、动物园、植物园范畴管理的区域。</w:t>
      </w:r>
    </w:p>
    <w:p>
      <w:pPr>
        <w:jc w:val="left"/>
      </w:pPr>
      <w:r>
        <w:rPr>
          <w:rFonts w:ascii="宋体" w:hAnsi="宋体" w:eastAsia="宋体"/>
          <w:sz w:val="24"/>
        </w:rPr>
        <w:t>游乐场所，指有明确管理边界，纳入游乐场、主题乐园范畴管理的区域。</w:t>
      </w:r>
    </w:p>
    <w:p>
      <w:pPr>
        <w:jc w:val="left"/>
      </w:pPr>
      <w:r>
        <w:rPr>
          <w:rFonts w:ascii="宋体" w:hAnsi="宋体" w:eastAsia="宋体"/>
          <w:sz w:val="24"/>
        </w:rPr>
        <w:t>2、根据《场(厂)内专用机动车辆安全技术规程》（TSG 81—2022）的规定，场车安全管理人员和相关人员应当到场配合、协助检验工作，负责现场安全监护。（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【来源】《场(厂)内专用机动车辆安全技术规程》（TSG 81—2022）4.2.2.2.1  现场检验条件准备</w:t>
      </w:r>
    </w:p>
    <w:p>
      <w:pPr>
        <w:jc w:val="left"/>
      </w:pPr>
      <w:r>
        <w:rPr>
          <w:rFonts w:ascii="宋体" w:hAnsi="宋体" w:eastAsia="宋体"/>
          <w:sz w:val="24"/>
        </w:rPr>
        <w:t>现场检验时，使用单位应当做好以下工作：</w:t>
      </w:r>
    </w:p>
    <w:p>
      <w:pPr>
        <w:jc w:val="left"/>
      </w:pPr>
      <w:r>
        <w:rPr>
          <w:rFonts w:ascii="宋体" w:hAnsi="宋体" w:eastAsia="宋体"/>
          <w:sz w:val="24"/>
        </w:rPr>
        <w:t>(1)场车安全管理人员和相关人员应当到场配合、协助检验工作，负责现场安全监护；</w:t>
      </w:r>
    </w:p>
    <w:p>
      <w:pPr>
        <w:jc w:val="left"/>
      </w:pPr>
      <w:r>
        <w:rPr>
          <w:rFonts w:ascii="宋体" w:hAnsi="宋体" w:eastAsia="宋体"/>
          <w:sz w:val="24"/>
        </w:rPr>
        <w:t>3、根据《场(厂)内专用机动车辆安全技术规程》（TSG 81—2022）的规定，在场车首次投入使用前，向特种设备检验机构申请首次检验。（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【来源】《场(厂)内专用机动车辆安全技术规程》（TSG 81—2022）5.1.1  使用单位的基本要求</w:t>
      </w:r>
    </w:p>
    <w:p>
      <w:pPr>
        <w:jc w:val="left"/>
      </w:pPr>
      <w:r>
        <w:rPr>
          <w:rFonts w:ascii="宋体" w:hAnsi="宋体" w:eastAsia="宋体"/>
          <w:sz w:val="24"/>
        </w:rPr>
        <w:t>使用单位应当遵守《特种设备使用管理规则》的规定，同时还应当符合以下要求：</w:t>
      </w:r>
    </w:p>
    <w:p>
      <w:pPr>
        <w:jc w:val="left"/>
      </w:pPr>
      <w:r>
        <w:rPr>
          <w:rFonts w:ascii="宋体" w:hAnsi="宋体" w:eastAsia="宋体"/>
          <w:sz w:val="24"/>
        </w:rPr>
        <w:t>(5)在场车首次投入使用前，向特种设备检验机构申请首次检验；</w:t>
      </w:r>
    </w:p>
    <w:p>
      <w:pPr>
        <w:jc w:val="left"/>
      </w:pPr>
      <w:r>
        <w:rPr>
          <w:rFonts w:ascii="宋体" w:hAnsi="宋体" w:eastAsia="宋体"/>
          <w:sz w:val="24"/>
        </w:rPr>
        <w:t>4、根据《场(厂)内专用机动车辆安全技术规程》（TSG 81—2022）的规定，改造，是指改变原叉车的动力方式、传动方式、车架结构、驾驶方式，观光车辆的动力方式、传动方式，或者改变场车原主参数或者载荷曲线的活动。（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【来源】《场(厂)内专用机动车辆安全技术规程》（TSG 81—2022）6.1  用语的含义</w:t>
      </w:r>
    </w:p>
    <w:p>
      <w:pPr>
        <w:jc w:val="left"/>
      </w:pPr>
      <w:r>
        <w:rPr>
          <w:rFonts w:ascii="宋体" w:hAnsi="宋体" w:eastAsia="宋体"/>
          <w:sz w:val="24"/>
        </w:rPr>
        <w:t>(1)改造，是指改变原叉车的动力方式、传动方式、车架结构、驾驶方式，观光车辆的动力方式、传动方式，或者改变场车原主参数或者载荷曲线的活动。</w:t>
      </w:r>
    </w:p>
    <w:p>
      <w:pPr>
        <w:jc w:val="left"/>
      </w:pPr>
      <w:r>
        <w:rPr>
          <w:rFonts w:ascii="宋体" w:hAnsi="宋体" w:eastAsia="宋体"/>
          <w:sz w:val="24"/>
        </w:rPr>
        <w:t>5、根据《特种设备安全监督检查办法》的规定，特种设备未经监督检验或者经检验、检测不合格，继续使用的，属于严重事故隐患。（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6、根据《特种设备安全监督检查办法》的规定，特种设备发生过事故或者有明显故障，未对其进行全面检查、消除事故隐患，继续使用的，不属于严重事故隐患。（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7、根据《特种设备事故报告和调查处理规定》的规定，特种设备事故，是指列入特种设备目录的特种设备因其本体原因及其安全装置或者附件损坏、失效，或者特种设备相关人员违反特种设备法律法规规章、安全技术规范造成的事故。（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【来源】《特种设备事故报告和调查处理规定》第二条 本规定所称特种设备事故，是指列入特种设备目录的特种设备因其本体原因及其安全装置或者附件损坏、失效，或者特种设备相关人员违反特种设备法律法规规章、安全技术规范造成的事故。</w:t>
      </w:r>
    </w:p>
    <w:p>
      <w:pPr>
        <w:jc w:val="left"/>
      </w:pPr>
      <w:r>
        <w:rPr>
          <w:rFonts w:ascii="宋体" w:hAnsi="宋体" w:eastAsia="宋体"/>
          <w:sz w:val="24"/>
        </w:rPr>
        <w:t>8、根据《特种设备事故报告和调查处理规定》的规定，特种设备发生事故后，事故现场有关人员应当立即向事故发生单位负责人报告；事故发生单位的负责人接到报告后，应当于1小时内向事故发生地的县级以上市场监督管理部门和有关部门报告。（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【来源】《特种设备事故报告和调查处理规定》第七条 特种设备发生事故后，事故现场有关人员应当立即向事故发生单位负责人报告；事故发生单位的负责人接到报告后，应当于1小时内向事故发生地的县级以上市场监督管理部门和有关部门报告。</w:t>
      </w:r>
    </w:p>
    <w:p>
      <w:pPr>
        <w:jc w:val="left"/>
      </w:pPr>
      <w:r>
        <w:rPr>
          <w:rFonts w:ascii="宋体" w:hAnsi="宋体" w:eastAsia="宋体"/>
          <w:sz w:val="24"/>
        </w:rPr>
        <w:t>情况紧急时，事故现场有关人员可以直接向事故发生地的县级以上市场监督管理部门报告。</w:t>
      </w:r>
    </w:p>
    <w:p>
      <w:pPr>
        <w:jc w:val="left"/>
      </w:pPr>
      <w:r>
        <w:rPr>
          <w:rFonts w:ascii="宋体" w:hAnsi="宋体" w:eastAsia="宋体"/>
          <w:sz w:val="24"/>
        </w:rPr>
        <w:t>9、根据《中华人民共和国特种设备安全法》的规定，特种设备存在严重事故隐患，无改造、修理价值，或者达到安全技术规范规定的其他报废条件的，特种设备使用单位应当依法履行报废义务。（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【来源】《中华人民共和国特种设备安全法》第四十八条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jc w:val="left"/>
      </w:pPr>
      <w:r>
        <w:rPr>
          <w:rFonts w:ascii="宋体" w:hAnsi="宋体" w:eastAsia="宋体"/>
          <w:sz w:val="24"/>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pPr>
        <w:jc w:val="left"/>
      </w:pPr>
      <w:r>
        <w:rPr>
          <w:rFonts w:ascii="宋体" w:hAnsi="宋体" w:eastAsia="宋体"/>
          <w:sz w:val="24"/>
        </w:rPr>
        <w:t>10、根据《特种设备安全监察条例》的规定，特种设备使用单位应当建立特种设备安全技术档案。（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【来源】《特种设备安全监察条例》第二十六条　特种设备使用单位应当建立特种设备安全技术档案。安全技术档案应当包括以下内容：</w:t>
      </w:r>
    </w:p>
    <w:p>
      <w:pPr>
        <w:jc w:val="left"/>
      </w:pPr>
      <w:r>
        <w:rPr>
          <w:rFonts w:ascii="宋体" w:hAnsi="宋体" w:eastAsia="宋体"/>
          <w:sz w:val="24"/>
        </w:rPr>
        <w:t>　　(一)特种设备的设计文件、制造单位、产品质量合格证明、使用维护说明等文件以及安装技术文件和资料；</w:t>
      </w:r>
    </w:p>
    <w:p>
      <w:pPr>
        <w:jc w:val="left"/>
      </w:pPr>
      <w:r>
        <w:rPr>
          <w:rFonts w:ascii="宋体" w:hAnsi="宋体" w:eastAsia="宋体"/>
          <w:sz w:val="24"/>
        </w:rPr>
        <w:t>　　(二)特种设备的定期检验和定期自行检查的记录；</w:t>
      </w:r>
    </w:p>
    <w:p>
      <w:pPr>
        <w:jc w:val="left"/>
      </w:pPr>
      <w:r>
        <w:rPr>
          <w:rFonts w:ascii="宋体" w:hAnsi="宋体" w:eastAsia="宋体"/>
          <w:sz w:val="24"/>
        </w:rPr>
        <w:t>　　(三)特种设备的日常使用状况记录；</w:t>
      </w:r>
    </w:p>
    <w:p>
      <w:pPr>
        <w:jc w:val="left"/>
      </w:pPr>
      <w:r>
        <w:rPr>
          <w:rFonts w:ascii="宋体" w:hAnsi="宋体" w:eastAsia="宋体"/>
          <w:sz w:val="24"/>
        </w:rPr>
        <w:t>　　(四)特种设备及其安全附件、安全保护装置、测量调控装置及有关附属仪器仪表的日常维护保养记录；</w:t>
      </w:r>
    </w:p>
    <w:p>
      <w:pPr>
        <w:jc w:val="left"/>
      </w:pPr>
      <w:r>
        <w:rPr>
          <w:rFonts w:ascii="宋体" w:hAnsi="宋体" w:eastAsia="宋体"/>
          <w:sz w:val="24"/>
        </w:rPr>
        <w:t>　　(五)特种设备运行故障和事故记录；</w:t>
      </w:r>
    </w:p>
    <w:p>
      <w:pPr>
        <w:jc w:val="left"/>
      </w:pPr>
      <w:r>
        <w:rPr>
          <w:rFonts w:ascii="宋体" w:hAnsi="宋体" w:eastAsia="宋体"/>
          <w:sz w:val="24"/>
        </w:rPr>
        <w:t>　　(六)高耗能特种设备的能效测试报告、能耗状况记录以及节能改造技术资料。</w:t>
      </w:r>
    </w:p>
    <w:p>
      <w:pPr>
        <w:jc w:val="left"/>
      </w:pPr>
      <w:r>
        <w:rPr>
          <w:rFonts w:ascii="宋体" w:hAnsi="宋体" w:eastAsia="宋体"/>
          <w:sz w:val="24"/>
        </w:rPr>
        <w:t>11、根据《特种设备使用管理规则》的规定，使用单位可拒绝接受特种设备安全监管部门依法实施的监督检查。（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【来源】《特种设备使用管理规则》使用单位应当接受特种设备安全监管部门依法实施的监督检查。</w:t>
      </w:r>
    </w:p>
    <w:p>
      <w:pPr>
        <w:jc w:val="left"/>
      </w:pPr>
      <w:r>
        <w:rPr>
          <w:rFonts w:ascii="宋体" w:hAnsi="宋体" w:eastAsia="宋体"/>
          <w:sz w:val="24"/>
        </w:rPr>
        <w:t>12、根据《特种设备使用管理规则》的规定，使用特种设备(不含气瓶)总量 50 台以上(含 50 台)的的使用单位应设置特种设备安全管理机构。（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【来源】《特种设备使用管理规则》符合下列条件之一的特种设备使用单位，应当根据本单位特种设备的类别、品种、用途、数量等情况设置特种设备安全管理机构，逐台落实安全责任人：</w:t>
      </w:r>
    </w:p>
    <w:p>
      <w:pPr>
        <w:jc w:val="left"/>
      </w:pPr>
      <w:r>
        <w:rPr>
          <w:rFonts w:ascii="宋体" w:hAnsi="宋体" w:eastAsia="宋体"/>
          <w:sz w:val="24"/>
        </w:rPr>
        <w:t>(1)使用电站锅炉或者石化与化工成套装置的；</w:t>
      </w:r>
    </w:p>
    <w:p>
      <w:pPr>
        <w:jc w:val="left"/>
      </w:pPr>
      <w:r>
        <w:rPr>
          <w:rFonts w:ascii="宋体" w:hAnsi="宋体" w:eastAsia="宋体"/>
          <w:sz w:val="24"/>
        </w:rPr>
        <w:t>(2)使用为公众提供运营服务电梯的(注 2-2)，或者在公众聚集场所(注 2-3)使用 30 台以上(含 30 台)电梯的；</w:t>
      </w:r>
    </w:p>
    <w:p>
      <w:pPr>
        <w:jc w:val="left"/>
      </w:pPr>
      <w:r>
        <w:rPr>
          <w:rFonts w:ascii="宋体" w:hAnsi="宋体" w:eastAsia="宋体"/>
          <w:sz w:val="24"/>
        </w:rPr>
        <w:t>(3)使用 10 台以上(含 10 台)大型游乐设施的，或者 10 台以上(含 10 台)为公众 提供运营服务非公路用旅游观光车辆的；</w:t>
      </w:r>
    </w:p>
    <w:p>
      <w:pPr>
        <w:jc w:val="left"/>
      </w:pPr>
      <w:r>
        <w:rPr>
          <w:rFonts w:ascii="宋体" w:hAnsi="宋体" w:eastAsia="宋体"/>
          <w:sz w:val="24"/>
        </w:rPr>
        <w:t>(4)使用客运架空索道，或者客运缆车的；</w:t>
      </w:r>
    </w:p>
    <w:p>
      <w:pPr>
        <w:jc w:val="left"/>
      </w:pPr>
      <w:r>
        <w:rPr>
          <w:rFonts w:ascii="宋体" w:hAnsi="宋体" w:eastAsia="宋体"/>
          <w:sz w:val="24"/>
        </w:rPr>
        <w:t>(5)使用特种设备(不含气瓶)总量 50 台以上(含 50 台)的。</w:t>
      </w:r>
    </w:p>
    <w:p>
      <w:pPr>
        <w:jc w:val="left"/>
      </w:pPr>
      <w:r>
        <w:rPr>
          <w:rFonts w:ascii="宋体" w:hAnsi="宋体" w:eastAsia="宋体"/>
          <w:sz w:val="24"/>
        </w:rPr>
        <w:t>13、根据《特种设备作业人员监督管理办法》的规定，作业人员未能参加用人单位培训的，可以选择专业培训机构进行培训。（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pPr>
        <w:jc w:val="left"/>
      </w:pPr>
      <w:r>
        <w:rPr>
          <w:rFonts w:ascii="宋体" w:hAnsi="宋体" w:eastAsia="宋体"/>
          <w:sz w:val="24"/>
        </w:rPr>
        <w:t>14、根据《特种设备作业人员监督管理办法》的规定，申请人隐瞒有关情况或者提供虚假材料申请特种设备作业人员证的，不予受理或者不予批准发证，并在1年内不得再次申请特种设备作业人员证。（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【来源】《特种设备作业人员监督管理办法》第三十条 申请人隐瞒有关情况或者提供虚假材料申请特种设备作业人员证的，不予受理或者不予批准发证，并在1年内不得再次申请特种设备作业人员证。</w:t>
      </w:r>
    </w:p>
    <w:p>
      <w:pPr>
        <w:jc w:val="left"/>
      </w:pPr>
      <w:r>
        <w:rPr>
          <w:rFonts w:ascii="宋体" w:hAnsi="宋体" w:eastAsia="宋体"/>
          <w:sz w:val="24"/>
        </w:rPr>
        <w:t>15、根据《特种设备使用单位落实使用安全主体责任监督管理规定》的规定，场车使用单位主要负责人对本单位场车使用安全全面负责。（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场车使用单位主要负责人对本单位场车使用安全全面负责，建立并落实场车使用安全主体责任的长效机制。场车安全总监和场车安全员应当按照岗位职责，协助单位主要负责人做好场车使用安全管理工作。</w:t>
      </w:r>
    </w:p>
    <w:p>
      <w:pPr>
        <w:jc w:val="left"/>
      </w:pPr>
      <w:r>
        <w:rPr>
          <w:rFonts w:ascii="宋体" w:hAnsi="宋体" w:eastAsia="宋体"/>
          <w:sz w:val="24"/>
        </w:rPr>
        <w:t>16、根据《特种设备使用单位落实使用安全主体责任监督管理规定》的规定，场车安全总监要每周至少组织一次风险隐患排查，分析研判场车使用安全管理情况，研究解决日管控中发现的问题，形成每周场车安全排查治理报告。（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场车使用单位应当建立场车安全周排查制度。场车安全总监要每周至少组织一次风险隐患排查，分析研判场车使用安全管理情况，研究解决日管控中发现的问题，形成每周场车安全排查治理报告。</w:t>
      </w:r>
    </w:p>
    <w:p>
      <w:pPr>
        <w:jc w:val="left"/>
      </w:pPr>
      <w:r>
        <w:rPr>
          <w:rFonts w:ascii="宋体" w:hAnsi="宋体" w:eastAsia="宋体"/>
          <w:sz w:val="24"/>
        </w:rPr>
        <w:t>17、根据《特种设备使用单位落实使用安全主体责任监督管理规定》的规定，场车使用单位应当将主要负责人、场车安全总监和场车安全员的设立、调整情况，场车安全风险管控清单场车安全总监职责场车安全员守则以及场车安全总监、场车安全员提出的意见建议、报告和问题整改落实等履职情况予以记录并存档备查。（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场车使用单位应当将主要负责人、场车安全总监和场车安全员的设立、调整情况，场车安全风险管控清单场车安全总监职责场车安全员守则以及场车安全总监、场车安全员提出的意见建议、报告和问题整改落实等履职情况予以记录并存档备查。</w:t>
      </w:r>
    </w:p>
    <w:p>
      <w:pPr>
        <w:jc w:val="left"/>
      </w:pPr>
      <w:r>
        <w:rPr>
          <w:rFonts w:ascii="宋体" w:hAnsi="宋体" w:eastAsia="宋体"/>
          <w:sz w:val="24"/>
        </w:rPr>
        <w:t>18、根据《特种设备使用单位落实使用安全主体责任监督管理规定》的规定，监督抽查考核不合格，不再符合场车使用要求的，使用单位应当立即采取整改措施。（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【来源】《特种设备使用单位落实使用安全主体责任监督管理规定》监督抽查考核不合格，不再符合场车使用要求的，使用单位应当立即采取整改措施。</w:t>
      </w:r>
    </w:p>
    <w:p>
      <w:pPr>
        <w:jc w:val="left"/>
      </w:pPr>
      <w:r>
        <w:rPr>
          <w:rFonts w:ascii="宋体" w:hAnsi="宋体" w:eastAsia="宋体"/>
          <w:sz w:val="24"/>
        </w:rPr>
        <w:t>19、根据《场(厂)内专用机动车辆安全技术规程》（TSG 81—2022）的规定，旅游景区，指有明确管理边界，纳入风景游览区、公园、动物园、植物园范畴管理的区域。（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【来源】《场(厂)内专用机动车辆安全技术规程》（TSG 81—2022）1.2.1  工厂厂区、旅游景区、游乐场所</w:t>
      </w:r>
    </w:p>
    <w:p>
      <w:pPr>
        <w:jc w:val="left"/>
      </w:pPr>
      <w:r>
        <w:rPr>
          <w:rFonts w:ascii="宋体" w:hAnsi="宋体" w:eastAsia="宋体"/>
          <w:sz w:val="24"/>
        </w:rPr>
        <w:t>工厂厂区，指有明确管理边界，从事加工、组装等的制造厂厂区，港口(码头)，铁路货场和物流园区。</w:t>
      </w:r>
    </w:p>
    <w:p>
      <w:pPr>
        <w:jc w:val="left"/>
      </w:pPr>
      <w:r>
        <w:rPr>
          <w:rFonts w:ascii="宋体" w:hAnsi="宋体" w:eastAsia="宋体"/>
          <w:sz w:val="24"/>
        </w:rPr>
        <w:t>旅游景区，指有明确管理边界，纳入风景游览区、公园、动物园、植物园范畴管理的区域。</w:t>
      </w:r>
    </w:p>
    <w:p>
      <w:pPr>
        <w:jc w:val="left"/>
      </w:pPr>
      <w:r>
        <w:rPr>
          <w:rFonts w:ascii="宋体" w:hAnsi="宋体" w:eastAsia="宋体"/>
          <w:sz w:val="24"/>
        </w:rPr>
        <w:t>游乐场所，指有明确管理边界，纳入游乐场、主题乐园范畴管理的区域。</w:t>
      </w:r>
    </w:p>
    <w:p>
      <w:pPr>
        <w:jc w:val="left"/>
      </w:pPr>
      <w:r>
        <w:rPr>
          <w:rFonts w:ascii="宋体" w:hAnsi="宋体" w:eastAsia="宋体"/>
          <w:sz w:val="24"/>
        </w:rPr>
        <w:t>20、根据《场(厂)内专用机动车辆安全技术规程》（TSG 81—2022）的规定，游乐场所，指有明确管理边界，纳入游乐场、主题乐园范畴管理的区域。（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【来源】《场(厂)内专用机动车辆安全技术规程》（TSG 81—2022）1.2.1  工厂厂区、旅游景区、游乐场所</w:t>
      </w:r>
    </w:p>
    <w:p>
      <w:pPr>
        <w:jc w:val="left"/>
      </w:pPr>
      <w:r>
        <w:rPr>
          <w:rFonts w:ascii="宋体" w:hAnsi="宋体" w:eastAsia="宋体"/>
          <w:sz w:val="24"/>
        </w:rPr>
        <w:t>工厂厂区，指有明确管理边界，从事加工、组装等的制造厂厂区，港口(码头)，铁路货场和物流园区。</w:t>
      </w:r>
    </w:p>
    <w:p>
      <w:pPr>
        <w:jc w:val="left"/>
      </w:pPr>
      <w:r>
        <w:rPr>
          <w:rFonts w:ascii="宋体" w:hAnsi="宋体" w:eastAsia="宋体"/>
          <w:sz w:val="24"/>
        </w:rPr>
        <w:t>旅游景区，指有明确管理边界，纳入风景游览区、公园、动物园、植物园范畴管理的区域。</w:t>
      </w:r>
    </w:p>
    <w:p>
      <w:pPr>
        <w:jc w:val="left"/>
      </w:pPr>
      <w:r>
        <w:rPr>
          <w:rFonts w:ascii="宋体" w:hAnsi="宋体" w:eastAsia="宋体"/>
          <w:sz w:val="24"/>
        </w:rPr>
        <w:t>游乐场所，指有明确管理边界，纳入游乐场、主题乐园范畴管理的区域。</w:t>
      </w:r>
    </w:p>
    <w:p>
      <w:pPr>
        <w:jc w:val="left"/>
      </w:pPr>
      <w:r>
        <w:rPr>
          <w:rFonts w:ascii="宋体" w:hAnsi="宋体" w:eastAsia="宋体"/>
          <w:sz w:val="24"/>
        </w:rPr>
        <w:t>选择题</w:t>
      </w:r>
    </w:p>
    <w:p>
      <w:pPr>
        <w:jc w:val="left"/>
      </w:pPr>
      <w:r>
        <w:rPr>
          <w:rFonts w:ascii="宋体" w:hAnsi="宋体" w:eastAsia="宋体"/>
          <w:sz w:val="24"/>
        </w:rPr>
        <w:t>1、根据《场(厂)内专用机动车辆安全技术规程》（TSG 81—2022）的规定，以下区域不属于旅游景区的是（      ）。</w:t>
      </w:r>
    </w:p>
    <w:p>
      <w:pPr>
        <w:jc w:val="left"/>
      </w:pPr>
      <w:r>
        <w:rPr>
          <w:rFonts w:ascii="宋体" w:hAnsi="宋体" w:eastAsia="宋体"/>
          <w:sz w:val="24"/>
        </w:rPr>
        <w:t>A、风景游览区</w:t>
      </w:r>
    </w:p>
    <w:p>
      <w:pPr>
        <w:jc w:val="left"/>
      </w:pPr>
      <w:r>
        <w:rPr>
          <w:rFonts w:ascii="宋体" w:hAnsi="宋体" w:eastAsia="宋体"/>
          <w:sz w:val="24"/>
        </w:rPr>
        <w:t>B、公园</w:t>
      </w:r>
    </w:p>
    <w:p>
      <w:pPr>
        <w:jc w:val="left"/>
      </w:pPr>
      <w:r>
        <w:rPr>
          <w:rFonts w:ascii="宋体" w:hAnsi="宋体" w:eastAsia="宋体"/>
          <w:sz w:val="24"/>
        </w:rPr>
        <w:t>C、工厂厂区</w:t>
      </w:r>
    </w:p>
    <w:p>
      <w:pPr>
        <w:jc w:val="left"/>
      </w:pPr>
      <w:r>
        <w:rPr>
          <w:rFonts w:ascii="宋体" w:hAnsi="宋体" w:eastAsia="宋体"/>
          <w:sz w:val="24"/>
        </w:rPr>
        <w:t>D、动物园</w:t>
      </w:r>
    </w:p>
    <w:p>
      <w:pPr>
        <w:jc w:val="left"/>
      </w:pPr>
      <w:r>
        <w:rPr>
          <w:rFonts w:ascii="宋体" w:hAnsi="宋体" w:eastAsia="宋体"/>
          <w:sz w:val="24"/>
        </w:rPr>
        <w:t>【来源】《场(厂)内专用机动车辆安全技术规程》（TSG 81—2022）1.2.1  工厂厂区、旅游景区、游乐场所</w:t>
      </w:r>
    </w:p>
    <w:p>
      <w:pPr>
        <w:jc w:val="left"/>
      </w:pPr>
      <w:r>
        <w:rPr>
          <w:rFonts w:ascii="宋体" w:hAnsi="宋体" w:eastAsia="宋体"/>
          <w:sz w:val="24"/>
        </w:rPr>
        <w:t>工厂厂区，指有明确管理边界，从事加工、组装等的制造厂厂区，港口(码头)，铁路货场和物流园区。</w:t>
      </w:r>
    </w:p>
    <w:p>
      <w:pPr>
        <w:jc w:val="left"/>
      </w:pPr>
      <w:r>
        <w:rPr>
          <w:rFonts w:ascii="宋体" w:hAnsi="宋体" w:eastAsia="宋体"/>
          <w:sz w:val="24"/>
        </w:rPr>
        <w:t>旅游景区，指有明确管理边界，纳入风景游览区、公园、动物园、植物园范畴管理的区域。</w:t>
      </w:r>
    </w:p>
    <w:p>
      <w:pPr>
        <w:jc w:val="left"/>
      </w:pPr>
      <w:r>
        <w:rPr>
          <w:rFonts w:ascii="宋体" w:hAnsi="宋体" w:eastAsia="宋体"/>
          <w:sz w:val="24"/>
        </w:rPr>
        <w:t>游乐场所，指有明确管理边界，纳入游乐场、主题乐园范畴管理的区域。</w:t>
      </w:r>
    </w:p>
    <w:p>
      <w:pPr>
        <w:jc w:val="left"/>
      </w:pPr>
      <w:r>
        <w:rPr>
          <w:rFonts w:ascii="宋体" w:hAnsi="宋体" w:eastAsia="宋体"/>
          <w:sz w:val="24"/>
        </w:rPr>
        <w:t>2、根据《场(厂)内专用机动车辆安全技术规程》（TSG 81—2022）的规定，定期检验是指在场车生产单位或者（      ）单位进行自行检查的基础上，由经核准的特种设备检验机构依据《场车规程》对场车按照一定的周期进行的检验。</w:t>
      </w:r>
    </w:p>
    <w:p>
      <w:pPr>
        <w:jc w:val="left"/>
      </w:pPr>
      <w:r>
        <w:rPr>
          <w:rFonts w:ascii="宋体" w:hAnsi="宋体" w:eastAsia="宋体"/>
          <w:sz w:val="24"/>
        </w:rPr>
        <w:t>A、维保</w:t>
      </w:r>
    </w:p>
    <w:p>
      <w:pPr>
        <w:jc w:val="left"/>
      </w:pPr>
      <w:r>
        <w:rPr>
          <w:rFonts w:ascii="宋体" w:hAnsi="宋体" w:eastAsia="宋体"/>
          <w:sz w:val="24"/>
        </w:rPr>
        <w:t>B、使用</w:t>
      </w:r>
    </w:p>
    <w:p>
      <w:pPr>
        <w:jc w:val="left"/>
      </w:pPr>
      <w:r>
        <w:rPr>
          <w:rFonts w:ascii="宋体" w:hAnsi="宋体" w:eastAsia="宋体"/>
          <w:sz w:val="24"/>
        </w:rPr>
        <w:t>C、改造</w:t>
      </w:r>
    </w:p>
    <w:p>
      <w:pPr>
        <w:jc w:val="left"/>
      </w:pPr>
      <w:r>
        <w:rPr>
          <w:rFonts w:ascii="宋体" w:hAnsi="宋体" w:eastAsia="宋体"/>
          <w:sz w:val="24"/>
        </w:rPr>
        <w:t>D、检验</w:t>
      </w:r>
    </w:p>
    <w:p>
      <w:pPr>
        <w:jc w:val="left"/>
      </w:pPr>
      <w:r>
        <w:rPr>
          <w:rFonts w:ascii="宋体" w:hAnsi="宋体" w:eastAsia="宋体"/>
          <w:sz w:val="24"/>
        </w:rPr>
        <w:t>【来源】《场(厂)内专用机动车辆安全技术规程》（TSG 81—2022）4.2.1.1  定期(首次)检验</w:t>
      </w:r>
    </w:p>
    <w:p>
      <w:pPr>
        <w:jc w:val="left"/>
      </w:pPr>
      <w:r>
        <w:rPr>
          <w:rFonts w:ascii="宋体" w:hAnsi="宋体" w:eastAsia="宋体"/>
          <w:sz w:val="24"/>
        </w:rPr>
        <w:t>定期检验是指在场车生产单位或者使用单位进行自行检查的基础上，由经核准的特种设备检验机构依据本规程对场车按照一定的周期进行的检验。</w:t>
      </w:r>
    </w:p>
    <w:p>
      <w:pPr>
        <w:jc w:val="left"/>
      </w:pPr>
      <w:r>
        <w:rPr>
          <w:rFonts w:ascii="宋体" w:hAnsi="宋体" w:eastAsia="宋体"/>
          <w:sz w:val="24"/>
        </w:rPr>
        <w:t>3、根据《场(厂)内专用机动车辆安全技术规程》（TSG 81—2022）的规定，在用叉车的定期检验每（      ）年1次。</w:t>
      </w:r>
    </w:p>
    <w:p>
      <w:pPr>
        <w:jc w:val="left"/>
      </w:pPr>
      <w:r>
        <w:rPr>
          <w:rFonts w:ascii="宋体" w:hAnsi="宋体" w:eastAsia="宋体"/>
          <w:sz w:val="24"/>
        </w:rPr>
        <w:t>A、5</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D、4</w:t>
      </w:r>
    </w:p>
    <w:p>
      <w:pPr>
        <w:jc w:val="left"/>
      </w:pPr>
      <w:r>
        <w:rPr>
          <w:rFonts w:ascii="宋体" w:hAnsi="宋体" w:eastAsia="宋体"/>
          <w:sz w:val="24"/>
        </w:rPr>
        <w:t>【来源】《场(厂)内专用机动车辆安全技术规程》（TSG 81—2022）4.2.1.2  定期检验周期</w:t>
      </w:r>
    </w:p>
    <w:p>
      <w:pPr>
        <w:jc w:val="left"/>
      </w:pPr>
      <w:r>
        <w:rPr>
          <w:rFonts w:ascii="宋体" w:hAnsi="宋体" w:eastAsia="宋体"/>
          <w:sz w:val="24"/>
        </w:rPr>
        <w:t>在用叉车的定期检验每2年1次；在用非公路用旅游观光车辆的定期检验每年1次。</w:t>
      </w:r>
    </w:p>
    <w:p>
      <w:pPr>
        <w:jc w:val="left"/>
      </w:pPr>
      <w:r>
        <w:rPr>
          <w:rFonts w:ascii="宋体" w:hAnsi="宋体" w:eastAsia="宋体"/>
          <w:sz w:val="24"/>
        </w:rPr>
        <w:t>4、根据《场(厂)内专用机动车辆安全技术规程》（TSG 81—2022）的规定，观光车辆的行驶路线中不得存在爆炸性环境，路面边沿3m(弯道处为4.5m)内有悬崖、深谷、深沟或水域的路段，应当（      ）。</w:t>
      </w:r>
    </w:p>
    <w:p>
      <w:pPr>
        <w:jc w:val="left"/>
      </w:pPr>
      <w:r>
        <w:rPr>
          <w:rFonts w:ascii="宋体" w:hAnsi="宋体" w:eastAsia="宋体"/>
          <w:sz w:val="24"/>
        </w:rPr>
        <w:t>A、设置防护能力与车辆相匹配的路侧护栏</w:t>
      </w:r>
    </w:p>
    <w:p>
      <w:pPr>
        <w:jc w:val="left"/>
      </w:pPr>
      <w:r>
        <w:rPr>
          <w:rFonts w:ascii="宋体" w:hAnsi="宋体" w:eastAsia="宋体"/>
          <w:sz w:val="24"/>
        </w:rPr>
        <w:t>B、设置警示标志</w:t>
      </w:r>
    </w:p>
    <w:p>
      <w:pPr>
        <w:jc w:val="left"/>
      </w:pPr>
      <w:r>
        <w:rPr>
          <w:rFonts w:ascii="宋体" w:hAnsi="宋体" w:eastAsia="宋体"/>
          <w:sz w:val="24"/>
        </w:rPr>
        <w:t>C、设置警示语句</w:t>
      </w:r>
    </w:p>
    <w:p>
      <w:pPr>
        <w:jc w:val="left"/>
      </w:pPr>
      <w:r>
        <w:rPr>
          <w:rFonts w:ascii="宋体" w:hAnsi="宋体" w:eastAsia="宋体"/>
          <w:sz w:val="24"/>
        </w:rPr>
        <w:t>D、安排专人值守</w:t>
      </w:r>
    </w:p>
    <w:p>
      <w:pPr>
        <w:jc w:val="left"/>
      </w:pPr>
      <w:r>
        <w:rPr>
          <w:rFonts w:ascii="宋体" w:hAnsi="宋体" w:eastAsia="宋体"/>
          <w:sz w:val="24"/>
        </w:rPr>
        <w:t>【来源】《场(厂)内专用机动车辆安全技术规程》（TSG 81—2022）5.1.2  作业环境</w:t>
      </w:r>
    </w:p>
    <w:p>
      <w:pPr>
        <w:jc w:val="left"/>
      </w:pPr>
      <w:r>
        <w:rPr>
          <w:rFonts w:ascii="宋体" w:hAnsi="宋体" w:eastAsia="宋体"/>
          <w:sz w:val="24"/>
        </w:rPr>
        <w:t>(3)观光车辆的行驶路线中不得存在爆炸性环境，路面边沿3m(弯道处为4.5m)内有悬崖、深谷、深沟或水域的路段，应当设置防护能力与车辆相匹配的路侧护栏。存在陡坡、连续下坡、急弯、窄道、交岔口等特殊情况的路段，使用单位应当评估风险，根据需要设置相应的标志、标线、避险车道、减速丘、凸面镜等安全设施，或者采取限速、分流等管理措施。</w:t>
      </w:r>
    </w:p>
    <w:p>
      <w:pPr>
        <w:jc w:val="left"/>
      </w:pPr>
      <w:r>
        <w:rPr>
          <w:rFonts w:ascii="宋体" w:hAnsi="宋体" w:eastAsia="宋体"/>
          <w:sz w:val="24"/>
        </w:rPr>
        <w:t>5、根据《场(厂)内专用机动车辆安全技术规程》（TSG 81—2022）的规定，改造是指改变原叉车车架结构、驾驶方式，动力方式、传动方式，或者改变叉车原（      ）或者载荷曲线的活动。</w:t>
      </w:r>
    </w:p>
    <w:p>
      <w:pPr>
        <w:jc w:val="left"/>
      </w:pPr>
      <w:r>
        <w:rPr>
          <w:rFonts w:ascii="宋体" w:hAnsi="宋体" w:eastAsia="宋体"/>
          <w:sz w:val="24"/>
        </w:rPr>
        <w:t>A、长度</w:t>
      </w:r>
    </w:p>
    <w:p>
      <w:pPr>
        <w:jc w:val="left"/>
      </w:pPr>
      <w:r>
        <w:rPr>
          <w:rFonts w:ascii="宋体" w:hAnsi="宋体" w:eastAsia="宋体"/>
          <w:sz w:val="24"/>
        </w:rPr>
        <w:t>B、重量</w:t>
      </w:r>
    </w:p>
    <w:p>
      <w:pPr>
        <w:jc w:val="left"/>
      </w:pPr>
      <w:r>
        <w:rPr>
          <w:rFonts w:ascii="宋体" w:hAnsi="宋体" w:eastAsia="宋体"/>
          <w:sz w:val="24"/>
        </w:rPr>
        <w:t>C、宽度</w:t>
      </w:r>
    </w:p>
    <w:p>
      <w:pPr>
        <w:jc w:val="left"/>
      </w:pPr>
      <w:r>
        <w:rPr>
          <w:rFonts w:ascii="宋体" w:hAnsi="宋体" w:eastAsia="宋体"/>
          <w:sz w:val="24"/>
        </w:rPr>
        <w:t>D、主参数</w:t>
      </w:r>
    </w:p>
    <w:p>
      <w:pPr>
        <w:jc w:val="left"/>
      </w:pPr>
      <w:r>
        <w:rPr>
          <w:rFonts w:ascii="宋体" w:hAnsi="宋体" w:eastAsia="宋体"/>
          <w:sz w:val="24"/>
        </w:rPr>
        <w:t>【来源】《场(厂)内专用机动车辆安全技术规程》（TSG 81—2022）6.1  用语的含义</w:t>
      </w:r>
    </w:p>
    <w:p>
      <w:pPr>
        <w:jc w:val="left"/>
      </w:pPr>
      <w:r>
        <w:rPr>
          <w:rFonts w:ascii="宋体" w:hAnsi="宋体" w:eastAsia="宋体"/>
          <w:sz w:val="24"/>
        </w:rPr>
        <w:t>(1)改造，是指改变原叉车的动力方式、传动方式、车架结构、驾驶方式，观光车辆的动力方式、传动方式，或者改变场车原主参数或者载荷曲线的活动。</w:t>
      </w:r>
    </w:p>
    <w:p>
      <w:pPr>
        <w:jc w:val="left"/>
      </w:pPr>
      <w:r>
        <w:rPr>
          <w:rFonts w:ascii="宋体" w:hAnsi="宋体" w:eastAsia="宋体"/>
          <w:sz w:val="24"/>
        </w:rPr>
        <w:t>6、根据《场(厂)内专用机动车辆安全技术规程》（TSG 81—2022）的规定，改造后，场车整车安全性能由（      ）单位负责。</w:t>
      </w:r>
    </w:p>
    <w:p>
      <w:pPr>
        <w:jc w:val="left"/>
      </w:pPr>
      <w:r>
        <w:rPr>
          <w:rFonts w:ascii="宋体" w:hAnsi="宋体" w:eastAsia="宋体"/>
          <w:sz w:val="24"/>
        </w:rPr>
        <w:t>A、生产</w:t>
      </w:r>
    </w:p>
    <w:p>
      <w:pPr>
        <w:jc w:val="left"/>
      </w:pPr>
      <w:r>
        <w:rPr>
          <w:rFonts w:ascii="宋体" w:hAnsi="宋体" w:eastAsia="宋体"/>
          <w:sz w:val="24"/>
        </w:rPr>
        <w:t>B、设计</w:t>
      </w:r>
    </w:p>
    <w:p>
      <w:pPr>
        <w:jc w:val="left"/>
      </w:pPr>
      <w:r>
        <w:rPr>
          <w:rFonts w:ascii="宋体" w:hAnsi="宋体" w:eastAsia="宋体"/>
          <w:sz w:val="24"/>
        </w:rPr>
        <w:t>C、改造</w:t>
      </w:r>
    </w:p>
    <w:p>
      <w:pPr>
        <w:jc w:val="left"/>
      </w:pPr>
      <w:r>
        <w:rPr>
          <w:rFonts w:ascii="宋体" w:hAnsi="宋体" w:eastAsia="宋体"/>
          <w:sz w:val="24"/>
        </w:rPr>
        <w:t>D、使用</w:t>
      </w:r>
    </w:p>
    <w:p>
      <w:pPr>
        <w:jc w:val="left"/>
      </w:pPr>
      <w:r>
        <w:rPr>
          <w:rFonts w:ascii="宋体" w:hAnsi="宋体" w:eastAsia="宋体"/>
          <w:sz w:val="24"/>
        </w:rPr>
        <w:t>【来源】《场(厂)内专用机动车辆安全技术规程》（TSG 81—2022）3.5.2 改造后的产品质量合格证明</w:t>
      </w:r>
    </w:p>
    <w:p>
      <w:pPr>
        <w:jc w:val="left"/>
      </w:pPr>
      <w:r>
        <w:rPr>
          <w:rFonts w:ascii="宋体" w:hAnsi="宋体" w:eastAsia="宋体"/>
          <w:sz w:val="24"/>
        </w:rPr>
        <w:t>改造后，场车整车安全性能由改造单位负责，改造单位应当按照3.4.2出具产品质量合格证明。</w:t>
      </w:r>
    </w:p>
    <w:p>
      <w:pPr>
        <w:jc w:val="left"/>
      </w:pPr>
      <w:r>
        <w:rPr>
          <w:rFonts w:ascii="宋体" w:hAnsi="宋体" w:eastAsia="宋体"/>
          <w:sz w:val="24"/>
        </w:rPr>
        <w:t>7、根据《场(厂)内专用机动车辆安全技术规程》（TSG 81—2022）的规定，场车改造、修理后，改造、修理单位应当按照要求完成检验，检验报告和相关技术资料应当移交（      ）单位存档。</w:t>
      </w:r>
    </w:p>
    <w:p>
      <w:pPr>
        <w:jc w:val="left"/>
      </w:pPr>
      <w:r>
        <w:rPr>
          <w:rFonts w:ascii="宋体" w:hAnsi="宋体" w:eastAsia="宋体"/>
          <w:sz w:val="24"/>
        </w:rPr>
        <w:t>A、生产</w:t>
      </w:r>
    </w:p>
    <w:p>
      <w:pPr>
        <w:jc w:val="left"/>
      </w:pPr>
      <w:r>
        <w:rPr>
          <w:rFonts w:ascii="宋体" w:hAnsi="宋体" w:eastAsia="宋体"/>
          <w:sz w:val="24"/>
        </w:rPr>
        <w:t>B、改造</w:t>
      </w:r>
    </w:p>
    <w:p>
      <w:pPr>
        <w:jc w:val="left"/>
      </w:pPr>
      <w:r>
        <w:rPr>
          <w:rFonts w:ascii="宋体" w:hAnsi="宋体" w:eastAsia="宋体"/>
          <w:sz w:val="24"/>
        </w:rPr>
        <w:t>C、修理</w:t>
      </w:r>
    </w:p>
    <w:p>
      <w:pPr>
        <w:jc w:val="left"/>
      </w:pPr>
      <w:r>
        <w:rPr>
          <w:rFonts w:ascii="宋体" w:hAnsi="宋体" w:eastAsia="宋体"/>
          <w:sz w:val="24"/>
        </w:rPr>
        <w:t>D、使用</w:t>
      </w:r>
    </w:p>
    <w:p>
      <w:pPr>
        <w:jc w:val="left"/>
      </w:pPr>
      <w:r>
        <w:rPr>
          <w:rFonts w:ascii="宋体" w:hAnsi="宋体" w:eastAsia="宋体"/>
          <w:sz w:val="24"/>
        </w:rPr>
        <w:t>【来源】《场(厂)内专用机动车辆安全技术规程》（TSG 81—2022）3.5.4  改造与修理的检验</w:t>
      </w:r>
    </w:p>
    <w:p>
      <w:pPr>
        <w:jc w:val="left"/>
      </w:pPr>
      <w:r>
        <w:rPr>
          <w:rFonts w:ascii="宋体" w:hAnsi="宋体" w:eastAsia="宋体"/>
          <w:sz w:val="24"/>
        </w:rPr>
        <w:t>(1)场车改造、修理后，改造、修理单位应当按照3.3的要求完成检验，检验报告和相关技术资料应当移交使用单位存档；</w:t>
      </w:r>
    </w:p>
    <w:p>
      <w:pPr>
        <w:jc w:val="left"/>
      </w:pPr>
      <w:r>
        <w:rPr>
          <w:rFonts w:ascii="宋体" w:hAnsi="宋体" w:eastAsia="宋体"/>
          <w:sz w:val="24"/>
        </w:rPr>
        <w:t>(2)场车改造后应当经首次检验合格，并且变更使用登记后方可投入使用。</w:t>
      </w:r>
    </w:p>
    <w:p>
      <w:pPr>
        <w:jc w:val="left"/>
      </w:pPr>
      <w:r>
        <w:rPr>
          <w:rFonts w:ascii="宋体" w:hAnsi="宋体" w:eastAsia="宋体"/>
          <w:sz w:val="24"/>
        </w:rPr>
        <w:t>8、根据《特种设备安全监督检查办法》的规定，特种设备未取得许可生产、国家明令淘汰、已经报废或者达到报废条件，继续使用的，属于（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9、根据《特种设备安全监督检查办法》的规定，特种设备发生过事故或者有明显故障，未对其进行全面检查、消除事故隐患，继续使用的，属于（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10、根据《特种设备安全监督检查办法》的规定，特种设备未经监督检验或者经检验、检测不合格，继续使用的，属于（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11、根据《特种设备安全监督检查办法》的规定，特种设备安全附件、安全保护装置缺失或者失灵，继续使用的，属于（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12、根据《特种设备事故报告和调查处理导则》（TSG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p>
    <w:p>
      <w:pPr>
        <w:jc w:val="left"/>
      </w:pPr>
      <w:r>
        <w:rPr>
          <w:rFonts w:ascii="宋体" w:hAnsi="宋体" w:eastAsia="宋体"/>
          <w:sz w:val="24"/>
        </w:rPr>
        <w:t>A、半</w:t>
      </w:r>
    </w:p>
    <w:p>
      <w:pPr>
        <w:jc w:val="left"/>
      </w:pPr>
      <w:r>
        <w:rPr>
          <w:rFonts w:ascii="宋体" w:hAnsi="宋体" w:eastAsia="宋体"/>
          <w:sz w:val="24"/>
        </w:rPr>
        <w:t>B、1</w:t>
      </w:r>
    </w:p>
    <w:p>
      <w:pPr>
        <w:jc w:val="left"/>
      </w:pPr>
      <w:r>
        <w:rPr>
          <w:rFonts w:ascii="宋体" w:hAnsi="宋体" w:eastAsia="宋体"/>
          <w:sz w:val="24"/>
        </w:rPr>
        <w:t>C、2</w:t>
      </w:r>
    </w:p>
    <w:p>
      <w:pPr>
        <w:jc w:val="left"/>
      </w:pPr>
      <w:r>
        <w:rPr>
          <w:rFonts w:ascii="宋体" w:hAnsi="宋体" w:eastAsia="宋体"/>
          <w:sz w:val="24"/>
        </w:rPr>
        <w:t>D、3</w:t>
      </w:r>
    </w:p>
    <w:p>
      <w:pPr>
        <w:jc w:val="left"/>
      </w:pPr>
      <w:r>
        <w:rPr>
          <w:rFonts w:ascii="宋体" w:hAnsi="宋体" w:eastAsia="宋体"/>
          <w:sz w:val="24"/>
        </w:rPr>
        <w:t>【来源】《特种设备事故报告和调查处理导则》（TSG 03-2015）3.1.1事故发生单位的报告</w:t>
      </w:r>
    </w:p>
    <w:p>
      <w:pPr>
        <w:jc w:val="left"/>
      </w:pPr>
      <w:r>
        <w:rPr>
          <w:rFonts w:ascii="宋体" w:hAnsi="宋体" w:eastAsia="宋体"/>
          <w:sz w:val="24"/>
        </w:rP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pPr>
        <w:jc w:val="left"/>
      </w:pPr>
      <w:r>
        <w:rPr>
          <w:rFonts w:ascii="宋体" w:hAnsi="宋体" w:eastAsia="宋体"/>
          <w:sz w:val="24"/>
        </w:rPr>
        <w:t>13、根据《特种设备事故报告和调查处理导则》（TSG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p>
    <w:p>
      <w:pPr>
        <w:jc w:val="left"/>
      </w:pPr>
      <w:r>
        <w:rPr>
          <w:rFonts w:ascii="宋体" w:hAnsi="宋体" w:eastAsia="宋体"/>
          <w:sz w:val="24"/>
        </w:rPr>
        <w:t>A、负责人</w:t>
      </w:r>
    </w:p>
    <w:p>
      <w:pPr>
        <w:jc w:val="left"/>
      </w:pPr>
      <w:r>
        <w:rPr>
          <w:rFonts w:ascii="宋体" w:hAnsi="宋体" w:eastAsia="宋体"/>
          <w:sz w:val="24"/>
        </w:rPr>
        <w:t>B、特种设备主管</w:t>
      </w:r>
    </w:p>
    <w:p>
      <w:pPr>
        <w:jc w:val="left"/>
      </w:pPr>
      <w:r>
        <w:rPr>
          <w:rFonts w:ascii="宋体" w:hAnsi="宋体" w:eastAsia="宋体"/>
          <w:sz w:val="24"/>
        </w:rPr>
        <w:t>C、特种设备安全管理员</w:t>
      </w:r>
    </w:p>
    <w:p>
      <w:pPr>
        <w:jc w:val="left"/>
      </w:pPr>
      <w:r>
        <w:rPr>
          <w:rFonts w:ascii="宋体" w:hAnsi="宋体" w:eastAsia="宋体"/>
          <w:sz w:val="24"/>
        </w:rPr>
        <w:t>D、特种设备作业人员</w:t>
      </w:r>
    </w:p>
    <w:p>
      <w:pPr>
        <w:jc w:val="left"/>
      </w:pPr>
      <w:r>
        <w:rPr>
          <w:rFonts w:ascii="宋体" w:hAnsi="宋体" w:eastAsia="宋体"/>
          <w:sz w:val="24"/>
        </w:rPr>
        <w:t>【来源】《特种设备事故报告和调查处理导则》（TSG 03-2015）3.1.1事故发生单位的报告</w:t>
      </w:r>
    </w:p>
    <w:p>
      <w:pPr>
        <w:jc w:val="left"/>
      </w:pPr>
      <w:r>
        <w:rPr>
          <w:rFonts w:ascii="宋体" w:hAnsi="宋体" w:eastAsia="宋体"/>
          <w:sz w:val="24"/>
        </w:rP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pPr>
        <w:jc w:val="left"/>
      </w:pPr>
      <w:r>
        <w:rPr>
          <w:rFonts w:ascii="宋体" w:hAnsi="宋体" w:eastAsia="宋体"/>
          <w:sz w:val="24"/>
        </w:rPr>
        <w:t>14、根据《中华人民共和国特种设备安全法》的规定，特种设备进行改造、修理，按照规定需要变更使用登记的，应当办理（      ），方可继续使用。</w:t>
      </w:r>
    </w:p>
    <w:p>
      <w:pPr>
        <w:jc w:val="left"/>
      </w:pPr>
      <w:r>
        <w:rPr>
          <w:rFonts w:ascii="宋体" w:hAnsi="宋体" w:eastAsia="宋体"/>
          <w:sz w:val="24"/>
        </w:rPr>
        <w:t>A、变更登记</w:t>
      </w:r>
    </w:p>
    <w:p>
      <w:pPr>
        <w:jc w:val="left"/>
      </w:pPr>
      <w:r>
        <w:rPr>
          <w:rFonts w:ascii="宋体" w:hAnsi="宋体" w:eastAsia="宋体"/>
          <w:sz w:val="24"/>
        </w:rPr>
        <w:t>B、报废</w:t>
      </w:r>
    </w:p>
    <w:p>
      <w:pPr>
        <w:jc w:val="left"/>
      </w:pPr>
      <w:r>
        <w:rPr>
          <w:rFonts w:ascii="宋体" w:hAnsi="宋体" w:eastAsia="宋体"/>
          <w:sz w:val="24"/>
        </w:rPr>
        <w:t>C、停用</w:t>
      </w:r>
    </w:p>
    <w:p>
      <w:pPr>
        <w:jc w:val="left"/>
      </w:pPr>
      <w:r>
        <w:rPr>
          <w:rFonts w:ascii="宋体" w:hAnsi="宋体" w:eastAsia="宋体"/>
          <w:sz w:val="24"/>
        </w:rPr>
        <w:t>D、重新登记</w:t>
      </w:r>
    </w:p>
    <w:p>
      <w:pPr>
        <w:jc w:val="left"/>
      </w:pPr>
      <w:r>
        <w:rPr>
          <w:rFonts w:ascii="宋体" w:hAnsi="宋体" w:eastAsia="宋体"/>
          <w:sz w:val="24"/>
        </w:rPr>
        <w:t>【来源】《中华人民共和国特种设备安全法》第四十七条 特种设备进行改造、修理，按照规定需要变更使用登记的，应当办理变更登记，方可继续使用。</w:t>
      </w:r>
    </w:p>
    <w:p>
      <w:pPr>
        <w:jc w:val="left"/>
      </w:pPr>
      <w:r>
        <w:rPr>
          <w:rFonts w:ascii="宋体" w:hAnsi="宋体" w:eastAsia="宋体"/>
          <w:sz w:val="24"/>
        </w:rPr>
        <w:t>15、根据《特种设备安全监察条例》的规定，特种设备使用单位应当使用符合（      ）要求的特种设备。</w:t>
      </w:r>
    </w:p>
    <w:p>
      <w:pPr>
        <w:jc w:val="left"/>
      </w:pPr>
      <w:r>
        <w:rPr>
          <w:rFonts w:ascii="宋体" w:hAnsi="宋体" w:eastAsia="宋体"/>
          <w:sz w:val="24"/>
        </w:rPr>
        <w:t>A、安全技术规范</w:t>
      </w:r>
    </w:p>
    <w:p>
      <w:pPr>
        <w:jc w:val="left"/>
      </w:pPr>
      <w:r>
        <w:rPr>
          <w:rFonts w:ascii="宋体" w:hAnsi="宋体" w:eastAsia="宋体"/>
          <w:sz w:val="24"/>
        </w:rPr>
        <w:t>B、使用单位</w:t>
      </w:r>
    </w:p>
    <w:p>
      <w:pPr>
        <w:jc w:val="left"/>
      </w:pPr>
      <w:r>
        <w:rPr>
          <w:rFonts w:ascii="宋体" w:hAnsi="宋体" w:eastAsia="宋体"/>
          <w:sz w:val="24"/>
        </w:rPr>
        <w:t>C、检查人员</w:t>
      </w:r>
    </w:p>
    <w:p>
      <w:pPr>
        <w:jc w:val="left"/>
      </w:pPr>
      <w:r>
        <w:rPr>
          <w:rFonts w:ascii="宋体" w:hAnsi="宋体" w:eastAsia="宋体"/>
          <w:sz w:val="24"/>
        </w:rPr>
        <w:t>D、上级部门</w:t>
      </w:r>
    </w:p>
    <w:p>
      <w:pPr>
        <w:jc w:val="left"/>
      </w:pPr>
      <w:r>
        <w:rPr>
          <w:rFonts w:ascii="宋体" w:hAnsi="宋体" w:eastAsia="宋体"/>
          <w:sz w:val="24"/>
        </w:rPr>
        <w:t>【来源】《特种设备安全监察条例》　　第二十四条　特种设备使用单位应当使用符合安全技术规范要求的特种设备。特种设备投入使用前，使用单位应当核对其是否附有本条例第十五条规定的相关文件。</w:t>
      </w:r>
    </w:p>
    <w:p>
      <w:pPr>
        <w:jc w:val="left"/>
      </w:pPr>
      <w:r>
        <w:rPr>
          <w:rFonts w:ascii="宋体" w:hAnsi="宋体" w:eastAsia="宋体"/>
          <w:sz w:val="24"/>
        </w:rPr>
        <w:t>16、根据《特种设备安全监察条例》的规定，特种设备不符合能效指标的，特种设备使用单位应当采取相应措施进行（      ）。</w:t>
      </w:r>
    </w:p>
    <w:p>
      <w:pPr>
        <w:jc w:val="left"/>
      </w:pPr>
      <w:r>
        <w:rPr>
          <w:rFonts w:ascii="宋体" w:hAnsi="宋体" w:eastAsia="宋体"/>
          <w:sz w:val="24"/>
        </w:rPr>
        <w:t>A、修理</w:t>
      </w:r>
    </w:p>
    <w:p>
      <w:pPr>
        <w:jc w:val="left"/>
      </w:pPr>
      <w:r>
        <w:rPr>
          <w:rFonts w:ascii="宋体" w:hAnsi="宋体" w:eastAsia="宋体"/>
          <w:sz w:val="24"/>
        </w:rPr>
        <w:t>B、改造</w:t>
      </w:r>
    </w:p>
    <w:p>
      <w:pPr>
        <w:jc w:val="left"/>
      </w:pPr>
      <w:r>
        <w:rPr>
          <w:rFonts w:ascii="宋体" w:hAnsi="宋体" w:eastAsia="宋体"/>
          <w:sz w:val="24"/>
        </w:rPr>
        <w:t>C、整改</w:t>
      </w:r>
    </w:p>
    <w:p>
      <w:pPr>
        <w:jc w:val="left"/>
      </w:pPr>
      <w:r>
        <w:rPr>
          <w:rFonts w:ascii="宋体" w:hAnsi="宋体" w:eastAsia="宋体"/>
          <w:sz w:val="24"/>
        </w:rPr>
        <w:t>D、报废</w:t>
      </w:r>
    </w:p>
    <w:p>
      <w:pPr>
        <w:jc w:val="left"/>
      </w:pPr>
      <w:r>
        <w:rPr>
          <w:rFonts w:ascii="宋体" w:hAnsi="宋体" w:eastAsia="宋体"/>
          <w:sz w:val="24"/>
        </w:rPr>
        <w:t>【来源】《特种设备安全监察条例》　　第二十九条　特种设备出现故障或者发生异常情况，使用单位应当对其进行全面检查，消除事故隐患后，方可重新投入使用。　　特种设备不符合能效指标的，特种设备使用单位应当采取相应措施进行整改。</w:t>
      </w:r>
    </w:p>
    <w:p>
      <w:pPr>
        <w:jc w:val="left"/>
      </w:pPr>
      <w:r>
        <w:rPr>
          <w:rFonts w:ascii="宋体" w:hAnsi="宋体" w:eastAsia="宋体"/>
          <w:sz w:val="24"/>
        </w:rPr>
        <w:t>17、根据《特种设备使用管理规则》的规定，主要负责人是指特种设备使用单位的实际最高管理者，对其单位所使用的特种设备安全节能负总责，每（      ）至少组织召开一次安全调度会议。</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D、季度</w:t>
      </w:r>
    </w:p>
    <w:p>
      <w:pPr>
        <w:jc w:val="left"/>
      </w:pPr>
      <w:r>
        <w:rPr>
          <w:rFonts w:ascii="宋体" w:hAnsi="宋体" w:eastAsia="宋体"/>
          <w:sz w:val="24"/>
        </w:rPr>
        <w:t>【来源】《特种设备使用管理规则》主要负责人是指特种设备使用单位的实际最高管理者，对其单位所使用的特种设备安全节能负总责，每月至少组织召开一次安全调度会议。</w:t>
      </w:r>
    </w:p>
    <w:p>
      <w:pPr>
        <w:jc w:val="left"/>
      </w:pPr>
      <w:r>
        <w:rPr>
          <w:rFonts w:ascii="宋体" w:hAnsi="宋体" w:eastAsia="宋体"/>
          <w:sz w:val="24"/>
        </w:rPr>
        <w:t>18、根据《特种设备使用管理规则》的规定，按照特种设备使用管理规则要求设置安 全管理机构的使用单位安全管理负责人， （      ）取得相应的特种设备安全管理人员资格证书。</w:t>
      </w:r>
    </w:p>
    <w:p>
      <w:pPr>
        <w:jc w:val="left"/>
      </w:pPr>
      <w:r>
        <w:rPr>
          <w:rFonts w:ascii="宋体" w:hAnsi="宋体" w:eastAsia="宋体"/>
          <w:sz w:val="24"/>
        </w:rPr>
        <w:t>A、可</w:t>
      </w:r>
    </w:p>
    <w:p>
      <w:pPr>
        <w:jc w:val="left"/>
      </w:pPr>
      <w:r>
        <w:rPr>
          <w:rFonts w:ascii="宋体" w:hAnsi="宋体" w:eastAsia="宋体"/>
          <w:sz w:val="24"/>
        </w:rPr>
        <w:t>B、应当</w:t>
      </w:r>
    </w:p>
    <w:p>
      <w:pPr>
        <w:jc w:val="left"/>
      </w:pPr>
      <w:r>
        <w:rPr>
          <w:rFonts w:ascii="宋体" w:hAnsi="宋体" w:eastAsia="宋体"/>
          <w:sz w:val="24"/>
        </w:rPr>
        <w:t>C、视情况</w:t>
      </w:r>
    </w:p>
    <w:p>
      <w:pPr>
        <w:jc w:val="left"/>
      </w:pPr>
      <w:r>
        <w:rPr>
          <w:rFonts w:ascii="宋体" w:hAnsi="宋体" w:eastAsia="宋体"/>
          <w:sz w:val="24"/>
        </w:rPr>
        <w:t>D、根据需要</w:t>
      </w:r>
    </w:p>
    <w:p>
      <w:pPr>
        <w:jc w:val="left"/>
      </w:pPr>
      <w:r>
        <w:rPr>
          <w:rFonts w:ascii="宋体" w:hAnsi="宋体" w:eastAsia="宋体"/>
          <w:sz w:val="24"/>
        </w:rPr>
        <w:t>【来源】《特种设备使用管理规则》特种设备使用单位应当配备安全管理负责人。特种设备安全管理负责人是指使用 单位最高管理层中主管本单位特种设备使用安全管理的人员。按照本规则要求设置安 全管理机构的使用单位安全管理负责人， 应当取得相应的特种设备安全管理人员资格证书。</w:t>
      </w:r>
    </w:p>
    <w:p>
      <w:pPr>
        <w:jc w:val="left"/>
      </w:pPr>
      <w:r>
        <w:rPr>
          <w:rFonts w:ascii="宋体" w:hAnsi="宋体" w:eastAsia="宋体"/>
          <w:sz w:val="24"/>
        </w:rPr>
        <w:t>19、根据《特种设备使用管理规则》的规定，高耗能特种设备使用单位应当配备（      ）管理人员，负责宣传贯彻特种设备节能的法律法规。</w:t>
      </w:r>
    </w:p>
    <w:p>
      <w:pPr>
        <w:jc w:val="left"/>
      </w:pPr>
      <w:r>
        <w:rPr>
          <w:rFonts w:ascii="宋体" w:hAnsi="宋体" w:eastAsia="宋体"/>
          <w:sz w:val="24"/>
        </w:rPr>
        <w:t>A、安全</w:t>
      </w:r>
    </w:p>
    <w:p>
      <w:pPr>
        <w:jc w:val="left"/>
      </w:pPr>
      <w:r>
        <w:rPr>
          <w:rFonts w:ascii="宋体" w:hAnsi="宋体" w:eastAsia="宋体"/>
          <w:sz w:val="24"/>
        </w:rPr>
        <w:t>B、技术</w:t>
      </w:r>
    </w:p>
    <w:p>
      <w:pPr>
        <w:jc w:val="left"/>
      </w:pPr>
      <w:r>
        <w:rPr>
          <w:rFonts w:ascii="宋体" w:hAnsi="宋体" w:eastAsia="宋体"/>
          <w:sz w:val="24"/>
        </w:rPr>
        <w:t>C、经费</w:t>
      </w:r>
    </w:p>
    <w:p>
      <w:pPr>
        <w:jc w:val="left"/>
      </w:pPr>
      <w:r>
        <w:rPr>
          <w:rFonts w:ascii="宋体" w:hAnsi="宋体" w:eastAsia="宋体"/>
          <w:sz w:val="24"/>
        </w:rPr>
        <w:t>D、节能</w:t>
      </w:r>
    </w:p>
    <w:p>
      <w:pPr>
        <w:jc w:val="left"/>
      </w:pPr>
      <w:r>
        <w:rPr>
          <w:rFonts w:ascii="宋体" w:hAnsi="宋体" w:eastAsia="宋体"/>
          <w:sz w:val="24"/>
        </w:rPr>
        <w:t>【来源】《特种设备使用管理规则》高耗能特种设备使用单位应当配备节能管理人员，负责宣传贯彻特种设备节能的法律法规。</w:t>
      </w:r>
    </w:p>
    <w:p>
      <w:pPr>
        <w:jc w:val="left"/>
      </w:pPr>
      <w:r>
        <w:rPr>
          <w:rFonts w:ascii="宋体" w:hAnsi="宋体" w:eastAsia="宋体"/>
          <w:sz w:val="24"/>
        </w:rPr>
        <w:t>锅炉使用单位的节能管理人员应当组织制定本单位锅炉节能制度，对锅炉节能管理工作实施情况进行检查；建立锅炉节能技术档案，组织开展锅炉节能教育培训；编制锅炉能效测试计划， 督促落实锅炉定期能效测试工作。</w:t>
      </w:r>
    </w:p>
    <w:p>
      <w:pPr>
        <w:jc w:val="left"/>
      </w:pPr>
      <w:r>
        <w:rPr>
          <w:rFonts w:ascii="宋体" w:hAnsi="宋体" w:eastAsia="宋体"/>
          <w:sz w:val="24"/>
        </w:rPr>
        <w:t>20、根据《特种设备作业人员监督管理办法》的规定，锅炉、压力容器（含气瓶）、压力管道、电梯、起重机械、客运索道、大型游乐设施、场（厂）内专用机动车辆等特种设备的作业人员及其相关管理人员统称特种设备（      ）人员。</w:t>
      </w:r>
    </w:p>
    <w:p>
      <w:pPr>
        <w:jc w:val="left"/>
      </w:pPr>
      <w:r>
        <w:rPr>
          <w:rFonts w:ascii="宋体" w:hAnsi="宋体" w:eastAsia="宋体"/>
          <w:sz w:val="24"/>
        </w:rPr>
        <w:t>A、作业</w:t>
      </w:r>
    </w:p>
    <w:p>
      <w:pPr>
        <w:jc w:val="left"/>
      </w:pPr>
      <w:r>
        <w:rPr>
          <w:rFonts w:ascii="宋体" w:hAnsi="宋体" w:eastAsia="宋体"/>
          <w:sz w:val="24"/>
        </w:rPr>
        <w:t>B、操作</w:t>
      </w:r>
    </w:p>
    <w:p>
      <w:pPr>
        <w:jc w:val="left"/>
      </w:pPr>
      <w:r>
        <w:rPr>
          <w:rFonts w:ascii="宋体" w:hAnsi="宋体" w:eastAsia="宋体"/>
          <w:sz w:val="24"/>
        </w:rPr>
        <w:t>C、管理</w:t>
      </w:r>
    </w:p>
    <w:p>
      <w:pPr>
        <w:jc w:val="left"/>
      </w:pPr>
      <w:r>
        <w:rPr>
          <w:rFonts w:ascii="宋体" w:hAnsi="宋体" w:eastAsia="宋体"/>
          <w:sz w:val="24"/>
        </w:rPr>
        <w:t>D、控制</w:t>
      </w:r>
    </w:p>
    <w:p>
      <w:pPr>
        <w:jc w:val="left"/>
      </w:pPr>
      <w:r>
        <w:rPr>
          <w:rFonts w:ascii="宋体" w:hAnsi="宋体" w:eastAsia="宋体"/>
          <w:sz w:val="24"/>
        </w:rPr>
        <w:t>【来源】《特种设备作业人员监督管理办法》第二条  锅炉、压力容器（含气瓶）、压力管道、电梯、场车、客运索道、大型游乐设施、场（厂）内专用机动车辆等特种设备的作业人员及其相关管理人员统称特种设备作业人员。</w:t>
      </w:r>
    </w:p>
    <w:p>
      <w:pPr>
        <w:jc w:val="left"/>
      </w:pPr>
      <w:r>
        <w:rPr>
          <w:rFonts w:ascii="宋体" w:hAnsi="宋体" w:eastAsia="宋体"/>
          <w:sz w:val="24"/>
        </w:rPr>
        <w:t>21、根据《特种设备作业人员监督管理办法》的规定，（      ）应当对作业人员进行安全教育和培训，保证特种设备作业人员具备必要的特种设备安全作业知识、作业技能和及时进行知识更新。</w:t>
      </w:r>
    </w:p>
    <w:p>
      <w:pPr>
        <w:jc w:val="left"/>
      </w:pPr>
      <w:r>
        <w:rPr>
          <w:rFonts w:ascii="宋体" w:hAnsi="宋体" w:eastAsia="宋体"/>
          <w:sz w:val="24"/>
        </w:rPr>
        <w:t>A、考试机构</w:t>
      </w:r>
    </w:p>
    <w:p>
      <w:pPr>
        <w:jc w:val="left"/>
      </w:pPr>
      <w:r>
        <w:rPr>
          <w:rFonts w:ascii="宋体" w:hAnsi="宋体" w:eastAsia="宋体"/>
          <w:sz w:val="24"/>
        </w:rPr>
        <w:t>B、用人单位</w:t>
      </w:r>
    </w:p>
    <w:p>
      <w:pPr>
        <w:jc w:val="left"/>
      </w:pPr>
      <w:r>
        <w:rPr>
          <w:rFonts w:ascii="宋体" w:hAnsi="宋体" w:eastAsia="宋体"/>
          <w:sz w:val="24"/>
        </w:rPr>
        <w:t>C、培训机构</w:t>
      </w:r>
    </w:p>
    <w:p>
      <w:pPr>
        <w:jc w:val="left"/>
      </w:pPr>
      <w:r>
        <w:rPr>
          <w:rFonts w:ascii="宋体" w:hAnsi="宋体" w:eastAsia="宋体"/>
          <w:sz w:val="24"/>
        </w:rPr>
        <w:t>D、发证机关</w:t>
      </w:r>
    </w:p>
    <w:p>
      <w:pPr>
        <w:jc w:val="left"/>
      </w:pPr>
      <w:r>
        <w:rPr>
          <w:rFonts w:ascii="宋体" w:hAnsi="宋体" w:eastAsia="宋体"/>
          <w:sz w:val="24"/>
        </w:rPr>
        <w:t>【来源】《特种设备作业人员监督管理办法》第十一条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pPr>
        <w:jc w:val="left"/>
      </w:pPr>
      <w:r>
        <w:rPr>
          <w:rFonts w:ascii="宋体" w:hAnsi="宋体" w:eastAsia="宋体"/>
          <w:sz w:val="24"/>
        </w:rPr>
        <w:t>22、根据《特种设备作业人员监督管理办法》的规定，持有特种设备作业人员证的人员，必须经用人单位的法定代表人（负责人）或者其授权人（      ）后，方可在许可的项目范围内作业。</w:t>
      </w:r>
    </w:p>
    <w:p>
      <w:pPr>
        <w:jc w:val="left"/>
      </w:pPr>
      <w:r>
        <w:rPr>
          <w:rFonts w:ascii="宋体" w:hAnsi="宋体" w:eastAsia="宋体"/>
          <w:sz w:val="24"/>
        </w:rPr>
        <w:t>A、邀请</w:t>
      </w:r>
    </w:p>
    <w:p>
      <w:pPr>
        <w:jc w:val="left"/>
      </w:pPr>
      <w:r>
        <w:rPr>
          <w:rFonts w:ascii="宋体" w:hAnsi="宋体" w:eastAsia="宋体"/>
          <w:sz w:val="24"/>
        </w:rPr>
        <w:t>B、解雇（聘）</w:t>
      </w:r>
    </w:p>
    <w:p>
      <w:pPr>
        <w:jc w:val="left"/>
      </w:pPr>
      <w:r>
        <w:rPr>
          <w:rFonts w:ascii="宋体" w:hAnsi="宋体" w:eastAsia="宋体"/>
          <w:sz w:val="24"/>
        </w:rPr>
        <w:t>C、雇（聘）用</w:t>
      </w:r>
    </w:p>
    <w:p>
      <w:pPr>
        <w:jc w:val="left"/>
      </w:pPr>
      <w:r>
        <w:rPr>
          <w:rFonts w:ascii="宋体" w:hAnsi="宋体" w:eastAsia="宋体"/>
          <w:sz w:val="24"/>
        </w:rPr>
        <w:t>D、同意</w:t>
      </w:r>
    </w:p>
    <w:p>
      <w:pPr>
        <w:jc w:val="left"/>
      </w:pPr>
      <w:r>
        <w:rPr>
          <w:rFonts w:ascii="宋体" w:hAnsi="宋体" w:eastAsia="宋体"/>
          <w:sz w:val="24"/>
        </w:rPr>
        <w:t>【来源】《特种设备作业人员监督管理办法》第十九条  持有特种设备作业人员证的人员，必须经用人单位的法定代表人（负责人）或者其授权人雇（聘）用后，方可在许可的项目范围内作业。</w:t>
      </w:r>
    </w:p>
    <w:p>
      <w:pPr>
        <w:jc w:val="left"/>
      </w:pPr>
      <w:r>
        <w:rPr>
          <w:rFonts w:ascii="宋体" w:hAnsi="宋体" w:eastAsia="宋体"/>
          <w:sz w:val="24"/>
        </w:rPr>
        <w:t>23、根据《特种设备使用单位落实使用安全主体责任监督管理规定》的规定，场车使用单位应当根据本单位场车的数量、用途、使用环境等情况，配备场车安全总监和足够数量的场车安全员，并（      ）明确负责的场车安全员。</w:t>
      </w:r>
    </w:p>
    <w:p>
      <w:pPr>
        <w:jc w:val="left"/>
      </w:pPr>
      <w:r>
        <w:rPr>
          <w:rFonts w:ascii="宋体" w:hAnsi="宋体" w:eastAsia="宋体"/>
          <w:sz w:val="24"/>
        </w:rPr>
        <w:t>A、视情况</w:t>
      </w:r>
    </w:p>
    <w:p>
      <w:pPr>
        <w:jc w:val="left"/>
      </w:pPr>
      <w:r>
        <w:rPr>
          <w:rFonts w:ascii="宋体" w:hAnsi="宋体" w:eastAsia="宋体"/>
          <w:sz w:val="24"/>
        </w:rPr>
        <w:t>B、自行</w:t>
      </w:r>
    </w:p>
    <w:p>
      <w:pPr>
        <w:jc w:val="left"/>
      </w:pPr>
      <w:r>
        <w:rPr>
          <w:rFonts w:ascii="宋体" w:hAnsi="宋体" w:eastAsia="宋体"/>
          <w:sz w:val="24"/>
        </w:rPr>
        <w:t>C、逐台</w:t>
      </w:r>
    </w:p>
    <w:p>
      <w:pPr>
        <w:jc w:val="left"/>
      </w:pPr>
      <w:r>
        <w:rPr>
          <w:rFonts w:ascii="宋体" w:hAnsi="宋体" w:eastAsia="宋体"/>
          <w:sz w:val="24"/>
        </w:rPr>
        <w:t>D、立即</w:t>
      </w:r>
    </w:p>
    <w:p>
      <w:pPr>
        <w:jc w:val="left"/>
      </w:pPr>
      <w:r>
        <w:rPr>
          <w:rFonts w:ascii="宋体" w:hAnsi="宋体" w:eastAsia="宋体"/>
          <w:sz w:val="24"/>
        </w:rPr>
        <w:t>【来源】《特种设备使用单位落实使用安全主体责任监督管理规定》场车使用单位应当根据本单位场车的数量、用途、使用环境等情况，配备场车安全总监和足够数量的场车安全员，并逐台明确负责的场车安全员。</w:t>
      </w:r>
    </w:p>
    <w:p>
      <w:pPr>
        <w:jc w:val="left"/>
      </w:pPr>
      <w:r>
        <w:rPr>
          <w:rFonts w:ascii="宋体" w:hAnsi="宋体" w:eastAsia="宋体"/>
          <w:sz w:val="24"/>
        </w:rPr>
        <w:t>24、根据《特种设备使用单位落实使用安全主体责任监督管理规定》的规定，场车使用单位应当建立基于场车（      ）防控的动态管理机制，结合本单位实际，落实自查要求，制定场车安全风险管控清单，建立健全日管控、周排查、月调度工作制度和机制。</w:t>
      </w:r>
    </w:p>
    <w:p>
      <w:pPr>
        <w:jc w:val="left"/>
      </w:pPr>
      <w:r>
        <w:rPr>
          <w:rFonts w:ascii="宋体" w:hAnsi="宋体" w:eastAsia="宋体"/>
          <w:sz w:val="24"/>
        </w:rPr>
        <w:t>A、安全隐患</w:t>
      </w:r>
    </w:p>
    <w:p>
      <w:pPr>
        <w:jc w:val="left"/>
      </w:pPr>
      <w:r>
        <w:rPr>
          <w:rFonts w:ascii="宋体" w:hAnsi="宋体" w:eastAsia="宋体"/>
          <w:sz w:val="24"/>
        </w:rPr>
        <w:t>B、风险隐患</w:t>
      </w:r>
    </w:p>
    <w:p>
      <w:pPr>
        <w:jc w:val="left"/>
      </w:pPr>
      <w:r>
        <w:rPr>
          <w:rFonts w:ascii="宋体" w:hAnsi="宋体" w:eastAsia="宋体"/>
          <w:sz w:val="24"/>
        </w:rPr>
        <w:t>C、安全风险</w:t>
      </w:r>
    </w:p>
    <w:p>
      <w:pPr>
        <w:jc w:val="left"/>
      </w:pPr>
      <w:r>
        <w:rPr>
          <w:rFonts w:ascii="宋体" w:hAnsi="宋体" w:eastAsia="宋体"/>
          <w:sz w:val="24"/>
        </w:rPr>
        <w:t>D、安全管理</w:t>
      </w:r>
    </w:p>
    <w:p>
      <w:pPr>
        <w:jc w:val="left"/>
      </w:pPr>
      <w:r>
        <w:rPr>
          <w:rFonts w:ascii="宋体" w:hAnsi="宋体" w:eastAsia="宋体"/>
          <w:sz w:val="24"/>
        </w:rPr>
        <w:t>【来源】《特种设备使用单位落实使用安全主体责任监督管理规定》场车使用单位应当建立基于场车安全风险防控的动态管理机制，结合本单位实际，落实自查要求，制定场车安全风险管控清单，建立健全日管控、周排查、月调度工作制度和机制。</w:t>
      </w:r>
    </w:p>
    <w:p>
      <w:pPr>
        <w:jc w:val="left"/>
      </w:pPr>
      <w:r>
        <w:rPr>
          <w:rFonts w:ascii="宋体" w:hAnsi="宋体" w:eastAsia="宋体"/>
          <w:sz w:val="24"/>
        </w:rPr>
        <w:t>25、根据《特种设备使用单位落实使用安全主体责任监督管理规定》的规定，场车安全总监要每（      ）至少组织一次风险隐患排查，分析研判场车使用安全管理情况，研究解决日管控中发现的问题，形成每周场车安全排查治理报告。</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D、年</w:t>
      </w:r>
    </w:p>
    <w:p>
      <w:pPr>
        <w:jc w:val="left"/>
      </w:pPr>
      <w:r>
        <w:rPr>
          <w:rFonts w:ascii="宋体" w:hAnsi="宋体" w:eastAsia="宋体"/>
          <w:sz w:val="24"/>
        </w:rPr>
        <w:t>【来源】《特种设备使用单位落实使用安全主体责任监督管理规定》场车使用单位应当建立场车安全周排查制度。场车安全总监要每周至少组织一次风险隐患排查，分析研判场车使用安全管理情况，研究解决日管控中发现的问题，形成每周场车安全排查治理报告。</w:t>
      </w:r>
    </w:p>
    <w:p>
      <w:pPr>
        <w:jc w:val="left"/>
      </w:pPr>
      <w:r>
        <w:rPr>
          <w:rFonts w:ascii="宋体" w:hAnsi="宋体" w:eastAsia="宋体"/>
          <w:sz w:val="24"/>
        </w:rPr>
        <w:t>26、根据《特种设备使用单位落实使用安全主体责任监督管理规定》的规定，场车使用单位主要负责人要每（      ）至少听取一次场车安全总监管理工作情况汇报，对当月场车安全日常管理、风险隐患排查治理等情况进行总结，对下个月重点工作作出调度安排，形成每月场车安全调度会议纪要。</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D、年</w:t>
      </w:r>
    </w:p>
    <w:p>
      <w:pPr>
        <w:jc w:val="left"/>
      </w:pPr>
      <w:r>
        <w:rPr>
          <w:rFonts w:ascii="宋体" w:hAnsi="宋体" w:eastAsia="宋体"/>
          <w:sz w:val="24"/>
        </w:rPr>
        <w:t>【来源】《特种设备使用单位落实使用安全主体责任监督管理规定》场车使用单位应当建立场车安全月调度制度。场车使用单位主要负责人要每月至少听取一次场车安全总监管理工作情况汇报，对当月场车安全日常管理、风险隐患排查治理等情况进行总结，对下个月重点工作作出调度安排，形成每月场车安全调度会议纪要。</w:t>
      </w:r>
    </w:p>
    <w:p>
      <w:pPr>
        <w:jc w:val="left"/>
      </w:pPr>
      <w:r>
        <w:rPr>
          <w:rFonts w:ascii="宋体" w:hAnsi="宋体" w:eastAsia="宋体"/>
          <w:sz w:val="24"/>
        </w:rPr>
        <w:t>27、根据《特种设备使用单位落实使用安全主体责任监督管理规定》的规定，场车使用单位及其主要负责人无正当理由未采纳场车安全总监和场车安全员依照《特种设备使用单位落实使用安全主体责任监督管理规定》第一百三十六条提出的意见或者建议的，应当认为场车安全总监和场车安全员已经（      ），不予处罚。</w:t>
      </w:r>
    </w:p>
    <w:p>
      <w:pPr>
        <w:jc w:val="left"/>
      </w:pPr>
      <w:r>
        <w:rPr>
          <w:rFonts w:ascii="宋体" w:hAnsi="宋体" w:eastAsia="宋体"/>
          <w:sz w:val="24"/>
        </w:rPr>
        <w:t>A、开展工作</w:t>
      </w:r>
    </w:p>
    <w:p>
      <w:pPr>
        <w:jc w:val="left"/>
      </w:pPr>
      <w:r>
        <w:rPr>
          <w:rFonts w:ascii="宋体" w:hAnsi="宋体" w:eastAsia="宋体"/>
          <w:sz w:val="24"/>
        </w:rPr>
        <w:t>B、努力工作</w:t>
      </w:r>
    </w:p>
    <w:p>
      <w:pPr>
        <w:jc w:val="left"/>
      </w:pPr>
      <w:r>
        <w:rPr>
          <w:rFonts w:ascii="宋体" w:hAnsi="宋体" w:eastAsia="宋体"/>
          <w:sz w:val="24"/>
        </w:rPr>
        <w:t>C、依法履职尽责</w:t>
      </w:r>
    </w:p>
    <w:p>
      <w:pPr>
        <w:jc w:val="left"/>
      </w:pPr>
      <w:r>
        <w:rPr>
          <w:rFonts w:ascii="宋体" w:hAnsi="宋体" w:eastAsia="宋体"/>
          <w:sz w:val="24"/>
        </w:rPr>
        <w:t>D、尽心尽力</w:t>
      </w:r>
    </w:p>
    <w:p>
      <w:pPr>
        <w:jc w:val="left"/>
      </w:pPr>
      <w:r>
        <w:rPr>
          <w:rFonts w:ascii="宋体" w:hAnsi="宋体" w:eastAsia="宋体"/>
          <w:sz w:val="24"/>
        </w:rPr>
        <w:t>【来源】《特种设备使用单位落实使用安全主体责任监督管理规定》场车使用单位应当为场车安全总监和场车安全员提供必要的工作条件、教育培训和岗位待遇，充分保障其依法履行职责。</w:t>
      </w:r>
    </w:p>
    <w:p>
      <w:pPr>
        <w:jc w:val="left"/>
      </w:pPr>
      <w:r>
        <w:rPr>
          <w:rFonts w:ascii="宋体" w:hAnsi="宋体" w:eastAsia="宋体"/>
          <w:sz w:val="24"/>
        </w:rPr>
        <w:t>鼓励场车使用单位建立对场车安全总监和场车安全员的激励约束机制，对工作成效显著的给予表彰和奖励，对履职不到位的予以惩戒。</w:t>
      </w:r>
    </w:p>
    <w:p>
      <w:pPr>
        <w:jc w:val="left"/>
      </w:pPr>
      <w:r>
        <w:rPr>
          <w:rFonts w:ascii="宋体" w:hAnsi="宋体" w:eastAsia="宋体"/>
          <w:sz w:val="24"/>
        </w:rPr>
        <w:t>市场监督管理部门在查处场车使用单位违法行为时，应当将场车使用单位落实安全主体责任情况作为判断其主观过错、违法情节、处罚幅度等考量的重要因素。</w:t>
      </w:r>
    </w:p>
    <w:p>
      <w:pPr>
        <w:jc w:val="left"/>
      </w:pPr>
      <w:r>
        <w:rPr>
          <w:rFonts w:ascii="宋体" w:hAnsi="宋体" w:eastAsia="宋体"/>
          <w:sz w:val="24"/>
        </w:rPr>
        <w:t>场车使用单位及其主要负责人无正当理由未采纳场车安全总监和场车安全员依照本规定第一百三十六条提出的意见或者建议的，应当认为场车安全总监和场车安全员已经依法履职尽责，不予处罚。</w:t>
      </w:r>
    </w:p>
    <w:p>
      <w:pPr>
        <w:jc w:val="left"/>
      </w:pPr>
      <w:r>
        <w:rPr>
          <w:rFonts w:ascii="宋体" w:hAnsi="宋体" w:eastAsia="宋体"/>
          <w:sz w:val="24"/>
        </w:rPr>
        <w:t>28、根据《特种设备使用单位落实使用安全主体责任监督管理规定》的规定，场车使用单位主要负责人、场车安全总监、场车安全员未按规定要求落实（      ）安全责任的，由县级以上地方市场监督管理部门责令改正并给予通报批评；拒不改正的，对责任人处二千元以上一万元以下罚款。法律、行政法规另有规定的，依照其规定执行。</w:t>
      </w:r>
    </w:p>
    <w:p>
      <w:pPr>
        <w:jc w:val="left"/>
      </w:pPr>
      <w:r>
        <w:rPr>
          <w:rFonts w:ascii="宋体" w:hAnsi="宋体" w:eastAsia="宋体"/>
          <w:sz w:val="24"/>
        </w:rPr>
        <w:t>A、管理</w:t>
      </w:r>
    </w:p>
    <w:p>
      <w:pPr>
        <w:jc w:val="left"/>
      </w:pPr>
      <w:r>
        <w:rPr>
          <w:rFonts w:ascii="宋体" w:hAnsi="宋体" w:eastAsia="宋体"/>
          <w:sz w:val="24"/>
        </w:rPr>
        <w:t>B、使用</w:t>
      </w:r>
    </w:p>
    <w:p>
      <w:pPr>
        <w:jc w:val="left"/>
      </w:pPr>
      <w:r>
        <w:rPr>
          <w:rFonts w:ascii="宋体" w:hAnsi="宋体" w:eastAsia="宋体"/>
          <w:sz w:val="24"/>
        </w:rPr>
        <w:t>C、安装</w:t>
      </w:r>
    </w:p>
    <w:p>
      <w:pPr>
        <w:jc w:val="left"/>
      </w:pPr>
      <w:r>
        <w:rPr>
          <w:rFonts w:ascii="宋体" w:hAnsi="宋体" w:eastAsia="宋体"/>
          <w:sz w:val="24"/>
        </w:rPr>
        <w:t>D、调试</w:t>
      </w:r>
    </w:p>
    <w:p>
      <w:pPr>
        <w:jc w:val="left"/>
      </w:pPr>
      <w:r>
        <w:rPr>
          <w:rFonts w:ascii="宋体" w:hAnsi="宋体" w:eastAsia="宋体"/>
          <w:sz w:val="24"/>
        </w:rPr>
        <w:t>【来源】《特种设备使用单位落实使用安全主体责任监督管理规定》场车使用单位主要负责人、场车安全总监、场车安全员未按规定要求落实使用安全责任的，由县级以上地方市场监督管理部门责令改正并给予通报批评；拒不改正的，对责任人处二千元以上一万元以下罚款。法律、行政法规另有规定的，依照其规定执行。</w:t>
      </w:r>
    </w:p>
    <w:p>
      <w:pPr>
        <w:jc w:val="left"/>
      </w:pPr>
      <w:r>
        <w:rPr>
          <w:rFonts w:ascii="宋体" w:hAnsi="宋体" w:eastAsia="宋体"/>
          <w:sz w:val="24"/>
        </w:rPr>
        <w:t>29、根据《场(厂)内专用机动车辆安全技术规程》（TSG 81—2022）的规定，非公路用旅游观光车辆(以下简称观光车辆)，指具有4个以上车轮、（      ）、座位数(含司机座位)不小于6且用于旅游观光运营服务的自行式乘用车辆，包括观光车和观光列车。</w:t>
      </w:r>
    </w:p>
    <w:p>
      <w:pPr>
        <w:jc w:val="left"/>
      </w:pPr>
      <w:r>
        <w:rPr>
          <w:rFonts w:ascii="宋体" w:hAnsi="宋体" w:eastAsia="宋体"/>
          <w:sz w:val="24"/>
        </w:rPr>
        <w:t>A、有轨道无架线</w:t>
      </w:r>
    </w:p>
    <w:p>
      <w:pPr>
        <w:jc w:val="left"/>
      </w:pPr>
      <w:r>
        <w:rPr>
          <w:rFonts w:ascii="宋体" w:hAnsi="宋体" w:eastAsia="宋体"/>
          <w:sz w:val="24"/>
        </w:rPr>
        <w:t>B、非轨道有架线</w:t>
      </w:r>
    </w:p>
    <w:p>
      <w:pPr>
        <w:jc w:val="left"/>
      </w:pPr>
      <w:r>
        <w:rPr>
          <w:rFonts w:ascii="宋体" w:hAnsi="宋体" w:eastAsia="宋体"/>
          <w:sz w:val="24"/>
        </w:rPr>
        <w:t>C、有轨道有架线</w:t>
      </w:r>
    </w:p>
    <w:p>
      <w:pPr>
        <w:jc w:val="left"/>
      </w:pPr>
      <w:r>
        <w:rPr>
          <w:rFonts w:ascii="宋体" w:hAnsi="宋体" w:eastAsia="宋体"/>
          <w:sz w:val="24"/>
        </w:rPr>
        <w:t>D、非轨道无架线</w:t>
      </w:r>
    </w:p>
    <w:p>
      <w:pPr>
        <w:jc w:val="left"/>
      </w:pPr>
      <w:r>
        <w:rPr>
          <w:rFonts w:ascii="宋体" w:hAnsi="宋体" w:eastAsia="宋体"/>
          <w:sz w:val="24"/>
        </w:rPr>
        <w:t>【来源】《场(厂)内专用机动车辆安全技术规程》（TSG 81—2022）1.2.3  非公路用旅游观光车辆</w:t>
      </w:r>
    </w:p>
    <w:p>
      <w:pPr>
        <w:jc w:val="left"/>
      </w:pPr>
      <w:r>
        <w:rPr>
          <w:rFonts w:ascii="宋体" w:hAnsi="宋体" w:eastAsia="宋体"/>
          <w:sz w:val="24"/>
        </w:rPr>
        <w:t>非公路用旅游观光车辆(以下简称观光车辆)，指具有4个以上车轮、非轨道无架线、座位数(含司机座位)不小于6且用于旅游观光运营服务的自行式乘用车辆，包括观光车和观光列车。</w:t>
      </w:r>
    </w:p>
    <w:p>
      <w:pPr>
        <w:jc w:val="left"/>
      </w:pPr>
      <w:r>
        <w:rPr>
          <w:rFonts w:ascii="宋体" w:hAnsi="宋体" w:eastAsia="宋体"/>
          <w:sz w:val="24"/>
        </w:rPr>
        <w:t>30、根据《场(厂)内专用机动车辆安全技术规程》（TSG 81—2022）的规定，使用单位购置观光车辆时，保证观光车辆的最大行驶坡度能够满足使用单位行驶路线中的（      ）的要求，并且在销售合同中明确。</w:t>
      </w:r>
    </w:p>
    <w:p>
      <w:pPr>
        <w:jc w:val="left"/>
      </w:pPr>
      <w:r>
        <w:rPr>
          <w:rFonts w:ascii="宋体" w:hAnsi="宋体" w:eastAsia="宋体"/>
          <w:sz w:val="24"/>
        </w:rPr>
        <w:t>A、平均坡度</w:t>
      </w:r>
    </w:p>
    <w:p>
      <w:pPr>
        <w:jc w:val="left"/>
      </w:pPr>
      <w:r>
        <w:rPr>
          <w:rFonts w:ascii="宋体" w:hAnsi="宋体" w:eastAsia="宋体"/>
          <w:sz w:val="24"/>
        </w:rPr>
        <w:t>B、最小坡度</w:t>
      </w:r>
    </w:p>
    <w:p>
      <w:pPr>
        <w:jc w:val="left"/>
      </w:pPr>
      <w:r>
        <w:rPr>
          <w:rFonts w:ascii="宋体" w:hAnsi="宋体" w:eastAsia="宋体"/>
          <w:sz w:val="24"/>
        </w:rPr>
        <w:t>C、最大坡度</w:t>
      </w:r>
    </w:p>
    <w:p>
      <w:pPr>
        <w:jc w:val="left"/>
      </w:pPr>
      <w:r>
        <w:rPr>
          <w:rFonts w:ascii="宋体" w:hAnsi="宋体" w:eastAsia="宋体"/>
          <w:sz w:val="24"/>
        </w:rPr>
        <w:t>D、最小坡度与最大坡度之和</w:t>
      </w:r>
    </w:p>
    <w:p>
      <w:pPr>
        <w:jc w:val="left"/>
      </w:pPr>
      <w:r>
        <w:rPr>
          <w:rFonts w:ascii="宋体" w:hAnsi="宋体" w:eastAsia="宋体"/>
          <w:sz w:val="24"/>
        </w:rPr>
        <w:t>【来源】《场(厂)内专用机动车辆安全技术规程》（TSG 81—2022）5.1.1 使用单位的基本要求</w:t>
      </w:r>
    </w:p>
    <w:p>
      <w:pPr>
        <w:jc w:val="left"/>
      </w:pPr>
      <w:r>
        <w:rPr>
          <w:rFonts w:ascii="宋体" w:hAnsi="宋体" w:eastAsia="宋体"/>
          <w:sz w:val="24"/>
        </w:rPr>
        <w:t>使用单位应当遵守《特种设备使用管理规则》的规定，同时还应当符合以下要求：</w:t>
      </w:r>
    </w:p>
    <w:p>
      <w:pPr>
        <w:jc w:val="left"/>
      </w:pPr>
      <w:r>
        <w:rPr>
          <w:rFonts w:ascii="宋体" w:hAnsi="宋体" w:eastAsia="宋体"/>
          <w:sz w:val="24"/>
        </w:rPr>
        <w:t>(4)购置观光车辆时，保证观光车辆的最大行驶坡度能够满足使用单位行驶路线中的最大坡度的要求，并且在销售合同中明确；</w:t>
      </w:r>
    </w:p>
    <w:p>
      <w:pPr>
        <w:jc w:val="left"/>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0000019F" w:csb1="00000000"/>
  </w:font>
  <w:font w:name="ＭＳ 明朝">
    <w:altName w:val="汉仪仿宋S"/>
    <w:panose1 w:val="00000000000000000000"/>
    <w:charset w:val="80"/>
    <w:family w:val="roman"/>
    <w:pitch w:val="default"/>
    <w:sig w:usb0="00000000" w:usb1="00000000" w:usb2="00000010" w:usb3="00000000" w:csb0="00020000" w:csb1="00000000"/>
  </w:font>
  <w:font w:name="ＭＳ 明朝">
    <w:altName w:val="汉仪仿宋S"/>
    <w:panose1 w:val="00000000000000000000"/>
    <w:charset w:val="86"/>
    <w:family w:val="auto"/>
    <w:pitch w:val="default"/>
    <w:sig w:usb0="00000000" w:usb1="00000000" w:usb2="00000000" w:usb3="00000000" w:csb0="00000000" w:csb1="00000000"/>
  </w:font>
  <w:font w:name="ＭＳ ゴシック">
    <w:altName w:val="汉仪仿宋S"/>
    <w:panose1 w:val="00000000000000000000"/>
    <w:charset w:val="80"/>
    <w:family w:val="modern"/>
    <w:pitch w:val="default"/>
    <w:sig w:usb0="00000000" w:usb1="00000000" w:usb2="00000010" w:usb3="00000000" w:csb0="00020000" w:csb1="00000000"/>
  </w:font>
  <w:font w:name="Courier">
    <w:altName w:val="Noto Sans Lao"/>
    <w:panose1 w:val="02000500000000000000"/>
    <w:charset w:val="00"/>
    <w:family w:val="auto"/>
    <w:pitch w:val="default"/>
    <w:sig w:usb0="00000000" w:usb1="00000000" w:usb2="00000000" w:usb3="00000000" w:csb0="00000001" w:csb1="00000000"/>
  </w:font>
  <w:font w:name="FZShuTi">
    <w:altName w:val="汉仪仿宋S"/>
    <w:panose1 w:val="00000000000000000000"/>
    <w:charset w:val="00"/>
    <w:family w:val="auto"/>
    <w:pitch w:val="default"/>
    <w:sig w:usb0="00000000" w:usb1="00000000" w:usb2="00000000" w:usb3="00000000" w:csb0="00000000" w:csb1="00000000"/>
  </w:font>
  <w:font w:name="SimHei">
    <w:panose1 w:val="02010609060101010101"/>
    <w:charset w:val="86"/>
    <w:family w:val="auto"/>
    <w:pitch w:val="default"/>
    <w:sig w:usb0="800002BF" w:usb1="38CF7CFA" w:usb2="00000016" w:usb3="00000000" w:csb0="00040001" w:csb1="00000000"/>
  </w:font>
  <w:font w:name="ＭＳ 明朝">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FreeSerif">
    <w:panose1 w:val="02020603050405020304"/>
    <w:charset w:val="00"/>
    <w:family w:val="auto"/>
    <w:pitch w:val="default"/>
    <w:sig w:usb0="E59FAFFF" w:usb1="C200FDFF" w:usb2="43501B29" w:usb3="04000043" w:csb0="6001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Lao">
    <w:panose1 w:val="02000500000000000000"/>
    <w:charset w:val="00"/>
    <w:family w:val="auto"/>
    <w:pitch w:val="default"/>
    <w:sig w:usb0="02000000" w:usb1="00000000" w:usb2="00000000" w:usb3="00000000" w:csb0="20000111" w:csb1="41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77C634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2013-12-24T07:15:00Z</dcterms:created>
  <dc:creator>python-docx</dc:creator>
  <dc:description>generated by python-docx</dc:description>
  <cp:lastModifiedBy>scjuser</cp:lastModifiedBy>
  <dcterms:modified xsi:type="dcterms:W3CDTF">2024-08-14T15:24:24Z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