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13946" w14:textId="77777777" w:rsidR="008F5EB2" w:rsidRDefault="008F5EB2" w:rsidP="008F5EB2">
      <w:pPr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607"/>
        <w:gridCol w:w="6093"/>
      </w:tblGrid>
      <w:tr w:rsidR="00835F20" w:rsidRPr="00835F20" w14:paraId="181DB99F" w14:textId="77777777" w:rsidTr="006068A4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20AF1629" w14:textId="77777777" w:rsidR="008F5EB2" w:rsidRPr="00835F20" w:rsidRDefault="008F5EB2" w:rsidP="006068A4">
            <w:pPr>
              <w:pStyle w:val="a3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/>
              </w:rPr>
            </w:pPr>
            <w:proofErr w:type="spellStart"/>
            <w:r w:rsidRPr="00835F20">
              <w:rPr>
                <w:rFonts w:ascii="宋体" w:hAnsi="宋体" w:cs="宋体" w:hint="eastAsia"/>
                <w:bCs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77F1F3AA" w14:textId="333BAE78" w:rsidR="008F5EB2" w:rsidRPr="000007F9" w:rsidRDefault="0017327C" w:rsidP="006068A4">
            <w:pPr>
              <w:adjustRightInd w:val="0"/>
              <w:snapToGrid w:val="0"/>
              <w:spacing w:after="0"/>
              <w:rPr>
                <w:bCs/>
                <w:lang w:val="en-US"/>
              </w:rPr>
            </w:pPr>
            <w:r w:rsidRPr="0017327C">
              <w:rPr>
                <w:rFonts w:hint="eastAsia"/>
                <w:bCs/>
              </w:rPr>
              <w:t>上海御璞呈嘉管理咨询有限公司</w:t>
            </w:r>
            <w:r w:rsidR="00771BEF" w:rsidRPr="000007F9">
              <w:rPr>
                <w:bCs/>
              </w:rPr>
              <w:t>收购上海汇城忆家管理咨询有限公司股权案</w:t>
            </w:r>
          </w:p>
        </w:tc>
      </w:tr>
      <w:tr w:rsidR="00835F20" w:rsidRPr="00835F20" w14:paraId="6CBBAF93" w14:textId="77777777" w:rsidTr="002365BE">
        <w:trPr>
          <w:trHeight w:val="2040"/>
        </w:trPr>
        <w:tc>
          <w:tcPr>
            <w:tcW w:w="1940" w:type="dxa"/>
            <w:shd w:val="clear" w:color="auto" w:fill="D9D9D9"/>
            <w:vAlign w:val="center"/>
          </w:tcPr>
          <w:p w14:paraId="4766BBCA" w14:textId="77777777" w:rsidR="008F5EB2" w:rsidRPr="00835F20" w:rsidRDefault="008F5EB2" w:rsidP="006068A4">
            <w:pPr>
              <w:pStyle w:val="a3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  <w:r w:rsidRPr="00835F20">
              <w:rPr>
                <w:rFonts w:ascii="宋体" w:hAnsi="宋体" w:cs="宋体" w:hint="eastAsia"/>
                <w:bCs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 w14:paraId="4B53E66D" w14:textId="32FA9ECF" w:rsidR="006A7CFA" w:rsidRPr="000007F9" w:rsidRDefault="0017327C" w:rsidP="00157A00">
            <w:pPr>
              <w:widowControl w:val="0"/>
              <w:adjustRightInd w:val="0"/>
              <w:snapToGrid w:val="0"/>
              <w:spacing w:after="0"/>
              <w:rPr>
                <w:color w:val="000000"/>
              </w:rPr>
            </w:pPr>
            <w:r w:rsidRPr="0017327C">
              <w:rPr>
                <w:rFonts w:hint="eastAsia"/>
                <w:bCs/>
              </w:rPr>
              <w:t>上海御璞呈嘉管理咨询有限公司</w:t>
            </w:r>
            <w:r>
              <w:rPr>
                <w:rFonts w:hint="eastAsia"/>
                <w:bCs/>
              </w:rPr>
              <w:t>（</w:t>
            </w:r>
            <w:r w:rsidRPr="000007F9">
              <w:rPr>
                <w:bCs/>
              </w:rPr>
              <w:t>“</w:t>
            </w:r>
            <w:r w:rsidRPr="0017327C">
              <w:rPr>
                <w:rFonts w:hint="eastAsia"/>
                <w:b/>
                <w:bCs/>
              </w:rPr>
              <w:t>御璞呈嘉</w:t>
            </w:r>
            <w:r w:rsidRPr="000007F9">
              <w:rPr>
                <w:bCs/>
              </w:rPr>
              <w:t>”</w:t>
            </w:r>
            <w:r>
              <w:rPr>
                <w:rFonts w:hint="eastAsia"/>
                <w:bCs/>
              </w:rPr>
              <w:t>）</w:t>
            </w:r>
            <w:r w:rsidR="00571C32" w:rsidRPr="000007F9">
              <w:rPr>
                <w:bCs/>
              </w:rPr>
              <w:t>与</w:t>
            </w:r>
            <w:proofErr w:type="gramStart"/>
            <w:r w:rsidR="00771BEF" w:rsidRPr="000007F9">
              <w:t>丞</w:t>
            </w:r>
            <w:proofErr w:type="gramEnd"/>
            <w:r w:rsidR="00771BEF" w:rsidRPr="000007F9">
              <w:t>家（上海）投资有限公司</w:t>
            </w:r>
            <w:r w:rsidR="00157A00" w:rsidRPr="000007F9">
              <w:rPr>
                <w:bCs/>
              </w:rPr>
              <w:t>（</w:t>
            </w:r>
            <w:r w:rsidR="00157A00" w:rsidRPr="000007F9">
              <w:rPr>
                <w:bCs/>
              </w:rPr>
              <w:t>“</w:t>
            </w:r>
            <w:r w:rsidR="00771BEF" w:rsidRPr="000007F9">
              <w:rPr>
                <w:b/>
                <w:bCs/>
              </w:rPr>
              <w:t>城家</w:t>
            </w:r>
            <w:r w:rsidR="00157A00" w:rsidRPr="000007F9">
              <w:rPr>
                <w:bCs/>
              </w:rPr>
              <w:t>”</w:t>
            </w:r>
            <w:r w:rsidR="00157A00" w:rsidRPr="000007F9">
              <w:rPr>
                <w:bCs/>
              </w:rPr>
              <w:t>）</w:t>
            </w:r>
            <w:r w:rsidR="00275CD1" w:rsidRPr="000007F9">
              <w:rPr>
                <w:bCs/>
              </w:rPr>
              <w:t>签署</w:t>
            </w:r>
            <w:r w:rsidR="00275CD1" w:rsidRPr="000007F9">
              <w:t>《</w:t>
            </w:r>
            <w:r w:rsidRPr="0017327C">
              <w:rPr>
                <w:rFonts w:hint="eastAsia"/>
                <w:color w:val="000000"/>
              </w:rPr>
              <w:t>上海御璞呈嘉管理咨询有限公司</w:t>
            </w:r>
            <w:r w:rsidR="00771BEF" w:rsidRPr="000007F9">
              <w:rPr>
                <w:color w:val="000000"/>
              </w:rPr>
              <w:t>与丞家</w:t>
            </w:r>
            <w:r w:rsidR="00771BEF" w:rsidRPr="000007F9">
              <w:rPr>
                <w:color w:val="000000"/>
              </w:rPr>
              <w:t>(</w:t>
            </w:r>
            <w:r w:rsidR="00771BEF" w:rsidRPr="000007F9">
              <w:rPr>
                <w:color w:val="000000"/>
              </w:rPr>
              <w:t>上海</w:t>
            </w:r>
            <w:r w:rsidR="00771BEF" w:rsidRPr="000007F9">
              <w:rPr>
                <w:color w:val="000000"/>
              </w:rPr>
              <w:t>)</w:t>
            </w:r>
            <w:r w:rsidR="00771BEF" w:rsidRPr="000007F9">
              <w:rPr>
                <w:color w:val="000000"/>
              </w:rPr>
              <w:t>投资有限公司关于上海汇城忆家管理咨询有限公司之股东协议</w:t>
            </w:r>
            <w:r w:rsidR="00275CD1" w:rsidRPr="000007F9">
              <w:t>》</w:t>
            </w:r>
            <w:r w:rsidR="00275CD1" w:rsidRPr="000007F9">
              <w:rPr>
                <w:bCs/>
              </w:rPr>
              <w:t>，</w:t>
            </w:r>
            <w:proofErr w:type="gramStart"/>
            <w:r w:rsidRPr="0017327C">
              <w:rPr>
                <w:rFonts w:hint="eastAsia"/>
                <w:bCs/>
              </w:rPr>
              <w:t>御璞呈</w:t>
            </w:r>
            <w:proofErr w:type="gramEnd"/>
            <w:r w:rsidRPr="0017327C">
              <w:rPr>
                <w:rFonts w:hint="eastAsia"/>
                <w:bCs/>
              </w:rPr>
              <w:t>嘉</w:t>
            </w:r>
            <w:r w:rsidR="00571C32" w:rsidRPr="000007F9">
              <w:rPr>
                <w:bCs/>
              </w:rPr>
              <w:t>认购</w:t>
            </w:r>
            <w:r w:rsidR="00571C32" w:rsidRPr="000007F9">
              <w:rPr>
                <w:color w:val="000000"/>
              </w:rPr>
              <w:t>上海汇城忆家管理咨询有限公司（</w:t>
            </w:r>
            <w:r w:rsidR="00571C32" w:rsidRPr="000007F9">
              <w:rPr>
                <w:bCs/>
              </w:rPr>
              <w:t>“</w:t>
            </w:r>
            <w:r w:rsidR="00571C32" w:rsidRPr="000007F9">
              <w:rPr>
                <w:b/>
                <w:bCs/>
              </w:rPr>
              <w:t>汇城忆家</w:t>
            </w:r>
            <w:r w:rsidR="00571C32" w:rsidRPr="000007F9">
              <w:rPr>
                <w:bCs/>
              </w:rPr>
              <w:t>”</w:t>
            </w:r>
            <w:r w:rsidR="00571C32" w:rsidRPr="000007F9">
              <w:rPr>
                <w:color w:val="000000"/>
              </w:rPr>
              <w:t>）</w:t>
            </w:r>
            <w:r w:rsidR="000007F9" w:rsidRPr="000007F9">
              <w:rPr>
                <w:color w:val="000000"/>
              </w:rPr>
              <w:t>的新增注册资本，</w:t>
            </w:r>
            <w:r w:rsidR="00FD2F9E" w:rsidRPr="00FD2F9E">
              <w:rPr>
                <w:rFonts w:hint="eastAsia"/>
                <w:color w:val="000000"/>
              </w:rPr>
              <w:t>本次交易前，城家持有</w:t>
            </w:r>
            <w:proofErr w:type="gramStart"/>
            <w:r w:rsidR="00FD2F9E" w:rsidRPr="00FD2F9E">
              <w:rPr>
                <w:rFonts w:hint="eastAsia"/>
                <w:color w:val="000000"/>
              </w:rPr>
              <w:t>汇城忆</w:t>
            </w:r>
            <w:proofErr w:type="gramEnd"/>
            <w:r w:rsidR="00FD2F9E" w:rsidRPr="00FD2F9E">
              <w:rPr>
                <w:rFonts w:hint="eastAsia"/>
                <w:color w:val="000000"/>
              </w:rPr>
              <w:t>家</w:t>
            </w:r>
            <w:r w:rsidR="00FD2F9E" w:rsidRPr="00FD2F9E">
              <w:rPr>
                <w:rFonts w:hint="eastAsia"/>
                <w:color w:val="000000"/>
              </w:rPr>
              <w:t>1</w:t>
            </w:r>
            <w:r w:rsidR="00FD2F9E" w:rsidRPr="00FD2F9E">
              <w:rPr>
                <w:color w:val="000000"/>
              </w:rPr>
              <w:t>00%</w:t>
            </w:r>
            <w:bookmarkStart w:id="0" w:name="_GoBack"/>
            <w:r w:rsidR="00FD2F9E">
              <w:rPr>
                <w:rFonts w:hint="eastAsia"/>
                <w:color w:val="000000"/>
              </w:rPr>
              <w:t>的</w:t>
            </w:r>
            <w:r w:rsidR="00FD2F9E" w:rsidRPr="00FD2F9E">
              <w:rPr>
                <w:rFonts w:hint="eastAsia"/>
                <w:color w:val="000000"/>
              </w:rPr>
              <w:t>股权，</w:t>
            </w:r>
            <w:r w:rsidR="00CA0257">
              <w:rPr>
                <w:rFonts w:hint="eastAsia"/>
                <w:color w:val="000000"/>
              </w:rPr>
              <w:t>单独控制汇城忆家。</w:t>
            </w:r>
            <w:r w:rsidR="000007F9" w:rsidRPr="000007F9">
              <w:rPr>
                <w:color w:val="000000"/>
              </w:rPr>
              <w:t>交易完成后，</w:t>
            </w:r>
            <w:proofErr w:type="gramStart"/>
            <w:r w:rsidRPr="0017327C">
              <w:rPr>
                <w:rFonts w:hint="eastAsia"/>
                <w:bCs/>
              </w:rPr>
              <w:t>御璞呈嘉</w:t>
            </w:r>
            <w:r w:rsidR="00571C32" w:rsidRPr="000007F9">
              <w:rPr>
                <w:bCs/>
              </w:rPr>
              <w:t>取得</w:t>
            </w:r>
            <w:r w:rsidR="00571C32" w:rsidRPr="000007F9">
              <w:rPr>
                <w:color w:val="000000"/>
              </w:rPr>
              <w:t>汇城忆家</w:t>
            </w:r>
            <w:proofErr w:type="gramEnd"/>
            <w:r w:rsidR="00571C32" w:rsidRPr="000007F9">
              <w:rPr>
                <w:color w:val="000000"/>
              </w:rPr>
              <w:t>60%</w:t>
            </w:r>
            <w:r w:rsidR="00571C32" w:rsidRPr="000007F9">
              <w:rPr>
                <w:color w:val="000000"/>
              </w:rPr>
              <w:t>的股权，城家取得</w:t>
            </w:r>
            <w:proofErr w:type="gramStart"/>
            <w:r w:rsidR="00571C32" w:rsidRPr="000007F9">
              <w:rPr>
                <w:bCs/>
              </w:rPr>
              <w:t>汇</w:t>
            </w:r>
            <w:bookmarkEnd w:id="0"/>
            <w:r w:rsidR="00571C32" w:rsidRPr="000007F9">
              <w:rPr>
                <w:bCs/>
              </w:rPr>
              <w:t>城忆</w:t>
            </w:r>
            <w:proofErr w:type="gramEnd"/>
            <w:r w:rsidR="00571C32" w:rsidRPr="000007F9">
              <w:rPr>
                <w:bCs/>
              </w:rPr>
              <w:t>家</w:t>
            </w:r>
            <w:r w:rsidR="00571C32" w:rsidRPr="000007F9">
              <w:rPr>
                <w:bCs/>
              </w:rPr>
              <w:t>40%</w:t>
            </w:r>
            <w:r w:rsidR="00571C32" w:rsidRPr="000007F9">
              <w:rPr>
                <w:bCs/>
              </w:rPr>
              <w:t>的股权</w:t>
            </w:r>
            <w:r w:rsidR="000007F9" w:rsidRPr="000007F9">
              <w:rPr>
                <w:bCs/>
              </w:rPr>
              <w:t>，</w:t>
            </w:r>
            <w:proofErr w:type="gramStart"/>
            <w:r w:rsidRPr="0017327C">
              <w:rPr>
                <w:rFonts w:hint="eastAsia"/>
                <w:bCs/>
              </w:rPr>
              <w:t>御璞呈</w:t>
            </w:r>
            <w:proofErr w:type="gramEnd"/>
            <w:r w:rsidRPr="0017327C">
              <w:rPr>
                <w:rFonts w:hint="eastAsia"/>
                <w:bCs/>
              </w:rPr>
              <w:t>嘉</w:t>
            </w:r>
            <w:r w:rsidR="00463171" w:rsidRPr="000007F9">
              <w:rPr>
                <w:bCs/>
              </w:rPr>
              <w:t>与</w:t>
            </w:r>
            <w:r w:rsidR="00F412DC" w:rsidRPr="000007F9">
              <w:rPr>
                <w:bCs/>
              </w:rPr>
              <w:t>城家</w:t>
            </w:r>
            <w:r w:rsidR="00463171" w:rsidRPr="000007F9">
              <w:rPr>
                <w:bCs/>
              </w:rPr>
              <w:t>共同控制</w:t>
            </w:r>
            <w:r w:rsidR="00771BEF" w:rsidRPr="000007F9">
              <w:rPr>
                <w:bCs/>
              </w:rPr>
              <w:t>汇城忆家</w:t>
            </w:r>
            <w:r w:rsidR="00463171" w:rsidRPr="000007F9">
              <w:rPr>
                <w:bCs/>
              </w:rPr>
              <w:t>，</w:t>
            </w:r>
            <w:proofErr w:type="gramStart"/>
            <w:r w:rsidR="00771BEF" w:rsidRPr="000007F9">
              <w:rPr>
                <w:bCs/>
              </w:rPr>
              <w:t>汇城忆家</w:t>
            </w:r>
            <w:proofErr w:type="gramEnd"/>
            <w:r w:rsidR="00463171" w:rsidRPr="000007F9">
              <w:rPr>
                <w:bCs/>
              </w:rPr>
              <w:t>将开展</w:t>
            </w:r>
            <w:r w:rsidR="00571C32" w:rsidRPr="000007F9">
              <w:rPr>
                <w:bCs/>
              </w:rPr>
              <w:t>北京市长租公寓</w:t>
            </w:r>
            <w:r w:rsidR="00AE777A">
              <w:rPr>
                <w:rFonts w:hint="eastAsia"/>
                <w:bCs/>
              </w:rPr>
              <w:t>开发与</w:t>
            </w:r>
            <w:r w:rsidR="00571C32" w:rsidRPr="000007F9">
              <w:rPr>
                <w:bCs/>
              </w:rPr>
              <w:t>运营</w:t>
            </w:r>
            <w:r w:rsidR="00463171" w:rsidRPr="000007F9">
              <w:rPr>
                <w:bCs/>
              </w:rPr>
              <w:t>业务。</w:t>
            </w:r>
          </w:p>
        </w:tc>
      </w:tr>
      <w:tr w:rsidR="00835F20" w:rsidRPr="00835F20" w14:paraId="3814F618" w14:textId="77777777" w:rsidTr="006068A4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774B7B48" w14:textId="77777777" w:rsidR="008F5EB2" w:rsidRPr="00835F20" w:rsidRDefault="008F5EB2" w:rsidP="006068A4">
            <w:pPr>
              <w:pStyle w:val="a3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  <w:r w:rsidRPr="00835F20">
              <w:rPr>
                <w:rFonts w:ascii="宋体" w:hAnsi="宋体" w:cs="宋体" w:hint="eastAsia"/>
                <w:bCs/>
                <w:lang w:eastAsia="zh-CN"/>
              </w:rPr>
              <w:t>参与集中的经营者简介（每个限</w:t>
            </w:r>
            <w:r w:rsidRPr="00835F20">
              <w:rPr>
                <w:rFonts w:ascii="宋体" w:hAnsi="宋体" w:cs="宋体" w:hint="eastAsia"/>
                <w:bCs/>
                <w:lang w:val="en-US" w:eastAsia="zh-CN"/>
              </w:rPr>
              <w:t>100字以内</w:t>
            </w:r>
            <w:r w:rsidRPr="00835F20">
              <w:rPr>
                <w:rFonts w:ascii="宋体" w:hAnsi="宋体" w:cs="宋体" w:hint="eastAsia"/>
                <w:bCs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25C5741E" w14:textId="301146D5" w:rsidR="008F5EB2" w:rsidRPr="000007F9" w:rsidRDefault="0017327C" w:rsidP="006068A4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lang w:eastAsia="zh-CN"/>
              </w:rPr>
            </w:pPr>
            <w:proofErr w:type="gramStart"/>
            <w:r w:rsidRPr="0017327C">
              <w:rPr>
                <w:rFonts w:cs="Times New Roman" w:hint="eastAsia"/>
                <w:bCs/>
                <w:lang w:eastAsia="zh-CN"/>
              </w:rPr>
              <w:t>御璞呈嘉</w:t>
            </w:r>
            <w:proofErr w:type="gramEnd"/>
          </w:p>
        </w:tc>
        <w:tc>
          <w:tcPr>
            <w:tcW w:w="6093" w:type="dxa"/>
            <w:vAlign w:val="center"/>
          </w:tcPr>
          <w:p w14:paraId="4C08FE40" w14:textId="047DA4D7" w:rsidR="00507C01" w:rsidRPr="00507C01" w:rsidRDefault="0017327C" w:rsidP="00507C01">
            <w:pPr>
              <w:widowControl w:val="0"/>
              <w:adjustRightInd w:val="0"/>
              <w:snapToGrid w:val="0"/>
              <w:spacing w:after="0"/>
            </w:pPr>
            <w:proofErr w:type="gramStart"/>
            <w:r w:rsidRPr="0017327C">
              <w:rPr>
                <w:rFonts w:hint="eastAsia"/>
                <w:bCs/>
              </w:rPr>
              <w:t>御璞呈嘉</w:t>
            </w:r>
            <w:r w:rsidR="007E41BE" w:rsidRPr="000007F9">
              <w:t>于</w:t>
            </w:r>
            <w:proofErr w:type="gramEnd"/>
            <w:r w:rsidR="00463171" w:rsidRPr="000007F9">
              <w:t>20</w:t>
            </w:r>
            <w:r w:rsidR="00B91576" w:rsidRPr="000007F9">
              <w:t>2</w:t>
            </w:r>
            <w:r>
              <w:t>5</w:t>
            </w:r>
            <w:r w:rsidR="007E41BE" w:rsidRPr="000007F9">
              <w:t>年</w:t>
            </w:r>
            <w:r>
              <w:rPr>
                <w:rFonts w:hint="eastAsia"/>
              </w:rPr>
              <w:t>2</w:t>
            </w:r>
            <w:r w:rsidR="007E41BE" w:rsidRPr="000007F9">
              <w:t>月</w:t>
            </w:r>
            <w:r>
              <w:t>5</w:t>
            </w:r>
            <w:r w:rsidR="007E41BE" w:rsidRPr="000007F9">
              <w:t>日成立于</w:t>
            </w:r>
            <w:r>
              <w:rPr>
                <w:rFonts w:hint="eastAsia"/>
              </w:rPr>
              <w:t>上海市</w:t>
            </w:r>
            <w:r w:rsidR="00B91576" w:rsidRPr="000007F9">
              <w:t>，</w:t>
            </w:r>
            <w:r w:rsidR="00507C01" w:rsidRPr="00C34537">
              <w:rPr>
                <w:rFonts w:hint="eastAsia"/>
              </w:rPr>
              <w:t>为</w:t>
            </w:r>
            <w:proofErr w:type="gramStart"/>
            <w:r w:rsidR="00507C01" w:rsidRPr="00C34537">
              <w:rPr>
                <w:rFonts w:hint="eastAsia"/>
              </w:rPr>
              <w:t>基汇资</w:t>
            </w:r>
            <w:proofErr w:type="gramEnd"/>
            <w:r w:rsidR="00507C01" w:rsidRPr="00C34537">
              <w:rPr>
                <w:rFonts w:hint="eastAsia"/>
              </w:rPr>
              <w:t>本的关联实体。</w:t>
            </w:r>
            <w:proofErr w:type="gramStart"/>
            <w:r w:rsidR="00507C01" w:rsidRPr="00C34537">
              <w:rPr>
                <w:rFonts w:hint="eastAsia"/>
              </w:rPr>
              <w:t>基汇资本</w:t>
            </w:r>
            <w:proofErr w:type="gramEnd"/>
            <w:r w:rsidR="00507C01" w:rsidRPr="00C34537">
              <w:rPr>
                <w:rFonts w:hint="eastAsia"/>
              </w:rPr>
              <w:t>及其关联实体的主要业务为全球房地产市场投资的私</w:t>
            </w:r>
            <w:proofErr w:type="gramStart"/>
            <w:r w:rsidR="00507C01" w:rsidRPr="00C34537">
              <w:rPr>
                <w:rFonts w:hint="eastAsia"/>
              </w:rPr>
              <w:t>募股权基</w:t>
            </w:r>
            <w:proofErr w:type="gramEnd"/>
            <w:r w:rsidR="00507C01" w:rsidRPr="00C34537">
              <w:rPr>
                <w:rFonts w:hint="eastAsia"/>
              </w:rPr>
              <w:t>金管理，募集以大中华区和亚太区为目标的私募基金。</w:t>
            </w:r>
          </w:p>
          <w:p w14:paraId="78DFADA1" w14:textId="39A853BC" w:rsidR="00507C01" w:rsidRPr="000007F9" w:rsidRDefault="00507C01" w:rsidP="00507C01">
            <w:pPr>
              <w:widowControl w:val="0"/>
              <w:adjustRightInd w:val="0"/>
              <w:snapToGrid w:val="0"/>
              <w:spacing w:after="0"/>
              <w:rPr>
                <w:highlight w:val="yellow"/>
              </w:rPr>
            </w:pPr>
            <w:proofErr w:type="gramStart"/>
            <w:r w:rsidRPr="0017327C">
              <w:rPr>
                <w:rFonts w:hint="eastAsia"/>
                <w:bCs/>
              </w:rPr>
              <w:t>御璞呈嘉</w:t>
            </w:r>
            <w:r w:rsidRPr="000007F9">
              <w:t>最终</w:t>
            </w:r>
            <w:proofErr w:type="gramEnd"/>
            <w:r w:rsidRPr="000007F9">
              <w:t>控制人为</w:t>
            </w:r>
            <w:r>
              <w:rPr>
                <w:rFonts w:hint="eastAsia"/>
              </w:rPr>
              <w:t>自然人</w:t>
            </w:r>
            <w:r w:rsidRPr="000007F9">
              <w:t>，主要</w:t>
            </w:r>
            <w:r>
              <w:rPr>
                <w:rFonts w:hint="eastAsia"/>
              </w:rPr>
              <w:t>业务为</w:t>
            </w:r>
            <w:r w:rsidRPr="000007F9">
              <w:t>通过</w:t>
            </w:r>
            <w:r>
              <w:rPr>
                <w:rFonts w:hint="eastAsia"/>
                <w:color w:val="000000"/>
              </w:rPr>
              <w:t>私</w:t>
            </w:r>
            <w:proofErr w:type="gramStart"/>
            <w:r>
              <w:rPr>
                <w:rFonts w:hint="eastAsia"/>
                <w:color w:val="000000"/>
              </w:rPr>
              <w:t>募股权基</w:t>
            </w:r>
            <w:proofErr w:type="gramEnd"/>
            <w:r>
              <w:rPr>
                <w:rFonts w:hint="eastAsia"/>
                <w:color w:val="000000"/>
              </w:rPr>
              <w:t>金管理公司进行全球房地产市场的投资</w:t>
            </w:r>
            <w:r w:rsidRPr="000007F9">
              <w:t>。</w:t>
            </w:r>
          </w:p>
        </w:tc>
      </w:tr>
      <w:tr w:rsidR="00835F20" w:rsidRPr="00835F20" w14:paraId="4AEA4599" w14:textId="77777777" w:rsidTr="006068A4">
        <w:trPr>
          <w:trHeight w:val="942"/>
        </w:trPr>
        <w:tc>
          <w:tcPr>
            <w:tcW w:w="1940" w:type="dxa"/>
            <w:vMerge/>
            <w:shd w:val="clear" w:color="auto" w:fill="D9D9D9"/>
            <w:vAlign w:val="center"/>
          </w:tcPr>
          <w:p w14:paraId="1731D342" w14:textId="77777777" w:rsidR="00EF0E81" w:rsidRPr="00835F20" w:rsidRDefault="00EF0E81" w:rsidP="006068A4">
            <w:pPr>
              <w:pStyle w:val="a3"/>
              <w:adjustRightInd w:val="0"/>
              <w:snapToGrid w:val="0"/>
              <w:spacing w:after="0"/>
              <w:rPr>
                <w:rFonts w:ascii="宋体" w:hAnsi="宋体" w:cs="宋体"/>
                <w:bCs/>
                <w:lang w:eastAsia="zh-CN"/>
              </w:rPr>
            </w:pPr>
          </w:p>
        </w:tc>
        <w:tc>
          <w:tcPr>
            <w:tcW w:w="1607" w:type="dxa"/>
            <w:vAlign w:val="center"/>
          </w:tcPr>
          <w:p w14:paraId="6D824AF6" w14:textId="543C6C97" w:rsidR="00EF0E81" w:rsidRPr="000007F9" w:rsidRDefault="00771BEF" w:rsidP="006068A4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lang w:val="en-US" w:eastAsia="zh-CN"/>
              </w:rPr>
            </w:pPr>
            <w:r w:rsidRPr="000007F9">
              <w:rPr>
                <w:rFonts w:cs="Times New Roman"/>
                <w:lang w:eastAsia="zh-CN"/>
              </w:rPr>
              <w:t>城家</w:t>
            </w:r>
          </w:p>
        </w:tc>
        <w:tc>
          <w:tcPr>
            <w:tcW w:w="6093" w:type="dxa"/>
            <w:vAlign w:val="center"/>
          </w:tcPr>
          <w:p w14:paraId="68A1A18E" w14:textId="77777777" w:rsidR="00F62706" w:rsidRDefault="0014677E" w:rsidP="0014677E">
            <w:pPr>
              <w:widowControl w:val="0"/>
              <w:adjustRightInd w:val="0"/>
              <w:snapToGrid w:val="0"/>
              <w:spacing w:after="0"/>
            </w:pPr>
            <w:r w:rsidRPr="000007F9">
              <w:t>城家于</w:t>
            </w:r>
            <w:r w:rsidRPr="000007F9">
              <w:t>2015</w:t>
            </w:r>
            <w:r w:rsidRPr="000007F9">
              <w:t>年</w:t>
            </w:r>
            <w:r w:rsidRPr="000007F9">
              <w:t>12</w:t>
            </w:r>
            <w:r w:rsidRPr="000007F9">
              <w:t>月</w:t>
            </w:r>
            <w:r w:rsidRPr="000007F9">
              <w:t>10</w:t>
            </w:r>
            <w:r w:rsidRPr="000007F9">
              <w:t>日成立于上海市，</w:t>
            </w:r>
            <w:r w:rsidR="00F62706">
              <w:rPr>
                <w:rFonts w:hint="eastAsia"/>
              </w:rPr>
              <w:t>主要业务为</w:t>
            </w:r>
            <w:r w:rsidRPr="000007F9">
              <w:t>酒店、公寓运营管理</w:t>
            </w:r>
            <w:r w:rsidR="00F62706">
              <w:rPr>
                <w:rFonts w:hint="eastAsia"/>
              </w:rPr>
              <w:t>。</w:t>
            </w:r>
          </w:p>
          <w:p w14:paraId="45AE4DC5" w14:textId="056757D8" w:rsidR="007E41BE" w:rsidRPr="000007F9" w:rsidRDefault="00F62706" w:rsidP="0014677E">
            <w:pPr>
              <w:widowControl w:val="0"/>
              <w:adjustRightInd w:val="0"/>
              <w:snapToGrid w:val="0"/>
              <w:spacing w:after="0"/>
              <w:rPr>
                <w:highlight w:val="yellow"/>
                <w:lang w:val="en-US"/>
              </w:rPr>
            </w:pPr>
            <w:r>
              <w:rPr>
                <w:rFonts w:hint="eastAsia"/>
              </w:rPr>
              <w:t>城家</w:t>
            </w:r>
            <w:proofErr w:type="gramStart"/>
            <w:r>
              <w:rPr>
                <w:rFonts w:hint="eastAsia"/>
              </w:rPr>
              <w:t>无最终</w:t>
            </w:r>
            <w:proofErr w:type="gramEnd"/>
            <w:r>
              <w:rPr>
                <w:rFonts w:hint="eastAsia"/>
              </w:rPr>
              <w:t>控制人。</w:t>
            </w:r>
          </w:p>
        </w:tc>
      </w:tr>
      <w:tr w:rsidR="00835F20" w:rsidRPr="00835F20" w14:paraId="3716CE94" w14:textId="77777777" w:rsidTr="006068A4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0539C3A3" w14:textId="77777777" w:rsidR="008F5EB2" w:rsidRPr="00835F20" w:rsidRDefault="008F5EB2" w:rsidP="006068A4">
            <w:pPr>
              <w:pStyle w:val="a3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  <w:r w:rsidRPr="00835F20">
              <w:rPr>
                <w:rFonts w:ascii="宋体" w:hAnsi="宋体" w:cs="宋体" w:hint="eastAsia"/>
                <w:bCs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1412FA3E" w14:textId="5B4ABCC4" w:rsidR="008F5EB2" w:rsidRPr="00835F20" w:rsidRDefault="00FD2F9E" w:rsidP="006068A4">
            <w:pPr>
              <w:pStyle w:val="a3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  <w:r w:rsidRPr="00835F20">
              <w:rPr>
                <w:rFonts w:ascii="宋体" w:hAnsi="宋体" w:cs="宋体" w:hint="eastAsia"/>
                <w:bCs/>
                <w:lang w:eastAsia="zh-CN"/>
              </w:rPr>
              <w:sym w:font="Wingdings" w:char="00FE"/>
            </w:r>
            <w:r w:rsidR="008F5EB2" w:rsidRPr="00835F20">
              <w:rPr>
                <w:rFonts w:ascii="宋体" w:hAnsi="宋体" w:cs="宋体" w:hint="eastAsia"/>
                <w:bCs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 w:rsidR="00835F20" w:rsidRPr="00835F20" w14:paraId="6D7557BF" w14:textId="77777777" w:rsidTr="006068A4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00FFC422" w14:textId="77777777" w:rsidR="008F5EB2" w:rsidRPr="00835F20" w:rsidRDefault="008F5EB2" w:rsidP="006068A4">
            <w:pPr>
              <w:pStyle w:val="a3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F1400F3" w14:textId="33C3C623" w:rsidR="008F5EB2" w:rsidRPr="00835F20" w:rsidRDefault="00F207E4" w:rsidP="006068A4">
            <w:pPr>
              <w:pStyle w:val="a3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  <w:r w:rsidRPr="00835F20">
              <w:rPr>
                <w:rFonts w:ascii="宋体" w:hAnsi="宋体" w:cs="宋体" w:hint="eastAsia"/>
                <w:bCs/>
                <w:lang w:eastAsia="zh-CN"/>
              </w:rPr>
              <w:sym w:font="Wingdings" w:char="00A8"/>
            </w:r>
            <w:r w:rsidR="008F5EB2" w:rsidRPr="00835F20">
              <w:rPr>
                <w:rFonts w:ascii="宋体" w:hAnsi="宋体" w:cs="宋体" w:hint="eastAsia"/>
                <w:bCs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 w:rsidR="00835F20" w:rsidRPr="00835F20" w14:paraId="4828123C" w14:textId="77777777" w:rsidTr="006068A4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49B42E4D" w14:textId="77777777" w:rsidR="008F5EB2" w:rsidRPr="00835F20" w:rsidRDefault="008F5EB2" w:rsidP="006068A4">
            <w:pPr>
              <w:pStyle w:val="a3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06119D0" w14:textId="6994C2C0" w:rsidR="008F5EB2" w:rsidRPr="00835F20" w:rsidRDefault="00FD2F9E" w:rsidP="006068A4">
            <w:pPr>
              <w:pStyle w:val="a3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  <w:r w:rsidRPr="00835F20">
              <w:rPr>
                <w:rFonts w:ascii="宋体" w:hAnsi="宋体" w:cs="宋体" w:hint="eastAsia"/>
                <w:bCs/>
                <w:lang w:eastAsia="zh-CN"/>
              </w:rPr>
              <w:sym w:font="Wingdings" w:char="00A8"/>
            </w:r>
            <w:r w:rsidR="008F5EB2" w:rsidRPr="00835F20">
              <w:rPr>
                <w:rFonts w:ascii="宋体" w:hAnsi="宋体" w:cs="宋体" w:hint="eastAsia"/>
                <w:bCs/>
                <w:lang w:eastAsia="zh-CN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 w:rsidR="00835F20" w:rsidRPr="00835F20" w14:paraId="42FD1183" w14:textId="77777777" w:rsidTr="006068A4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44506130" w14:textId="77777777" w:rsidR="008F5EB2" w:rsidRPr="00835F20" w:rsidRDefault="008F5EB2" w:rsidP="006068A4">
            <w:pPr>
              <w:pStyle w:val="a3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AAD3CA9" w14:textId="77777777" w:rsidR="008F5EB2" w:rsidRPr="00835F20" w:rsidRDefault="008F5EB2" w:rsidP="006068A4">
            <w:pPr>
              <w:pStyle w:val="a3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  <w:r w:rsidRPr="00835F20">
              <w:rPr>
                <w:rFonts w:ascii="宋体" w:hAnsi="宋体" w:cs="宋体" w:hint="eastAsia"/>
                <w:bCs/>
                <w:lang w:eastAsia="zh-CN"/>
              </w:rPr>
              <w:sym w:font="Wingdings" w:char="00A8"/>
            </w:r>
            <w:r w:rsidRPr="00835F20">
              <w:rPr>
                <w:rFonts w:ascii="宋体" w:hAnsi="宋体" w:cs="宋体" w:hint="eastAsia"/>
                <w:bCs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 w:rsidR="00835F20" w:rsidRPr="00835F20" w14:paraId="30DE7B79" w14:textId="77777777" w:rsidTr="006068A4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01959A92" w14:textId="77777777" w:rsidR="008F5EB2" w:rsidRPr="00835F20" w:rsidRDefault="008F5EB2" w:rsidP="006068A4">
            <w:pPr>
              <w:pStyle w:val="a3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3578D8E" w14:textId="3DFB2D6F" w:rsidR="008F5EB2" w:rsidRPr="00835F20" w:rsidRDefault="007E41BE" w:rsidP="006068A4">
            <w:pPr>
              <w:pStyle w:val="a3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  <w:r w:rsidRPr="00835F20">
              <w:rPr>
                <w:rFonts w:ascii="宋体" w:hAnsi="宋体" w:cs="宋体" w:hint="eastAsia"/>
                <w:bCs/>
                <w:lang w:eastAsia="zh-CN"/>
              </w:rPr>
              <w:sym w:font="Wingdings" w:char="00A8"/>
            </w:r>
            <w:r w:rsidR="008F5EB2" w:rsidRPr="00835F20">
              <w:rPr>
                <w:rFonts w:ascii="宋体" w:hAnsi="宋体" w:cs="宋体" w:hint="eastAsia"/>
                <w:bCs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 w:rsidR="00835F20" w:rsidRPr="00835F20" w14:paraId="3B8C9A6C" w14:textId="77777777" w:rsidTr="006068A4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62338BB3" w14:textId="77777777" w:rsidR="008F5EB2" w:rsidRPr="00835F20" w:rsidRDefault="008F5EB2" w:rsidP="006068A4">
            <w:pPr>
              <w:pStyle w:val="a3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E833B73" w14:textId="61A168CE" w:rsidR="008F5EB2" w:rsidRPr="00835F20" w:rsidRDefault="004C6002" w:rsidP="006068A4">
            <w:pPr>
              <w:pStyle w:val="a3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  <w:r w:rsidRPr="00835F20">
              <w:rPr>
                <w:rFonts w:ascii="宋体" w:hAnsi="宋体" w:cs="宋体" w:hint="eastAsia"/>
                <w:bCs/>
                <w:lang w:eastAsia="zh-CN"/>
              </w:rPr>
              <w:sym w:font="Wingdings" w:char="00A8"/>
            </w:r>
            <w:r w:rsidR="008F5EB2" w:rsidRPr="00835F20">
              <w:rPr>
                <w:rFonts w:ascii="宋体" w:hAnsi="宋体" w:cs="宋体" w:hint="eastAsia"/>
                <w:bCs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 w:rsidR="00835F20" w:rsidRPr="00835F20" w14:paraId="75F60CE1" w14:textId="77777777" w:rsidTr="006068A4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14:paraId="1C0CED97" w14:textId="77777777" w:rsidR="008F5EB2" w:rsidRPr="00835F20" w:rsidRDefault="008F5EB2" w:rsidP="006068A4">
            <w:pPr>
              <w:pStyle w:val="a3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  <w:r w:rsidRPr="00835F20">
              <w:rPr>
                <w:rFonts w:ascii="宋体" w:hAnsi="宋体" w:cs="宋体" w:hint="eastAsia"/>
                <w:bCs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370370DB" w14:textId="6BE12E33" w:rsidR="008F5EB2" w:rsidRPr="000007F9" w:rsidRDefault="00FD2F9E" w:rsidP="006068A4">
            <w:pPr>
              <w:pStyle w:val="a3"/>
              <w:adjustRightInd w:val="0"/>
              <w:snapToGrid w:val="0"/>
              <w:spacing w:after="0"/>
              <w:rPr>
                <w:rFonts w:cs="Times New Roman"/>
                <w:b/>
                <w:lang w:eastAsia="zh-CN"/>
              </w:rPr>
            </w:pPr>
            <w:r>
              <w:rPr>
                <w:rFonts w:cs="Times New Roman" w:hint="eastAsia"/>
                <w:b/>
                <w:lang w:eastAsia="zh-CN"/>
              </w:rPr>
              <w:t>横向重叠</w:t>
            </w:r>
            <w:r w:rsidR="008F5EB2" w:rsidRPr="000007F9">
              <w:rPr>
                <w:rFonts w:cs="Times New Roman"/>
                <w:b/>
                <w:lang w:eastAsia="zh-CN"/>
              </w:rPr>
              <w:t>：</w:t>
            </w:r>
          </w:p>
          <w:p w14:paraId="6AB349F5" w14:textId="4BEE4AD1" w:rsidR="004C6002" w:rsidRPr="000007F9" w:rsidRDefault="004C6002" w:rsidP="004C6002">
            <w:pPr>
              <w:pStyle w:val="a3"/>
              <w:adjustRightInd w:val="0"/>
              <w:snapToGrid w:val="0"/>
              <w:spacing w:after="0"/>
              <w:rPr>
                <w:rFonts w:cs="Times New Roman"/>
                <w:b/>
                <w:bCs/>
                <w:lang w:eastAsia="zh-CN"/>
              </w:rPr>
            </w:pPr>
            <w:r w:rsidRPr="000007F9">
              <w:rPr>
                <w:rFonts w:cs="Times New Roman"/>
                <w:bCs/>
                <w:lang w:eastAsia="zh-CN"/>
              </w:rPr>
              <w:t>202</w:t>
            </w:r>
            <w:r w:rsidR="00A77EBD" w:rsidRPr="000007F9">
              <w:rPr>
                <w:rFonts w:cs="Times New Roman"/>
                <w:bCs/>
                <w:lang w:eastAsia="zh-CN"/>
              </w:rPr>
              <w:t>3</w:t>
            </w:r>
            <w:r w:rsidRPr="000007F9">
              <w:rPr>
                <w:rFonts w:cs="Times New Roman"/>
                <w:bCs/>
                <w:lang w:eastAsia="zh-CN"/>
              </w:rPr>
              <w:t>年</w:t>
            </w:r>
            <w:r w:rsidR="00771BEF" w:rsidRPr="000007F9">
              <w:rPr>
                <w:rFonts w:cs="Times New Roman"/>
                <w:bCs/>
                <w:lang w:eastAsia="zh-CN"/>
              </w:rPr>
              <w:t>北京市长租公寓开发与运营</w:t>
            </w:r>
            <w:r w:rsidRPr="000007F9">
              <w:rPr>
                <w:rFonts w:cs="Times New Roman"/>
                <w:bCs/>
                <w:lang w:eastAsia="zh-CN"/>
              </w:rPr>
              <w:t>市场：</w:t>
            </w:r>
          </w:p>
          <w:p w14:paraId="7F5EE14C" w14:textId="44347798" w:rsidR="00BB70BA" w:rsidRPr="00000D42" w:rsidRDefault="00FD2F9E" w:rsidP="000E0994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lang w:eastAsia="zh-CN"/>
              </w:rPr>
            </w:pPr>
            <w:proofErr w:type="gramStart"/>
            <w:r w:rsidRPr="0017327C">
              <w:rPr>
                <w:rFonts w:cs="Times New Roman" w:hint="eastAsia"/>
                <w:bCs/>
                <w:lang w:eastAsia="zh-CN"/>
              </w:rPr>
              <w:t>御璞呈嘉</w:t>
            </w:r>
            <w:proofErr w:type="gramEnd"/>
            <w:r w:rsidRPr="000007F9">
              <w:rPr>
                <w:rFonts w:cs="Times New Roman"/>
                <w:bCs/>
                <w:lang w:eastAsia="zh-CN"/>
              </w:rPr>
              <w:t>：</w:t>
            </w:r>
            <w:r w:rsidRPr="000007F9">
              <w:rPr>
                <w:rFonts w:cs="Times New Roman"/>
                <w:bCs/>
                <w:lang w:eastAsia="zh-CN"/>
              </w:rPr>
              <w:t>0-5%</w:t>
            </w:r>
            <w:r>
              <w:rPr>
                <w:rFonts w:cs="Times New Roman" w:hint="eastAsia"/>
                <w:bCs/>
                <w:lang w:eastAsia="zh-CN"/>
              </w:rPr>
              <w:t>，</w:t>
            </w:r>
            <w:r w:rsidR="00771BEF" w:rsidRPr="000007F9">
              <w:rPr>
                <w:rFonts w:cs="Times New Roman"/>
                <w:bCs/>
                <w:lang w:eastAsia="zh-CN"/>
              </w:rPr>
              <w:t>城家：</w:t>
            </w:r>
            <w:r w:rsidR="00771BEF" w:rsidRPr="000007F9">
              <w:rPr>
                <w:rFonts w:cs="Times New Roman"/>
                <w:bCs/>
                <w:lang w:eastAsia="zh-CN"/>
              </w:rPr>
              <w:t>0-5%</w:t>
            </w:r>
          </w:p>
        </w:tc>
      </w:tr>
    </w:tbl>
    <w:p w14:paraId="7B58FFB5" w14:textId="77777777" w:rsidR="008F5EB2" w:rsidRPr="00112FBF" w:rsidRDefault="008F5EB2"/>
    <w:sectPr w:rsidR="008F5EB2" w:rsidRPr="00112FBF" w:rsidSect="00782FD2">
      <w:footerReference w:type="default" r:id="rId7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BF8E8" w14:textId="77777777" w:rsidR="00B305C5" w:rsidRDefault="00B305C5">
      <w:pPr>
        <w:spacing w:after="0"/>
      </w:pPr>
      <w:r>
        <w:separator/>
      </w:r>
    </w:p>
  </w:endnote>
  <w:endnote w:type="continuationSeparator" w:id="0">
    <w:p w14:paraId="29AAD41A" w14:textId="77777777" w:rsidR="00B305C5" w:rsidRDefault="00B305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00000000" w:usb2="00000000" w:usb3="00000000" w:csb0="0000004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3007"/>
      <w:gridCol w:w="3011"/>
      <w:gridCol w:w="3008"/>
    </w:tblGrid>
    <w:tr w:rsidR="00605C53" w14:paraId="03405550" w14:textId="77777777">
      <w:tc>
        <w:tcPr>
          <w:tcW w:w="3080" w:type="dxa"/>
        </w:tcPr>
        <w:p w14:paraId="44117A42" w14:textId="77777777" w:rsidR="00605C53" w:rsidRDefault="00B305C5">
          <w:pPr>
            <w:pStyle w:val="a5"/>
          </w:pPr>
        </w:p>
      </w:tc>
      <w:tc>
        <w:tcPr>
          <w:tcW w:w="3081" w:type="dxa"/>
        </w:tcPr>
        <w:p w14:paraId="6D8C01E0" w14:textId="77777777" w:rsidR="00605C53" w:rsidRDefault="00A914B2">
          <w:pPr>
            <w:pStyle w:val="a5"/>
            <w:jc w:val="center"/>
            <w:rPr>
              <w:rStyle w:val="a7"/>
            </w:rPr>
          </w:pPr>
          <w:r>
            <w:rPr>
              <w:rStyle w:val="a7"/>
            </w:rPr>
            <w:t xml:space="preserve">- </w:t>
          </w:r>
          <w:r w:rsidR="00B75423">
            <w:rPr>
              <w:rStyle w:val="a7"/>
            </w:rPr>
            <w:fldChar w:fldCharType="begin"/>
          </w:r>
          <w:r>
            <w:rPr>
              <w:rStyle w:val="a7"/>
            </w:rPr>
            <w:instrText xml:space="preserve"> PAGE   \* MERGEFORMAT </w:instrText>
          </w:r>
          <w:r w:rsidR="00B75423">
            <w:rPr>
              <w:rStyle w:val="a7"/>
            </w:rPr>
            <w:fldChar w:fldCharType="separate"/>
          </w:r>
          <w:r w:rsidR="00E7795C" w:rsidRPr="00E7795C">
            <w:rPr>
              <w:rStyle w:val="a7"/>
              <w:noProof/>
              <w:lang w:val="en-US"/>
            </w:rPr>
            <w:t>1</w:t>
          </w:r>
          <w:r w:rsidR="00B75423">
            <w:rPr>
              <w:rStyle w:val="a7"/>
            </w:rPr>
            <w:fldChar w:fldCharType="end"/>
          </w:r>
          <w:r>
            <w:rPr>
              <w:rStyle w:val="a7"/>
            </w:rPr>
            <w:t xml:space="preserve"> -</w:t>
          </w:r>
        </w:p>
      </w:tc>
      <w:tc>
        <w:tcPr>
          <w:tcW w:w="3081" w:type="dxa"/>
        </w:tcPr>
        <w:p w14:paraId="2F30EEA7" w14:textId="77777777" w:rsidR="00605C53" w:rsidRDefault="00B305C5">
          <w:pPr>
            <w:pStyle w:val="FooterRight"/>
          </w:pPr>
        </w:p>
      </w:tc>
    </w:tr>
  </w:tbl>
  <w:p w14:paraId="56158CF7" w14:textId="77777777" w:rsidR="00605C53" w:rsidRDefault="00B305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B0B54" w14:textId="77777777" w:rsidR="00B305C5" w:rsidRDefault="00B305C5">
      <w:pPr>
        <w:spacing w:after="0"/>
      </w:pPr>
      <w:r>
        <w:separator/>
      </w:r>
    </w:p>
  </w:footnote>
  <w:footnote w:type="continuationSeparator" w:id="0">
    <w:p w14:paraId="5637EA0F" w14:textId="77777777" w:rsidR="00B305C5" w:rsidRDefault="00B305C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0NDQyMLSwNDUxM7BU0lEKTi0uzszPAykwNKoFAA36OjctAAAA"/>
  </w:docVars>
  <w:rsids>
    <w:rsidRoot w:val="008F5EB2"/>
    <w:rsid w:val="000007F9"/>
    <w:rsid w:val="00000D42"/>
    <w:rsid w:val="00011455"/>
    <w:rsid w:val="00051967"/>
    <w:rsid w:val="000B5C8B"/>
    <w:rsid w:val="000D4A22"/>
    <w:rsid w:val="000E0994"/>
    <w:rsid w:val="0011271D"/>
    <w:rsid w:val="00112FBF"/>
    <w:rsid w:val="001174AF"/>
    <w:rsid w:val="00131123"/>
    <w:rsid w:val="0014677E"/>
    <w:rsid w:val="00157A00"/>
    <w:rsid w:val="00164CEE"/>
    <w:rsid w:val="00171EA0"/>
    <w:rsid w:val="0017327C"/>
    <w:rsid w:val="001B09F6"/>
    <w:rsid w:val="001B4C3C"/>
    <w:rsid w:val="001C3BE9"/>
    <w:rsid w:val="002052B8"/>
    <w:rsid w:val="0023028F"/>
    <w:rsid w:val="0023229B"/>
    <w:rsid w:val="002365BE"/>
    <w:rsid w:val="002438C0"/>
    <w:rsid w:val="00245684"/>
    <w:rsid w:val="002573F9"/>
    <w:rsid w:val="00275CD1"/>
    <w:rsid w:val="002A5764"/>
    <w:rsid w:val="002A7535"/>
    <w:rsid w:val="002B7F28"/>
    <w:rsid w:val="002E4259"/>
    <w:rsid w:val="00344727"/>
    <w:rsid w:val="00373B91"/>
    <w:rsid w:val="00376010"/>
    <w:rsid w:val="00376394"/>
    <w:rsid w:val="003F4786"/>
    <w:rsid w:val="003F7FDF"/>
    <w:rsid w:val="004269DE"/>
    <w:rsid w:val="00426B83"/>
    <w:rsid w:val="004334EB"/>
    <w:rsid w:val="00454DD8"/>
    <w:rsid w:val="00463171"/>
    <w:rsid w:val="00494E78"/>
    <w:rsid w:val="004C5F5D"/>
    <w:rsid w:val="004C6002"/>
    <w:rsid w:val="00507B16"/>
    <w:rsid w:val="00507C01"/>
    <w:rsid w:val="0051368E"/>
    <w:rsid w:val="00514762"/>
    <w:rsid w:val="005250EA"/>
    <w:rsid w:val="00564E31"/>
    <w:rsid w:val="00571C32"/>
    <w:rsid w:val="00592E7F"/>
    <w:rsid w:val="005A3231"/>
    <w:rsid w:val="005B1F44"/>
    <w:rsid w:val="005D5CD2"/>
    <w:rsid w:val="005F0689"/>
    <w:rsid w:val="005F366A"/>
    <w:rsid w:val="00613C95"/>
    <w:rsid w:val="00654731"/>
    <w:rsid w:val="006900ED"/>
    <w:rsid w:val="006A7CFA"/>
    <w:rsid w:val="006C020B"/>
    <w:rsid w:val="006D151E"/>
    <w:rsid w:val="006D38AD"/>
    <w:rsid w:val="0070671E"/>
    <w:rsid w:val="00730C8F"/>
    <w:rsid w:val="007519AA"/>
    <w:rsid w:val="00771BEF"/>
    <w:rsid w:val="00782FD2"/>
    <w:rsid w:val="00787CB0"/>
    <w:rsid w:val="007C1797"/>
    <w:rsid w:val="007E41BE"/>
    <w:rsid w:val="007E57B3"/>
    <w:rsid w:val="00802A4B"/>
    <w:rsid w:val="00806AEB"/>
    <w:rsid w:val="0083315B"/>
    <w:rsid w:val="008341D9"/>
    <w:rsid w:val="00835F20"/>
    <w:rsid w:val="008F1299"/>
    <w:rsid w:val="008F5EB2"/>
    <w:rsid w:val="0091299C"/>
    <w:rsid w:val="00915706"/>
    <w:rsid w:val="009317DD"/>
    <w:rsid w:val="00937DB7"/>
    <w:rsid w:val="0094313F"/>
    <w:rsid w:val="0094580A"/>
    <w:rsid w:val="009A47AA"/>
    <w:rsid w:val="009D4458"/>
    <w:rsid w:val="00A14D50"/>
    <w:rsid w:val="00A536FD"/>
    <w:rsid w:val="00A63CC9"/>
    <w:rsid w:val="00A66E00"/>
    <w:rsid w:val="00A70646"/>
    <w:rsid w:val="00A77EBD"/>
    <w:rsid w:val="00A914B2"/>
    <w:rsid w:val="00AD04AC"/>
    <w:rsid w:val="00AE1162"/>
    <w:rsid w:val="00AE777A"/>
    <w:rsid w:val="00AF44A5"/>
    <w:rsid w:val="00B145B6"/>
    <w:rsid w:val="00B305C5"/>
    <w:rsid w:val="00B34AE3"/>
    <w:rsid w:val="00B73540"/>
    <w:rsid w:val="00B74424"/>
    <w:rsid w:val="00B75423"/>
    <w:rsid w:val="00B84C6E"/>
    <w:rsid w:val="00B91576"/>
    <w:rsid w:val="00B97B4D"/>
    <w:rsid w:val="00BA5CAD"/>
    <w:rsid w:val="00BB2267"/>
    <w:rsid w:val="00BB70BA"/>
    <w:rsid w:val="00BE30D3"/>
    <w:rsid w:val="00BF254B"/>
    <w:rsid w:val="00BF6AE2"/>
    <w:rsid w:val="00C76AEA"/>
    <w:rsid w:val="00CA0257"/>
    <w:rsid w:val="00CB5B2B"/>
    <w:rsid w:val="00CF7FD0"/>
    <w:rsid w:val="00D151F9"/>
    <w:rsid w:val="00D44F0C"/>
    <w:rsid w:val="00D83A84"/>
    <w:rsid w:val="00D911C1"/>
    <w:rsid w:val="00DC3BDB"/>
    <w:rsid w:val="00DC73C5"/>
    <w:rsid w:val="00DF1F50"/>
    <w:rsid w:val="00E13396"/>
    <w:rsid w:val="00E25A5C"/>
    <w:rsid w:val="00E561A9"/>
    <w:rsid w:val="00E70EFF"/>
    <w:rsid w:val="00E7795C"/>
    <w:rsid w:val="00EA1A11"/>
    <w:rsid w:val="00EA4F83"/>
    <w:rsid w:val="00EB23E4"/>
    <w:rsid w:val="00EF0112"/>
    <w:rsid w:val="00EF01F3"/>
    <w:rsid w:val="00EF0E81"/>
    <w:rsid w:val="00EF4349"/>
    <w:rsid w:val="00F102C3"/>
    <w:rsid w:val="00F14949"/>
    <w:rsid w:val="00F207E4"/>
    <w:rsid w:val="00F412DC"/>
    <w:rsid w:val="00F4616F"/>
    <w:rsid w:val="00F5176A"/>
    <w:rsid w:val="00F61315"/>
    <w:rsid w:val="00F62706"/>
    <w:rsid w:val="00F81DE0"/>
    <w:rsid w:val="00FD2F9E"/>
    <w:rsid w:val="00FD5F03"/>
    <w:rsid w:val="00FD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DC514A"/>
  <w15:docId w15:val="{D0E6F834-722D-4EE0-9889-AC76DEE2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5EB2"/>
    <w:pPr>
      <w:spacing w:after="240"/>
      <w:jc w:val="both"/>
    </w:pPr>
    <w:rPr>
      <w:rFonts w:ascii="Times New Roman" w:eastAsia="宋体" w:hAnsi="Times New Roman" w:cs="Times New Roman"/>
      <w:kern w:val="0"/>
      <w:sz w:val="24"/>
      <w:szCs w:val="24"/>
      <w:lang w:val="en-GB" w:bidi="ar-A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5EB2"/>
    <w:rPr>
      <w:rFonts w:cs="Simplified Arabic"/>
      <w:lang w:eastAsia="en-GB"/>
    </w:rPr>
  </w:style>
  <w:style w:type="character" w:customStyle="1" w:styleId="a4">
    <w:name w:val="正文文本 字符"/>
    <w:basedOn w:val="a0"/>
    <w:link w:val="a3"/>
    <w:rsid w:val="008F5EB2"/>
    <w:rPr>
      <w:rFonts w:ascii="Times New Roman" w:eastAsia="宋体" w:hAnsi="Times New Roman" w:cs="Simplified Arabic"/>
      <w:kern w:val="0"/>
      <w:sz w:val="24"/>
      <w:szCs w:val="24"/>
      <w:lang w:val="en-GB" w:eastAsia="en-GB" w:bidi="ar-AE"/>
    </w:rPr>
  </w:style>
  <w:style w:type="paragraph" w:styleId="a5">
    <w:name w:val="footer"/>
    <w:link w:val="a6"/>
    <w:rsid w:val="008F5EB2"/>
    <w:rPr>
      <w:rFonts w:ascii="Times New Roman" w:eastAsia="宋体" w:hAnsi="Times New Roman" w:cs="Times New Roman"/>
      <w:kern w:val="0"/>
      <w:sz w:val="16"/>
      <w:szCs w:val="16"/>
      <w:lang w:val="en-GB" w:bidi="he-IL"/>
    </w:rPr>
  </w:style>
  <w:style w:type="character" w:customStyle="1" w:styleId="a6">
    <w:name w:val="页脚 字符"/>
    <w:basedOn w:val="a0"/>
    <w:link w:val="a5"/>
    <w:rsid w:val="008F5EB2"/>
    <w:rPr>
      <w:rFonts w:ascii="Times New Roman" w:eastAsia="宋体" w:hAnsi="Times New Roman" w:cs="Times New Roman"/>
      <w:kern w:val="0"/>
      <w:sz w:val="16"/>
      <w:szCs w:val="16"/>
      <w:lang w:val="en-GB" w:bidi="he-IL"/>
    </w:rPr>
  </w:style>
  <w:style w:type="character" w:styleId="a7">
    <w:name w:val="page number"/>
    <w:rsid w:val="008F5EB2"/>
    <w:rPr>
      <w:rFonts w:ascii="Times New Roman" w:eastAsia="宋体" w:hAnsi="Times New Roman" w:cs="Simplified Arabic"/>
      <w:sz w:val="24"/>
      <w:szCs w:val="24"/>
      <w:lang w:val="en-GB" w:bidi="ar-AE"/>
    </w:rPr>
  </w:style>
  <w:style w:type="paragraph" w:customStyle="1" w:styleId="FooterRight">
    <w:name w:val="Footer Right"/>
    <w:basedOn w:val="a5"/>
    <w:rsid w:val="008F5EB2"/>
    <w:pPr>
      <w:jc w:val="right"/>
    </w:pPr>
  </w:style>
  <w:style w:type="paragraph" w:styleId="a8">
    <w:name w:val="header"/>
    <w:basedOn w:val="a"/>
    <w:link w:val="a9"/>
    <w:uiPriority w:val="99"/>
    <w:unhideWhenUsed/>
    <w:rsid w:val="00454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54DD8"/>
    <w:rPr>
      <w:rFonts w:ascii="Times New Roman" w:eastAsia="宋体" w:hAnsi="Times New Roman" w:cs="Times New Roman"/>
      <w:kern w:val="0"/>
      <w:sz w:val="18"/>
      <w:szCs w:val="18"/>
      <w:lang w:val="en-GB" w:bidi="ar-AE"/>
    </w:rPr>
  </w:style>
  <w:style w:type="character" w:styleId="aa">
    <w:name w:val="annotation reference"/>
    <w:basedOn w:val="a0"/>
    <w:uiPriority w:val="99"/>
    <w:semiHidden/>
    <w:unhideWhenUsed/>
    <w:rsid w:val="005250EA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5250EA"/>
    <w:pPr>
      <w:jc w:val="left"/>
    </w:pPr>
  </w:style>
  <w:style w:type="character" w:customStyle="1" w:styleId="ac">
    <w:name w:val="批注文字 字符"/>
    <w:basedOn w:val="a0"/>
    <w:link w:val="ab"/>
    <w:uiPriority w:val="99"/>
    <w:rsid w:val="005250EA"/>
    <w:rPr>
      <w:rFonts w:ascii="Times New Roman" w:eastAsia="宋体" w:hAnsi="Times New Roman" w:cs="Times New Roman"/>
      <w:kern w:val="0"/>
      <w:sz w:val="24"/>
      <w:szCs w:val="24"/>
      <w:lang w:val="en-GB" w:bidi="ar-A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250EA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5250EA"/>
    <w:rPr>
      <w:rFonts w:ascii="Times New Roman" w:eastAsia="宋体" w:hAnsi="Times New Roman" w:cs="Times New Roman"/>
      <w:b/>
      <w:bCs/>
      <w:kern w:val="0"/>
      <w:sz w:val="24"/>
      <w:szCs w:val="24"/>
      <w:lang w:val="en-GB" w:bidi="ar-AE"/>
    </w:rPr>
  </w:style>
  <w:style w:type="paragraph" w:styleId="af">
    <w:name w:val="Balloon Text"/>
    <w:basedOn w:val="a"/>
    <w:link w:val="af0"/>
    <w:uiPriority w:val="99"/>
    <w:semiHidden/>
    <w:unhideWhenUsed/>
    <w:rsid w:val="00613C95"/>
    <w:pPr>
      <w:spacing w:after="0"/>
    </w:pPr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613C95"/>
    <w:rPr>
      <w:rFonts w:ascii="Times New Roman" w:eastAsia="宋体" w:hAnsi="Times New Roman" w:cs="Times New Roman"/>
      <w:kern w:val="0"/>
      <w:sz w:val="18"/>
      <w:szCs w:val="18"/>
      <w:lang w:val="en-GB" w:bidi="ar-AE"/>
    </w:rPr>
  </w:style>
  <w:style w:type="paragraph" w:styleId="af1">
    <w:name w:val="Revision"/>
    <w:hidden/>
    <w:uiPriority w:val="99"/>
    <w:semiHidden/>
    <w:rsid w:val="00B74424"/>
    <w:rPr>
      <w:rFonts w:ascii="Times New Roman" w:eastAsia="宋体" w:hAnsi="Times New Roman" w:cs="Times New Roman"/>
      <w:kern w:val="0"/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EB7E1-2987-470D-9C5B-46E23F9E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521</Characters>
  <Application>Microsoft Office Word</Application>
  <DocSecurity>0</DocSecurity>
  <Lines>32</Lines>
  <Paragraphs>47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 Loretta(嵇若琳)</dc:creator>
  <cp:keywords/>
  <dc:description/>
  <cp:lastModifiedBy>Llinks</cp:lastModifiedBy>
  <cp:revision>7</cp:revision>
  <dcterms:created xsi:type="dcterms:W3CDTF">2025-02-25T09:35:00Z</dcterms:created>
  <dcterms:modified xsi:type="dcterms:W3CDTF">2025-03-06T03:40:00Z</dcterms:modified>
</cp:coreProperties>
</file>