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5CC2" w14:textId="39B46792" w:rsidR="00306E6B" w:rsidRDefault="00000000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306E6B" w:rsidRPr="0043443D" w14:paraId="4D85629A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1BED71F2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48E32814" w14:textId="48D9DE9E" w:rsidR="00306E6B" w:rsidRPr="0043443D" w:rsidRDefault="007E4774" w:rsidP="00E0544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bidi="ar-AE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Bayer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(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South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East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Asia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)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Pte.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Ltd.</w:t>
            </w:r>
            <w:r w:rsidR="00492EAC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bidi="ar-AE"/>
              </w:rPr>
              <w:t>收购</w:t>
            </w:r>
            <w:r w:rsidR="00FA40A2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bidi="ar-AE"/>
              </w:rPr>
              <w:t>迪卡（上海）国际种业有限公司</w:t>
            </w:r>
            <w:r w:rsidR="00492EAC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bidi="ar-AE"/>
              </w:rPr>
              <w:t>股权案</w:t>
            </w:r>
          </w:p>
        </w:tc>
      </w:tr>
      <w:tr w:rsidR="00306E6B" w:rsidRPr="0043443D" w14:paraId="187DE922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112497E6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交易概况（限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200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1BB461F" w14:textId="43767026" w:rsidR="00492EAC" w:rsidRPr="0043443D" w:rsidRDefault="00492EAC" w:rsidP="00E0544C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Bayer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(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South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East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Asia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)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Pte.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Ltd.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（“</w:t>
            </w:r>
            <w:r w:rsidRPr="004344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lang w:val="en-GB" w:bidi="ar-AE"/>
              </w:rPr>
              <w:t>拜耳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”）与</w:t>
            </w:r>
            <w:r w:rsidR="00FA40A2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迪卡（上海）国际种业有限公司</w:t>
            </w:r>
            <w:r w:rsid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（下称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“</w:t>
            </w:r>
            <w:r w:rsidR="003F22FE" w:rsidRPr="00FC552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lang w:val="en-GB" w:bidi="ar-AE"/>
              </w:rPr>
              <w:t>国际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”）</w:t>
            </w:r>
            <w:r w:rsidR="000E468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等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签署《增资协议》，拜耳拟认购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国际新增注册资本人民币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10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,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646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,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934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元。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="000E468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</w:t>
            </w:r>
            <w:r w:rsidR="0012237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主要从事</w:t>
            </w:r>
            <w:r w:rsidR="00122375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杂交玉米种子的研发、生产和商业化</w:t>
            </w:r>
            <w:r w:rsidR="0012237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业务。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交易前，拜耳和中国种子集团有限公司（“</w:t>
            </w:r>
            <w:r w:rsidRPr="004344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lang w:val="en-GB" w:bidi="ar-AE"/>
              </w:rPr>
              <w:t>中种集团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”）分别持有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49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%和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51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%的股权，拜耳与中种集团共同控制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国际；交易后，拜耳将持有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</w:t>
            </w:r>
            <w:r w:rsidRPr="0043443D">
              <w:rPr>
                <w:rFonts w:eastAsia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50.1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%的股权，拜耳单独控制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国际。</w:t>
            </w:r>
          </w:p>
        </w:tc>
      </w:tr>
      <w:tr w:rsidR="00306E6B" w:rsidRPr="0043443D" w14:paraId="6530D99D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16576F9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43443D">
              <w:rPr>
                <w:rFonts w:eastAsiaTheme="minorEastAsia" w:cs="宋体"/>
                <w:bCs/>
                <w:color w:val="000000"/>
                <w:lang w:val="en-US" w:eastAsia="zh-CN"/>
              </w:rPr>
              <w:t>100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字以内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C91FC16" w14:textId="7F10201D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eastAsia="zh-CN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1.</w:t>
            </w:r>
            <w:r w:rsidR="00B873BB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拜耳</w:t>
            </w:r>
          </w:p>
        </w:tc>
        <w:tc>
          <w:tcPr>
            <w:tcW w:w="6093" w:type="dxa"/>
            <w:vAlign w:val="center"/>
          </w:tcPr>
          <w:p w14:paraId="4D3C159E" w14:textId="73EC2CD4" w:rsidR="00380FF5" w:rsidRPr="0043443D" w:rsidRDefault="00380FF5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拜耳于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1979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年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5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月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15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日成立于新加坡，主要</w:t>
            </w:r>
            <w:r w:rsidR="00E0544C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业务为</w:t>
            </w:r>
            <w:r w:rsidR="00FB145E" w:rsidRPr="00773DFE">
              <w:rPr>
                <w:rFonts w:hint="eastAsia"/>
                <w:szCs w:val="21"/>
                <w:lang w:eastAsia="zh-CN"/>
              </w:rPr>
              <w:t>负责医疗保健与作物科学业务的区域总部管理</w:t>
            </w:r>
            <w:r w:rsidR="00FB145E">
              <w:rPr>
                <w:rFonts w:hint="eastAsia"/>
                <w:szCs w:val="21"/>
                <w:lang w:eastAsia="zh-CN"/>
              </w:rPr>
              <w:t>以及</w:t>
            </w:r>
            <w:r w:rsidR="00FB145E" w:rsidRPr="00773DFE">
              <w:rPr>
                <w:rFonts w:hint="eastAsia"/>
                <w:szCs w:val="21"/>
                <w:lang w:eastAsia="zh-CN"/>
              </w:rPr>
              <w:t>为亚太地区的关联公司提供特定的行政支持职能</w:t>
            </w:r>
            <w:r w:rsidR="007E4774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。</w:t>
            </w:r>
          </w:p>
          <w:p w14:paraId="4BFA8799" w14:textId="3032D0CC" w:rsidR="007E4774" w:rsidRPr="0043443D" w:rsidRDefault="007E4774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最终控制人为</w:t>
            </w:r>
            <w:r w:rsidRPr="0043443D">
              <w:rPr>
                <w:rFonts w:eastAsiaTheme="minorEastAsia"/>
                <w:lang w:eastAsia="zh-CN"/>
              </w:rPr>
              <w:t>Bayer</w:t>
            </w:r>
            <w:r w:rsidRPr="0043443D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43443D">
              <w:rPr>
                <w:rFonts w:eastAsiaTheme="minorEastAsia"/>
                <w:lang w:eastAsia="zh-CN"/>
              </w:rPr>
              <w:t>Aktiengesellschaft</w:t>
            </w:r>
            <w:r w:rsidRPr="0043443D">
              <w:rPr>
                <w:rFonts w:asciiTheme="minorEastAsia" w:eastAsiaTheme="minorEastAsia" w:hAnsiTheme="minorEastAsia" w:hint="eastAsia"/>
                <w:lang w:eastAsia="zh-CN"/>
              </w:rPr>
              <w:t>，主要业务</w:t>
            </w:r>
            <w:r w:rsidR="00FB145E">
              <w:rPr>
                <w:rFonts w:asciiTheme="minorEastAsia" w:eastAsiaTheme="minorEastAsia" w:hAnsiTheme="minorEastAsia" w:hint="eastAsia"/>
                <w:lang w:eastAsia="zh-CN"/>
              </w:rPr>
              <w:t>包括药品、消费者健康和</w:t>
            </w:r>
            <w:r w:rsidRPr="0043443D">
              <w:rPr>
                <w:rFonts w:asciiTheme="minorEastAsia" w:eastAsiaTheme="minorEastAsia" w:hAnsiTheme="minorEastAsia" w:hint="eastAsia"/>
                <w:lang w:eastAsia="zh-CN"/>
              </w:rPr>
              <w:t>作物科学</w:t>
            </w:r>
            <w:r w:rsidR="00FB145E">
              <w:rPr>
                <w:rFonts w:asciiTheme="minorEastAsia" w:eastAsiaTheme="minorEastAsia" w:hAnsiTheme="minorEastAsia" w:hint="eastAsia"/>
                <w:lang w:eastAsia="zh-CN"/>
              </w:rPr>
              <w:t>三类</w:t>
            </w:r>
            <w:r w:rsidRPr="0043443D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</w:tc>
      </w:tr>
      <w:tr w:rsidR="00306E6B" w:rsidRPr="0043443D" w14:paraId="5FC1A87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1E193E7E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027CB2D" w14:textId="31B9428A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eastAsia="zh-CN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2.</w:t>
            </w:r>
            <w:r w:rsidR="003F22FE" w:rsidRPr="00FA40A2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迪卡</w:t>
            </w:r>
            <w:r w:rsidR="00B873BB" w:rsidRPr="0043443D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国际</w:t>
            </w:r>
          </w:p>
        </w:tc>
        <w:tc>
          <w:tcPr>
            <w:tcW w:w="6093" w:type="dxa"/>
            <w:vAlign w:val="center"/>
          </w:tcPr>
          <w:p w14:paraId="26968D84" w14:textId="2B3A6EB8" w:rsidR="007E4774" w:rsidRPr="0043443D" w:rsidRDefault="003F22FE" w:rsidP="00CD0DD6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FA40A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迪卡</w:t>
            </w:r>
            <w:r w:rsidR="007E4774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国际于</w:t>
            </w:r>
            <w:r w:rsidR="00062A2E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2000</w:t>
            </w:r>
            <w:r w:rsidR="00062A2E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 w:rsidR="00062A2E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8</w:t>
            </w:r>
            <w:r w:rsidR="00062A2E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 w:rsidR="00062A2E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22</w:t>
            </w:r>
            <w:r w:rsidR="00062A2E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日成立于甘肃省张掖市，主要业务为杂交玉米种子的研发、生产和商业化。</w:t>
            </w:r>
          </w:p>
          <w:p w14:paraId="4273639F" w14:textId="034E5448" w:rsidR="00062A2E" w:rsidRPr="0043443D" w:rsidRDefault="00062A2E" w:rsidP="00CD0DD6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最终控制人为中国中化控股有限责任公司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（“</w:t>
            </w:r>
            <w:r w:rsidR="003B69C7" w:rsidRPr="004344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lang w:val="en-GB" w:bidi="ar-AE"/>
              </w:rPr>
              <w:t>中化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”）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和</w:t>
            </w:r>
            <w:r w:rsidR="003B69C7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Bayer</w:t>
            </w:r>
            <w:r w:rsidR="003B69C7" w:rsidRPr="0043443D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="003B69C7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Aktiengesellschaft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。中化主要业务</w:t>
            </w:r>
            <w:r w:rsidR="00FB145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包括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能源</w:t>
            </w:r>
            <w:r w:rsidR="00FB145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业务</w:t>
            </w:r>
            <w:r w:rsidR="003F55B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，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化工</w:t>
            </w:r>
            <w:r w:rsidR="00FB145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业务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，化肥、种子和农药的生产销售，地产</w:t>
            </w:r>
            <w:r w:rsidR="00FB145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业务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，</w:t>
            </w:r>
            <w:r w:rsidR="00CD0DD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和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金融业务。</w:t>
            </w:r>
            <w:r w:rsidR="003B69C7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Bayer</w:t>
            </w:r>
            <w:r w:rsidR="003B69C7" w:rsidRPr="0043443D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lang w:val="en-GB" w:bidi="ar-AE"/>
              </w:rPr>
              <w:t xml:space="preserve"> </w:t>
            </w:r>
            <w:r w:rsidR="003B69C7" w:rsidRPr="0043443D">
              <w:rPr>
                <w:rFonts w:eastAsiaTheme="minorEastAsia" w:cs="宋体"/>
                <w:bCs/>
                <w:color w:val="000000"/>
                <w:kern w:val="0"/>
                <w:sz w:val="24"/>
                <w:lang w:val="en-GB" w:bidi="ar-AE"/>
              </w:rPr>
              <w:t>Aktiengesellschaft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主要业务</w:t>
            </w:r>
            <w:r w:rsidR="003F55B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如上</w:t>
            </w:r>
            <w:r w:rsidR="00827D1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所述</w:t>
            </w:r>
            <w:r w:rsidR="003B69C7"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</w:tc>
      </w:tr>
      <w:tr w:rsidR="00306E6B" w:rsidRPr="0043443D" w14:paraId="0BFC0D28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369F2E5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297FE1B" w14:textId="31437CBB" w:rsidR="00306E6B" w:rsidRPr="0043443D" w:rsidRDefault="003B69C7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sym w:font="Wingdings" w:char="00A8"/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1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15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%。</w:t>
            </w:r>
          </w:p>
        </w:tc>
      </w:tr>
      <w:tr w:rsidR="00306E6B" w:rsidRPr="0043443D" w14:paraId="17B2435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F91659C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7F406B5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bookmarkStart w:id="0" w:name="OLE_LINK1"/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sym w:font="Wingdings" w:char="00FE"/>
            </w:r>
            <w:bookmarkEnd w:id="0"/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2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25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%。</w:t>
            </w:r>
          </w:p>
        </w:tc>
      </w:tr>
      <w:tr w:rsidR="00306E6B" w:rsidRPr="0043443D" w14:paraId="022AAC9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CCD540B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C1DE6C3" w14:textId="7BB6405D" w:rsidR="00306E6B" w:rsidRPr="0043443D" w:rsidRDefault="003F22FE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sym w:font="Wingdings" w:char="00FE"/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3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25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%。</w:t>
            </w:r>
          </w:p>
        </w:tc>
      </w:tr>
      <w:tr w:rsidR="00306E6B" w:rsidRPr="0043443D" w14:paraId="525A363E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3A2C1052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7AF01C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sym w:font="Wingdings" w:char="00A8"/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4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306E6B" w:rsidRPr="0043443D" w14:paraId="0D57A00D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69DFBAB8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0B08A6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sym w:font="Wingdings" w:char="00A8"/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5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306E6B" w:rsidRPr="0043443D" w14:paraId="13B688B9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5A3BABB" w14:textId="77777777" w:rsidR="00306E6B" w:rsidRPr="0043443D" w:rsidRDefault="00306E6B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53F97FD" w14:textId="0514F106" w:rsidR="00306E6B" w:rsidRPr="0043443D" w:rsidRDefault="003B69C7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sym w:font="Wingdings" w:char="00FE"/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 xml:space="preserve"> </w:t>
            </w:r>
            <w:r w:rsidRPr="0043443D">
              <w:rPr>
                <w:rFonts w:eastAsiaTheme="minorEastAsia" w:cs="宋体" w:hint="eastAsia"/>
                <w:bCs/>
                <w:color w:val="000000"/>
                <w:lang w:eastAsia="zh-CN"/>
              </w:rPr>
              <w:t>6</w:t>
            </w:r>
            <w:r w:rsidRPr="0043443D">
              <w:rPr>
                <w:rFonts w:eastAsiaTheme="minorEastAsia" w:cs="宋体" w:hint="eastAsia"/>
                <w:bCs/>
                <w:color w:val="000000"/>
                <w:lang w:val="en-US" w:eastAsia="zh-CN"/>
              </w:rPr>
              <w:t>.</w:t>
            </w: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306E6B" w:rsidRPr="0043443D" w14:paraId="198361BF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5CA7E371" w14:textId="77777777" w:rsidR="00306E6B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1BC6FAD" w14:textId="0E0EF18E" w:rsidR="00564285" w:rsidRPr="0043443D" w:rsidRDefault="00000000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/>
                <w:color w:val="000000"/>
                <w:lang w:eastAsia="zh-CN"/>
              </w:rPr>
            </w:pPr>
            <w:r w:rsidRPr="0043443D">
              <w:rPr>
                <w:rFonts w:asciiTheme="minorEastAsia" w:eastAsiaTheme="minorEastAsia" w:hAnsiTheme="minorEastAsia" w:cs="宋体" w:hint="eastAsia"/>
                <w:b/>
                <w:color w:val="000000"/>
                <w:lang w:eastAsia="zh-CN"/>
              </w:rPr>
              <w:t>纵向关联：</w:t>
            </w:r>
          </w:p>
          <w:tbl>
            <w:tblPr>
              <w:tblStyle w:val="a4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823"/>
              <w:gridCol w:w="3260"/>
            </w:tblGrid>
            <w:tr w:rsidR="00564285" w:rsidRPr="0043443D" w14:paraId="61D79C93" w14:textId="77777777" w:rsidTr="00311A74">
              <w:tc>
                <w:tcPr>
                  <w:tcW w:w="2371" w:type="dxa"/>
                </w:tcPr>
                <w:p w14:paraId="13522991" w14:textId="77777777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相关商品市场</w:t>
                  </w:r>
                </w:p>
              </w:tc>
              <w:tc>
                <w:tcPr>
                  <w:tcW w:w="1823" w:type="dxa"/>
                </w:tcPr>
                <w:p w14:paraId="5211632F" w14:textId="77777777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相关地域市场</w:t>
                  </w:r>
                </w:p>
              </w:tc>
              <w:tc>
                <w:tcPr>
                  <w:tcW w:w="3260" w:type="dxa"/>
                </w:tcPr>
                <w:p w14:paraId="0016F52B" w14:textId="39E5C098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eastAsia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2024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年市场份额</w:t>
                  </w:r>
                </w:p>
              </w:tc>
            </w:tr>
            <w:tr w:rsidR="00564285" w:rsidRPr="0043443D" w14:paraId="521BC380" w14:textId="77777777" w:rsidTr="00311A74">
              <w:tc>
                <w:tcPr>
                  <w:tcW w:w="2371" w:type="dxa"/>
                </w:tcPr>
                <w:p w14:paraId="201B4578" w14:textId="7ACA4231" w:rsidR="00311A74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上游：玉米种子杀菌包衣剂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  <w:p w14:paraId="302C7793" w14:textId="7EA7D942" w:rsidR="00564285" w:rsidRPr="0043443D" w:rsidRDefault="00564285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下游：杂交玉米种子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43C1F929" w14:textId="7F711480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</w:p>
              </w:tc>
              <w:tc>
                <w:tcPr>
                  <w:tcW w:w="1823" w:type="dxa"/>
                </w:tcPr>
                <w:p w14:paraId="375802F0" w14:textId="55A602EB" w:rsidR="00311A74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上游：中国境内</w:t>
                  </w:r>
                </w:p>
                <w:p w14:paraId="6F505AA9" w14:textId="73D11679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下游：中国境内</w:t>
                  </w:r>
                </w:p>
              </w:tc>
              <w:tc>
                <w:tcPr>
                  <w:tcW w:w="3260" w:type="dxa"/>
                </w:tcPr>
                <w:p w14:paraId="2F2D27F3" w14:textId="6CD2A718" w:rsidR="005515CB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上游：中国境内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玉米种子杀菌包衣剂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  <w:p w14:paraId="33B0F152" w14:textId="19D0207B" w:rsidR="005515CB" w:rsidRPr="0043443D" w:rsidRDefault="005515CB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拜耳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（不含</w:t>
                  </w:r>
                  <w:r w:rsidR="003F22FE" w:rsidRPr="00FA40A2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迪卡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国际）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：</w:t>
                  </w:r>
                  <w:r w:rsidRPr="0043443D">
                    <w:rPr>
                      <w:rFonts w:eastAsiaTheme="minorEastAsia" w:cs="宋体" w:hint="eastAsia"/>
                      <w:bCs/>
                      <w:color w:val="000000"/>
                      <w:lang w:val="en-US" w:eastAsia="zh-CN"/>
                    </w:rPr>
                    <w:t>15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-</w:t>
                  </w:r>
                  <w:r w:rsidRPr="0043443D">
                    <w:rPr>
                      <w:rFonts w:eastAsiaTheme="minorEastAsia" w:cs="宋体" w:hint="eastAsia"/>
                      <w:bCs/>
                      <w:color w:val="000000"/>
                      <w:lang w:val="en-US" w:eastAsia="zh-CN"/>
                    </w:rPr>
                    <w:t>20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  <w:p w14:paraId="124DD13F" w14:textId="15C14CEE" w:rsidR="005515CB" w:rsidRPr="0043443D" w:rsidRDefault="00564285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下游：中国境内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杂交玉米种子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372E1C1B" w14:textId="61FBF563" w:rsidR="00564285" w:rsidRPr="0043443D" w:rsidRDefault="00EB6BF0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lastRenderedPageBreak/>
                    <w:t>迪卡</w:t>
                  </w:r>
                  <w:r w:rsidR="005515CB" w:rsidRPr="0043443D"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  <w:t>国际：</w:t>
                  </w:r>
                  <w:r w:rsidR="005515CB" w:rsidRPr="0043443D">
                    <w:rPr>
                      <w:rFonts w:eastAsiaTheme="minorEastAsia" w:cs="宋体"/>
                      <w:bCs/>
                      <w:color w:val="000000"/>
                      <w:lang w:val="en-US" w:eastAsia="zh-CN"/>
                    </w:rPr>
                    <w:t>0</w:t>
                  </w:r>
                  <w:r w:rsidR="005515CB" w:rsidRPr="0043443D"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  <w:t>-</w:t>
                  </w:r>
                  <w:r w:rsidR="005515CB" w:rsidRPr="0043443D">
                    <w:rPr>
                      <w:rFonts w:eastAsiaTheme="minorEastAsia" w:cs="宋体"/>
                      <w:bCs/>
                      <w:color w:val="000000"/>
                      <w:lang w:val="en-US" w:eastAsia="zh-CN"/>
                    </w:rPr>
                    <w:t>5</w:t>
                  </w:r>
                  <w:r w:rsidR="005515CB" w:rsidRPr="0043443D"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564285" w:rsidRPr="0043443D" w14:paraId="1AAD4FA1" w14:textId="77777777" w:rsidTr="00311A74">
              <w:tc>
                <w:tcPr>
                  <w:tcW w:w="2371" w:type="dxa"/>
                </w:tcPr>
                <w:p w14:paraId="64C3D2BA" w14:textId="75D96D84" w:rsidR="00311A74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lastRenderedPageBreak/>
                    <w:t>上游：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玉米种子杀虫包衣剂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  <w:p w14:paraId="0B206390" w14:textId="31856015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下游：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杂交玉米种子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</w:tc>
              <w:tc>
                <w:tcPr>
                  <w:tcW w:w="1823" w:type="dxa"/>
                </w:tcPr>
                <w:p w14:paraId="2618A094" w14:textId="2044C516" w:rsidR="00311A74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上游：中国境内</w:t>
                  </w:r>
                </w:p>
                <w:p w14:paraId="0FB63CAC" w14:textId="46758914" w:rsidR="00564285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下游：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中国境内</w:t>
                  </w:r>
                </w:p>
              </w:tc>
              <w:tc>
                <w:tcPr>
                  <w:tcW w:w="3260" w:type="dxa"/>
                </w:tcPr>
                <w:p w14:paraId="2099CC1E" w14:textId="3342B40F" w:rsidR="005515CB" w:rsidRPr="0043443D" w:rsidRDefault="00564285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上游：中国境内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玉米种子杀虫包衣剂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4AD13979" w14:textId="607AC95A" w:rsidR="005515CB" w:rsidRPr="0043443D" w:rsidRDefault="005515CB" w:rsidP="00E0544C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拜耳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（不含</w:t>
                  </w:r>
                  <w:r w:rsidR="003F22FE" w:rsidRPr="00FA40A2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迪卡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国际）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：</w:t>
                  </w:r>
                  <w:r w:rsidRPr="0043443D">
                    <w:rPr>
                      <w:rFonts w:eastAsiaTheme="minorEastAsia" w:cs="宋体" w:hint="eastAsia"/>
                      <w:bCs/>
                      <w:color w:val="000000"/>
                      <w:lang w:val="en-US" w:eastAsia="zh-CN"/>
                    </w:rPr>
                    <w:t>20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-</w:t>
                  </w:r>
                  <w:r w:rsidRPr="0043443D">
                    <w:rPr>
                      <w:rFonts w:eastAsiaTheme="minorEastAsia" w:cs="宋体" w:hint="eastAsia"/>
                      <w:bCs/>
                      <w:color w:val="000000"/>
                      <w:lang w:val="en-US" w:eastAsia="zh-CN"/>
                    </w:rPr>
                    <w:t>25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  <w:p w14:paraId="1065CAE6" w14:textId="77777777" w:rsidR="005515CB" w:rsidRPr="0043443D" w:rsidRDefault="00564285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下游：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中国境内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杂交玉米种子</w:t>
                  </w:r>
                  <w:r w:rsidR="005515CB"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  <w:p w14:paraId="703586EF" w14:textId="7C9660DB" w:rsidR="00564285" w:rsidRPr="0043443D" w:rsidRDefault="005515CB" w:rsidP="00E0544C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如上所述</w:t>
                  </w:r>
                </w:p>
              </w:tc>
            </w:tr>
          </w:tbl>
          <w:p w14:paraId="24907EEA" w14:textId="77777777" w:rsidR="00706C9C" w:rsidRDefault="00706C9C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  <w:p w14:paraId="1A503618" w14:textId="7FD2514F" w:rsidR="0065479F" w:rsidRPr="0043443D" w:rsidRDefault="0065479F" w:rsidP="0065479F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/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lang w:eastAsia="zh-CN"/>
              </w:rPr>
              <w:t>相邻关系</w:t>
            </w:r>
            <w:r w:rsidRPr="0043443D">
              <w:rPr>
                <w:rFonts w:asciiTheme="minorEastAsia" w:eastAsiaTheme="minorEastAsia" w:hAnsiTheme="minorEastAsia" w:cs="宋体" w:hint="eastAsia"/>
                <w:b/>
                <w:color w:val="000000"/>
                <w:lang w:eastAsia="zh-CN"/>
              </w:rPr>
              <w:t>：</w:t>
            </w:r>
          </w:p>
          <w:tbl>
            <w:tblPr>
              <w:tblStyle w:val="a4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823"/>
              <w:gridCol w:w="3260"/>
            </w:tblGrid>
            <w:tr w:rsidR="0065479F" w:rsidRPr="0043443D" w14:paraId="5AE9975A" w14:textId="77777777" w:rsidTr="00502DA0">
              <w:tc>
                <w:tcPr>
                  <w:tcW w:w="2371" w:type="dxa"/>
                </w:tcPr>
                <w:p w14:paraId="1237FF2D" w14:textId="77777777" w:rsidR="0065479F" w:rsidRPr="0043443D" w:rsidRDefault="0065479F" w:rsidP="0065479F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相关商品市场</w:t>
                  </w:r>
                </w:p>
              </w:tc>
              <w:tc>
                <w:tcPr>
                  <w:tcW w:w="1823" w:type="dxa"/>
                </w:tcPr>
                <w:p w14:paraId="09452DA1" w14:textId="77777777" w:rsidR="0065479F" w:rsidRPr="0043443D" w:rsidRDefault="0065479F" w:rsidP="0065479F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相关地域市场</w:t>
                  </w:r>
                </w:p>
              </w:tc>
              <w:tc>
                <w:tcPr>
                  <w:tcW w:w="3260" w:type="dxa"/>
                </w:tcPr>
                <w:p w14:paraId="3DF42985" w14:textId="77777777" w:rsidR="0065479F" w:rsidRPr="0043443D" w:rsidRDefault="0065479F" w:rsidP="0065479F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eastAsia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2024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年市场份额</w:t>
                  </w:r>
                </w:p>
              </w:tc>
            </w:tr>
            <w:tr w:rsidR="0065479F" w:rsidRPr="0043443D" w14:paraId="4E3A1B74" w14:textId="77777777" w:rsidTr="00502DA0">
              <w:tc>
                <w:tcPr>
                  <w:tcW w:w="2371" w:type="dxa"/>
                </w:tcPr>
                <w:p w14:paraId="7BCD1B4A" w14:textId="77777777" w:rsidR="006236EE" w:rsidRDefault="0065479F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杂交玉米种子市场</w:t>
                  </w:r>
                </w:p>
                <w:p w14:paraId="043DB261" w14:textId="61BBC6F9" w:rsidR="0065479F" w:rsidRPr="0065479F" w:rsidRDefault="0065479F" w:rsidP="0073016A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非选择性除草剂市场</w:t>
                  </w:r>
                </w:p>
              </w:tc>
              <w:tc>
                <w:tcPr>
                  <w:tcW w:w="1823" w:type="dxa"/>
                </w:tcPr>
                <w:p w14:paraId="2FCC9543" w14:textId="42737774" w:rsidR="0065479F" w:rsidRPr="0043443D" w:rsidRDefault="0065479F" w:rsidP="0065479F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中国境内</w:t>
                  </w:r>
                </w:p>
              </w:tc>
              <w:tc>
                <w:tcPr>
                  <w:tcW w:w="3260" w:type="dxa"/>
                </w:tcPr>
                <w:p w14:paraId="076E665B" w14:textId="77777777" w:rsidR="0065479F" w:rsidRPr="0043443D" w:rsidRDefault="0065479F" w:rsidP="0065479F">
                  <w:pPr>
                    <w:widowControl/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中国境内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sz w:val="24"/>
                    </w:rPr>
                    <w:t>杂交玉米种子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市场</w:t>
                  </w:r>
                </w:p>
                <w:p w14:paraId="27AF7AB1" w14:textId="77777777" w:rsidR="0065479F" w:rsidRDefault="0065479F" w:rsidP="0065479F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如上所述</w:t>
                  </w:r>
                </w:p>
                <w:p w14:paraId="1E69336A" w14:textId="1D1AD3C2" w:rsidR="0065479F" w:rsidRPr="0043443D" w:rsidRDefault="0065479F" w:rsidP="0065479F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  <w:r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非选择性除草剂市场</w:t>
                  </w:r>
                </w:p>
                <w:p w14:paraId="44E632DD" w14:textId="618B6426" w:rsidR="0065479F" w:rsidRPr="0073016A" w:rsidRDefault="0065479F" w:rsidP="0065479F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Theme="minorEastAsia" w:eastAsiaTheme="minorEastAsia" w:hAnsiTheme="minorEastAsia" w:cs="宋体"/>
                      <w:bCs/>
                      <w:color w:val="000000"/>
                      <w:lang w:val="en-US" w:eastAsia="zh-CN"/>
                    </w:rPr>
                  </w:pP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拜耳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（不含</w:t>
                  </w:r>
                  <w:r w:rsidR="003F22FE" w:rsidRPr="00FA40A2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eastAsia="zh-CN"/>
                    </w:rPr>
                    <w:t>迪卡</w:t>
                  </w:r>
                  <w:r w:rsidR="00B873B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国际）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：</w:t>
                  </w:r>
                  <w:r w:rsidR="00FB08AB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0-</w:t>
                  </w:r>
                  <w:r>
                    <w:rPr>
                      <w:rFonts w:eastAsiaTheme="minorEastAsia"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 w:rsidRPr="0043443D">
                    <w:rPr>
                      <w:rFonts w:asciiTheme="minorEastAsia" w:eastAsiaTheme="minorEastAsia" w:hAnsiTheme="minorEastAsia"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</w:tbl>
          <w:p w14:paraId="38791E12" w14:textId="60F3DAD6" w:rsidR="0065479F" w:rsidRPr="0043443D" w:rsidRDefault="0065479F" w:rsidP="00E0544C">
            <w:pPr>
              <w:pStyle w:val="a3"/>
              <w:adjustRightInd w:val="0"/>
              <w:snapToGrid w:val="0"/>
              <w:spacing w:after="0"/>
              <w:rPr>
                <w:rFonts w:asciiTheme="minorEastAsia" w:eastAsiaTheme="minorEastAsia" w:hAnsiTheme="minorEastAsia" w:cs="宋体"/>
                <w:bCs/>
                <w:color w:val="000000"/>
                <w:lang w:val="en-US" w:eastAsia="zh-CN"/>
              </w:rPr>
            </w:pPr>
          </w:p>
        </w:tc>
      </w:tr>
    </w:tbl>
    <w:p w14:paraId="70DE63B3" w14:textId="77777777" w:rsidR="00306E6B" w:rsidRPr="00E0544C" w:rsidRDefault="00306E6B"/>
    <w:sectPr w:rsidR="00306E6B" w:rsidRPr="00E0544C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7D4" w14:textId="77777777" w:rsidR="00CA725C" w:rsidRDefault="00CA725C" w:rsidP="000E468D">
      <w:r>
        <w:separator/>
      </w:r>
    </w:p>
  </w:endnote>
  <w:endnote w:type="continuationSeparator" w:id="0">
    <w:p w14:paraId="0DF850A9" w14:textId="77777777" w:rsidR="00CA725C" w:rsidRDefault="00CA725C" w:rsidP="000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汉仪中黑KW"/>
    <w:panose1 w:val="020B0604020202020204"/>
    <w:charset w:val="00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汉仪楷体简"/>
    <w:panose1 w:val="020B0604020202020204"/>
    <w:charset w:val="00"/>
    <w:family w:val="auto"/>
    <w:pitch w:val="default"/>
    <w:sig w:usb0="800002BF" w:usb1="184F6CF8" w:usb2="00000012" w:usb3="00000000" w:csb0="0004000F" w:csb1="00000000"/>
  </w:font>
  <w:font w:name="方正楷体_GBK">
    <w:altName w:val="汉仪楷体简"/>
    <w:panose1 w:val="020B0604020202020204"/>
    <w:charset w:val="00"/>
    <w:family w:val="auto"/>
    <w:pitch w:val="default"/>
    <w:sig w:usb0="00000001" w:usb1="08000000" w:usb2="0000000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3EAE" w14:textId="77777777" w:rsidR="00CA725C" w:rsidRDefault="00CA725C" w:rsidP="000E468D">
      <w:r>
        <w:separator/>
      </w:r>
    </w:p>
  </w:footnote>
  <w:footnote w:type="continuationSeparator" w:id="0">
    <w:p w14:paraId="32DDFB3F" w14:textId="77777777" w:rsidR="00CA725C" w:rsidRDefault="00CA725C" w:rsidP="000E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6FBDD792"/>
    <w:rsid w:val="0003659B"/>
    <w:rsid w:val="0005429C"/>
    <w:rsid w:val="00062A2E"/>
    <w:rsid w:val="000E468D"/>
    <w:rsid w:val="000E73DD"/>
    <w:rsid w:val="00122375"/>
    <w:rsid w:val="00142C06"/>
    <w:rsid w:val="00144113"/>
    <w:rsid w:val="001803DB"/>
    <w:rsid w:val="001976B2"/>
    <w:rsid w:val="001D01B6"/>
    <w:rsid w:val="001D797C"/>
    <w:rsid w:val="00283746"/>
    <w:rsid w:val="002A64F8"/>
    <w:rsid w:val="002C66B6"/>
    <w:rsid w:val="00301077"/>
    <w:rsid w:val="00306E6B"/>
    <w:rsid w:val="00311A74"/>
    <w:rsid w:val="00357E30"/>
    <w:rsid w:val="00380FF5"/>
    <w:rsid w:val="003B69C7"/>
    <w:rsid w:val="003F22FE"/>
    <w:rsid w:val="003F55BF"/>
    <w:rsid w:val="0043443D"/>
    <w:rsid w:val="00492EAC"/>
    <w:rsid w:val="005515CB"/>
    <w:rsid w:val="00564285"/>
    <w:rsid w:val="005B037B"/>
    <w:rsid w:val="006236EE"/>
    <w:rsid w:val="0065479F"/>
    <w:rsid w:val="00706C9C"/>
    <w:rsid w:val="00727995"/>
    <w:rsid w:val="0073016A"/>
    <w:rsid w:val="00755653"/>
    <w:rsid w:val="007E4774"/>
    <w:rsid w:val="0081223A"/>
    <w:rsid w:val="00827D17"/>
    <w:rsid w:val="008667EB"/>
    <w:rsid w:val="00AA1F1A"/>
    <w:rsid w:val="00AA6C5E"/>
    <w:rsid w:val="00B14C6A"/>
    <w:rsid w:val="00B655E4"/>
    <w:rsid w:val="00B873BB"/>
    <w:rsid w:val="00C16967"/>
    <w:rsid w:val="00C27B8F"/>
    <w:rsid w:val="00C3450E"/>
    <w:rsid w:val="00CA725C"/>
    <w:rsid w:val="00CD0DD6"/>
    <w:rsid w:val="00CF09BF"/>
    <w:rsid w:val="00D2049A"/>
    <w:rsid w:val="00D5350D"/>
    <w:rsid w:val="00D663BC"/>
    <w:rsid w:val="00D72BA0"/>
    <w:rsid w:val="00DB1C18"/>
    <w:rsid w:val="00DB2641"/>
    <w:rsid w:val="00DD4239"/>
    <w:rsid w:val="00DF2E71"/>
    <w:rsid w:val="00E0544C"/>
    <w:rsid w:val="00E43D71"/>
    <w:rsid w:val="00E540A7"/>
    <w:rsid w:val="00EB6BF0"/>
    <w:rsid w:val="00ED46D8"/>
    <w:rsid w:val="00EE4B62"/>
    <w:rsid w:val="00F004FC"/>
    <w:rsid w:val="00F975B0"/>
    <w:rsid w:val="00FA40A2"/>
    <w:rsid w:val="00FB08AB"/>
    <w:rsid w:val="00FB145E"/>
    <w:rsid w:val="00FC5525"/>
    <w:rsid w:val="00FC6CDB"/>
    <w:rsid w:val="04C66C1A"/>
    <w:rsid w:val="1D6F6EFE"/>
    <w:rsid w:val="1F7C72D8"/>
    <w:rsid w:val="2D246E2C"/>
    <w:rsid w:val="33A9646D"/>
    <w:rsid w:val="3EFED501"/>
    <w:rsid w:val="3F7F152F"/>
    <w:rsid w:val="3FFB76BA"/>
    <w:rsid w:val="46DFCD99"/>
    <w:rsid w:val="49659447"/>
    <w:rsid w:val="511432B7"/>
    <w:rsid w:val="5596691C"/>
    <w:rsid w:val="59FAB6B4"/>
    <w:rsid w:val="5C6AC506"/>
    <w:rsid w:val="5DBB2A74"/>
    <w:rsid w:val="5F09CE98"/>
    <w:rsid w:val="6AFC31C5"/>
    <w:rsid w:val="6B8148C3"/>
    <w:rsid w:val="6E9FB973"/>
    <w:rsid w:val="6FBDD792"/>
    <w:rsid w:val="74D42207"/>
    <w:rsid w:val="76D76867"/>
    <w:rsid w:val="76FE3A0F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1DF0267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C55E2"/>
  <w15:docId w15:val="{3D313A51-0674-CE4E-A57D-663FBFF4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after="240"/>
      <w:jc w:val="both"/>
    </w:pPr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customStyle="1" w:styleId="a5">
    <w:name w:val="标题五"/>
    <w:basedOn w:val="5"/>
    <w:next w:val="a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a6">
    <w:name w:val="Revision"/>
    <w:hidden/>
    <w:uiPriority w:val="99"/>
    <w:unhideWhenUsed/>
    <w:rsid w:val="00492EAC"/>
    <w:rPr>
      <w:rFonts w:ascii="Times New Roman" w:eastAsia="宋体" w:hAnsi="Times New Roman"/>
      <w:kern w:val="2"/>
      <w:sz w:val="21"/>
      <w:szCs w:val="24"/>
    </w:rPr>
  </w:style>
  <w:style w:type="paragraph" w:styleId="a7">
    <w:name w:val="header"/>
    <w:basedOn w:val="a"/>
    <w:link w:val="a8"/>
    <w:rsid w:val="000E4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E468D"/>
    <w:rPr>
      <w:rFonts w:ascii="Times New Roman" w:eastAsia="宋体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0E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E468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oa</dc:creator>
  <cp:lastModifiedBy>JTGC</cp:lastModifiedBy>
  <cp:revision>4</cp:revision>
  <dcterms:created xsi:type="dcterms:W3CDTF">2026-01-06T09:46:00Z</dcterms:created>
  <dcterms:modified xsi:type="dcterms:W3CDTF">2026-01-06T09:55:00Z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4F379E492D49F7A174EBFA689AA63FAE_43</vt:lpwstr>
  </property>
</Properties>
</file>