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szCs w:val="36"/>
        </w:rPr>
      </w:pPr>
      <w:bookmarkStart w:id="0" w:name="_Toc185867924"/>
      <w:r>
        <w:rPr>
          <w:rFonts w:ascii="黑体" w:hAnsi="黑体" w:eastAsia="黑体"/>
          <w:sz w:val="36"/>
          <w:szCs w:val="36"/>
        </w:rPr>
        <w:t>经营者集中简易案件公示表</w:t>
      </w:r>
      <w:bookmarkEnd w:id="0"/>
    </w:p>
    <w:tbl>
      <w:tblPr>
        <w:tblStyle w:val="44"/>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796"/>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shd w:val="clear" w:color="auto" w:fill="D9D9D9"/>
          </w:tcPr>
          <w:p>
            <w:pPr>
              <w:spacing w:after="0" w:line="240" w:lineRule="auto"/>
              <w:jc w:val="both"/>
              <w:rPr>
                <w:rFonts w:hint="eastAsia" w:ascii="宋体" w:hAnsi="宋体" w:eastAsia="宋体" w:cs="Times New Roman"/>
                <w:kern w:val="0"/>
                <w:sz w:val="24"/>
                <w:szCs w:val="22"/>
                <w14:ligatures w14:val="none"/>
              </w:rPr>
            </w:pPr>
            <w:r>
              <w:rPr>
                <w:rFonts w:ascii="宋体" w:hAnsi="宋体" w:eastAsia="宋体" w:cs="Times New Roman"/>
                <w:kern w:val="0"/>
                <w:sz w:val="24"/>
                <w:szCs w:val="22"/>
                <w14:ligatures w14:val="none"/>
              </w:rPr>
              <w:t>案件名称</w:t>
            </w:r>
          </w:p>
        </w:tc>
        <w:tc>
          <w:tcPr>
            <w:tcW w:w="6949" w:type="dxa"/>
            <w:gridSpan w:val="2"/>
          </w:tcPr>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宋体" w:hAnsi="宋体" w:eastAsia="宋体" w:cs="Times New Roman"/>
                <w:kern w:val="0"/>
                <w:sz w:val="24"/>
                <w:szCs w:val="24"/>
                <w14:ligatures w14:val="none"/>
              </w:rPr>
            </w:pPr>
            <w:r>
              <w:rPr>
                <w:rFonts w:hint="eastAsia" w:ascii="Calibri" w:hAnsi="Calibri" w:eastAsia="宋体"/>
                <w:kern w:val="0"/>
                <w:sz w:val="24"/>
                <w:szCs w:val="24"/>
                <w14:ligatures w14:val="none"/>
              </w:rPr>
              <w:t>江苏招银产业基金管理有限公司收购五河聚合风力发电有限公司等三家公司股权案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809" w:type="dxa"/>
            <w:shd w:val="clear" w:color="auto" w:fill="D9D9D9"/>
          </w:tcPr>
          <w:p>
            <w:pPr>
              <w:spacing w:after="0" w:line="240" w:lineRule="auto"/>
              <w:jc w:val="both"/>
              <w:rPr>
                <w:rFonts w:hint="eastAsia" w:ascii="宋体" w:hAnsi="宋体" w:eastAsia="宋体" w:cs="Times New Roman"/>
                <w:kern w:val="0"/>
                <w:sz w:val="24"/>
                <w:szCs w:val="22"/>
                <w14:ligatures w14:val="none"/>
              </w:rPr>
            </w:pPr>
            <w:r>
              <w:rPr>
                <w:rFonts w:ascii="宋体" w:hAnsi="宋体" w:eastAsia="宋体" w:cs="Times New Roman"/>
                <w:kern w:val="0"/>
                <w:sz w:val="24"/>
                <w:szCs w:val="22"/>
                <w14:ligatures w14:val="none"/>
              </w:rPr>
              <w:t>交易概况（限200字内）</w:t>
            </w:r>
          </w:p>
        </w:tc>
        <w:tc>
          <w:tcPr>
            <w:tcW w:w="6949" w:type="dxa"/>
            <w:gridSpan w:val="2"/>
          </w:tcPr>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宋体" w:hAnsi="宋体" w:eastAsia="宋体" w:cs="Times New Roman"/>
                <w:kern w:val="0"/>
                <w:sz w:val="24"/>
                <w:szCs w:val="22"/>
                <w14:ligatures w14:val="none"/>
              </w:rPr>
            </w:pPr>
            <w:r>
              <w:rPr>
                <w:rFonts w:hint="eastAsia" w:ascii="宋体" w:hAnsi="宋体" w:eastAsia="宋体" w:cs="Times New Roman"/>
                <w:kern w:val="0"/>
                <w:sz w:val="24"/>
                <w:szCs w:val="22"/>
                <w14:ligatures w14:val="none"/>
              </w:rPr>
              <w:t>本次交易涉及江苏招银产业基金管理有限公司（“</w:t>
            </w:r>
            <w:r>
              <w:rPr>
                <w:rFonts w:hint="eastAsia" w:ascii="宋体" w:hAnsi="宋体" w:eastAsia="宋体" w:cs="Times New Roman"/>
                <w:b/>
                <w:bCs/>
                <w:kern w:val="0"/>
                <w:sz w:val="24"/>
                <w:szCs w:val="22"/>
                <w14:ligatures w14:val="none"/>
              </w:rPr>
              <w:t>江苏招银</w:t>
            </w:r>
            <w:r>
              <w:rPr>
                <w:rFonts w:hint="eastAsia" w:ascii="宋体" w:hAnsi="宋体" w:eastAsia="宋体" w:cs="Times New Roman"/>
                <w:kern w:val="0"/>
                <w:sz w:val="24"/>
                <w:szCs w:val="22"/>
                <w14:ligatures w14:val="none"/>
              </w:rPr>
              <w:t>”）拟通过其单独控制的关联实体招盈能合（嘉兴）股权投资合伙企业（有限合伙）收购协合新能源集团有限公司（“</w:t>
            </w:r>
            <w:r>
              <w:rPr>
                <w:rFonts w:hint="eastAsia" w:ascii="宋体" w:hAnsi="宋体" w:eastAsia="宋体" w:cs="Times New Roman"/>
                <w:b/>
                <w:bCs/>
                <w:kern w:val="0"/>
                <w:sz w:val="24"/>
                <w:szCs w:val="22"/>
                <w14:ligatures w14:val="none"/>
              </w:rPr>
              <w:t>协合新能源</w:t>
            </w:r>
            <w:r>
              <w:rPr>
                <w:rFonts w:hint="eastAsia" w:ascii="宋体" w:hAnsi="宋体" w:eastAsia="宋体" w:cs="Times New Roman"/>
                <w:kern w:val="0"/>
                <w:sz w:val="24"/>
                <w:szCs w:val="22"/>
                <w14:ligatures w14:val="none"/>
              </w:rPr>
              <w:t>”）持有的五河聚合</w:t>
            </w:r>
            <w:bookmarkStart w:id="2" w:name="_GoBack"/>
            <w:bookmarkEnd w:id="2"/>
            <w:r>
              <w:rPr>
                <w:rFonts w:hint="eastAsia" w:ascii="宋体" w:hAnsi="宋体" w:eastAsia="宋体" w:cs="Times New Roman"/>
                <w:kern w:val="0"/>
                <w:sz w:val="24"/>
                <w:szCs w:val="22"/>
                <w14:ligatures w14:val="none"/>
              </w:rPr>
              <w:t>风力发电有限公司等三家公司（“</w:t>
            </w:r>
            <w:r>
              <w:rPr>
                <w:rFonts w:hint="eastAsia" w:ascii="宋体" w:hAnsi="宋体" w:eastAsia="宋体" w:cs="Times New Roman"/>
                <w:b/>
                <w:bCs/>
                <w:kern w:val="0"/>
                <w:sz w:val="24"/>
                <w:szCs w:val="22"/>
                <w14:ligatures w14:val="none"/>
              </w:rPr>
              <w:t>目标公司</w:t>
            </w:r>
            <w:r>
              <w:rPr>
                <w:rFonts w:hint="eastAsia" w:ascii="宋体" w:hAnsi="宋体" w:eastAsia="宋体" w:cs="Times New Roman"/>
                <w:kern w:val="0"/>
                <w:sz w:val="24"/>
                <w:szCs w:val="22"/>
                <w14:ligatures w14:val="none"/>
              </w:rPr>
              <w:t>”）</w:t>
            </w:r>
            <w:r>
              <w:rPr>
                <w:rFonts w:ascii="Times New Roman" w:hAnsi="Times New Roman" w:eastAsia="宋体" w:cs="Times New Roman"/>
                <w:kern w:val="0"/>
                <w:sz w:val="24"/>
                <w:szCs w:val="22"/>
                <w14:ligatures w14:val="none"/>
              </w:rPr>
              <w:t>100%</w:t>
            </w:r>
            <w:r>
              <w:rPr>
                <w:rFonts w:hint="eastAsia" w:ascii="宋体" w:hAnsi="宋体" w:eastAsia="宋体" w:cs="Times New Roman"/>
                <w:kern w:val="0"/>
                <w:sz w:val="24"/>
                <w:szCs w:val="22"/>
                <w14:ligatures w14:val="none"/>
              </w:rPr>
              <w:t>的股权。本次交易前，协合新能源持有目标公司</w:t>
            </w:r>
            <w:r>
              <w:rPr>
                <w:rFonts w:ascii="Times New Roman" w:hAnsi="Times New Roman" w:eastAsia="宋体" w:cs="Times New Roman"/>
                <w:kern w:val="0"/>
                <w:sz w:val="24"/>
                <w:szCs w:val="22"/>
                <w14:ligatures w14:val="none"/>
              </w:rPr>
              <w:t>100%</w:t>
            </w:r>
            <w:r>
              <w:rPr>
                <w:rFonts w:hint="eastAsia" w:ascii="宋体" w:hAnsi="宋体" w:eastAsia="宋体" w:cs="Times New Roman"/>
                <w:kern w:val="0"/>
                <w:sz w:val="24"/>
                <w:szCs w:val="22"/>
                <w14:ligatures w14:val="none"/>
              </w:rPr>
              <w:t>股权，单独控制目标公司；本次交易后，江苏招银将持有目标公司</w:t>
            </w:r>
            <w:r>
              <w:rPr>
                <w:rFonts w:ascii="Times New Roman" w:hAnsi="Times New Roman" w:eastAsia="宋体" w:cs="Times New Roman"/>
                <w:kern w:val="0"/>
                <w:sz w:val="24"/>
                <w:szCs w:val="22"/>
                <w14:ligatures w14:val="none"/>
              </w:rPr>
              <w:t>100%</w:t>
            </w:r>
            <w:r>
              <w:rPr>
                <w:rFonts w:hint="eastAsia" w:ascii="宋体" w:hAnsi="宋体" w:eastAsia="宋体" w:cs="Times New Roman"/>
                <w:kern w:val="0"/>
                <w:sz w:val="24"/>
                <w:szCs w:val="22"/>
                <w14:ligatures w14:val="none"/>
              </w:rPr>
              <w:t>股权，协合新能源仍负责目标公司运营管理及高管任命，因此江苏招银与协和新能源将共同控制目标公司。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09" w:type="dxa"/>
            <w:vMerge w:val="restart"/>
            <w:shd w:val="clear" w:color="auto" w:fill="D9D9D9"/>
          </w:tcPr>
          <w:p>
            <w:pPr>
              <w:spacing w:after="0" w:line="240" w:lineRule="auto"/>
              <w:jc w:val="both"/>
              <w:rPr>
                <w:rFonts w:hint="eastAsia" w:ascii="宋体" w:hAnsi="宋体" w:eastAsia="宋体" w:cs="Times New Roman"/>
                <w:kern w:val="0"/>
                <w:sz w:val="24"/>
                <w:szCs w:val="22"/>
                <w14:ligatures w14:val="none"/>
              </w:rPr>
            </w:pPr>
            <w:r>
              <w:rPr>
                <w:rFonts w:ascii="宋体" w:hAnsi="宋体" w:eastAsia="宋体" w:cs="Times New Roman"/>
                <w:kern w:val="0"/>
                <w:sz w:val="24"/>
                <w:szCs w:val="22"/>
                <w14:ligatures w14:val="none"/>
              </w:rPr>
              <w:t>参与集中的经营者简介</w:t>
            </w:r>
          </w:p>
        </w:tc>
        <w:tc>
          <w:tcPr>
            <w:tcW w:w="1796" w:type="dxa"/>
          </w:tcPr>
          <w:p>
            <w:pPr>
              <w:spacing w:after="0" w:line="240" w:lineRule="auto"/>
              <w:jc w:val="both"/>
              <w:rPr>
                <w:rFonts w:hint="eastAsia" w:ascii="宋体" w:hAnsi="宋体" w:eastAsia="宋体" w:cs="Times New Roman"/>
                <w:kern w:val="0"/>
                <w:sz w:val="24"/>
                <w:szCs w:val="22"/>
                <w14:ligatures w14:val="none"/>
              </w:rPr>
            </w:pPr>
            <w:r>
              <w:rPr>
                <w:rFonts w:ascii="宋体" w:hAnsi="宋体" w:eastAsia="宋体" w:cs="Times New Roman"/>
                <w:kern w:val="0"/>
                <w:sz w:val="24"/>
                <w:szCs w:val="22"/>
                <w14:ligatures w14:val="none"/>
              </w:rPr>
              <w:t>1、</w:t>
            </w:r>
            <w:r>
              <w:rPr>
                <w:rFonts w:hint="eastAsia" w:ascii="宋体" w:hAnsi="宋体" w:eastAsia="宋体" w:cs="Times New Roman"/>
                <w:kern w:val="0"/>
                <w:sz w:val="24"/>
                <w:szCs w:val="22"/>
                <w14:ligatures w14:val="none"/>
              </w:rPr>
              <w:t>江苏招银</w:t>
            </w:r>
          </w:p>
        </w:tc>
        <w:tc>
          <w:tcPr>
            <w:tcW w:w="5153" w:type="dxa"/>
          </w:tcPr>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宋体" w:hAnsi="宋体" w:eastAsia="宋体" w:cs="Times New Roman"/>
                <w:kern w:val="0"/>
                <w:sz w:val="24"/>
                <w:szCs w:val="22"/>
                <w14:ligatures w14:val="none"/>
              </w:rPr>
            </w:pPr>
            <w:r>
              <w:rPr>
                <w:rFonts w:hint="eastAsia" w:ascii="宋体" w:hAnsi="宋体" w:eastAsia="宋体" w:cs="Times New Roman"/>
                <w:kern w:val="0"/>
                <w:sz w:val="24"/>
                <w:szCs w:val="22"/>
                <w14:ligatures w14:val="none"/>
              </w:rPr>
              <w:t>江苏招银于</w:t>
            </w:r>
            <w:r>
              <w:rPr>
                <w:rFonts w:hint="eastAsia" w:ascii="Times New Roman" w:hAnsi="Times New Roman" w:eastAsia="宋体" w:cs="Times New Roman"/>
                <w:kern w:val="0"/>
                <w:sz w:val="24"/>
                <w:szCs w:val="22"/>
                <w14:ligatures w14:val="none"/>
              </w:rPr>
              <w:t>2017年2月24</w:t>
            </w:r>
            <w:r>
              <w:rPr>
                <w:rFonts w:hint="eastAsia" w:ascii="宋体" w:hAnsi="宋体" w:eastAsia="宋体" w:cs="Times New Roman"/>
                <w:kern w:val="0"/>
                <w:sz w:val="24"/>
                <w:szCs w:val="22"/>
                <w14:ligatures w14:val="none"/>
              </w:rPr>
              <w:t>日成立于江苏省南京市，主要从事私募股权投资基金管理业务。</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宋体" w:hAnsi="宋体" w:eastAsia="宋体" w:cs="Times New Roman"/>
                <w:kern w:val="0"/>
                <w:sz w:val="24"/>
                <w:szCs w:val="22"/>
                <w14:ligatures w14:val="none"/>
              </w:rPr>
            </w:pPr>
            <w:r>
              <w:rPr>
                <w:rFonts w:hint="eastAsia" w:ascii="宋体" w:hAnsi="宋体" w:eastAsia="宋体" w:cs="Times New Roman"/>
                <w:kern w:val="0"/>
                <w:sz w:val="24"/>
                <w:szCs w:val="22"/>
                <w14:ligatures w14:val="none"/>
              </w:rPr>
              <w:t>江苏招银的最终控制人为招商银行股份有限公司，主要向客户提供批发及零售银行产品和服务，以及自营及代客进行资金业务。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809" w:type="dxa"/>
            <w:vMerge w:val="continue"/>
            <w:shd w:val="clear" w:color="auto" w:fill="D9D9D9"/>
          </w:tcPr>
          <w:p>
            <w:pPr>
              <w:spacing w:after="0" w:line="240" w:lineRule="auto"/>
              <w:jc w:val="both"/>
              <w:rPr>
                <w:rFonts w:hint="eastAsia" w:ascii="宋体" w:hAnsi="宋体" w:eastAsia="宋体" w:cs="Times New Roman"/>
                <w:kern w:val="0"/>
                <w:sz w:val="24"/>
                <w:szCs w:val="22"/>
                <w14:ligatures w14:val="none"/>
              </w:rPr>
            </w:pPr>
          </w:p>
        </w:tc>
        <w:tc>
          <w:tcPr>
            <w:tcW w:w="1796" w:type="dxa"/>
          </w:tcPr>
          <w:p>
            <w:pPr>
              <w:spacing w:after="0" w:line="240" w:lineRule="auto"/>
              <w:jc w:val="both"/>
              <w:rPr>
                <w:rFonts w:hint="eastAsia" w:ascii="宋体" w:hAnsi="宋体" w:eastAsia="宋体" w:cs="Times New Roman"/>
                <w:kern w:val="0"/>
                <w:sz w:val="24"/>
                <w:szCs w:val="22"/>
                <w14:ligatures w14:val="none"/>
              </w:rPr>
            </w:pPr>
            <w:r>
              <w:rPr>
                <w:rFonts w:ascii="宋体" w:hAnsi="宋体" w:eastAsia="宋体" w:cs="Times New Roman"/>
                <w:kern w:val="0"/>
                <w:sz w:val="24"/>
                <w:szCs w:val="22"/>
                <w14:ligatures w14:val="none"/>
              </w:rPr>
              <w:t>2、</w:t>
            </w:r>
            <w:r>
              <w:rPr>
                <w:rFonts w:hint="eastAsia" w:ascii="宋体" w:hAnsi="宋体" w:eastAsia="宋体" w:cs="Times New Roman"/>
                <w:kern w:val="0"/>
                <w:sz w:val="24"/>
                <w:szCs w:val="22"/>
                <w14:ligatures w14:val="none"/>
              </w:rPr>
              <w:t>协合新能源</w:t>
            </w:r>
          </w:p>
        </w:tc>
        <w:tc>
          <w:tcPr>
            <w:tcW w:w="5153" w:type="dxa"/>
          </w:tcPr>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宋体" w:hAnsi="宋体" w:eastAsia="宋体" w:cs="Times New Roman"/>
                <w:kern w:val="0"/>
                <w:sz w:val="24"/>
                <w:szCs w:val="22"/>
                <w14:ligatures w14:val="none"/>
              </w:rPr>
            </w:pPr>
            <w:r>
              <w:rPr>
                <w:rFonts w:hint="eastAsia" w:ascii="宋体" w:hAnsi="宋体" w:eastAsia="宋体" w:cs="Times New Roman"/>
                <w:kern w:val="0"/>
                <w:sz w:val="24"/>
                <w:szCs w:val="22"/>
                <w14:ligatures w14:val="none"/>
              </w:rPr>
              <w:t>协合新能源于</w:t>
            </w:r>
            <w:r>
              <w:rPr>
                <w:rFonts w:hint="eastAsia" w:ascii="Times New Roman" w:hAnsi="Times New Roman" w:eastAsia="宋体" w:cs="Times New Roman"/>
                <w:kern w:val="0"/>
                <w:sz w:val="24"/>
                <w:szCs w:val="22"/>
                <w14:ligatures w14:val="none"/>
              </w:rPr>
              <w:t>1997年成立于百慕大，主要</w:t>
            </w:r>
            <w:r>
              <w:rPr>
                <w:rFonts w:hint="eastAsia" w:ascii="宋体" w:hAnsi="宋体" w:eastAsia="宋体" w:cs="Times New Roman"/>
                <w:kern w:val="0"/>
                <w:sz w:val="24"/>
                <w:szCs w:val="22"/>
                <w14:ligatures w14:val="none"/>
              </w:rPr>
              <w:t>在全球和中国范围内从事绿色电力开发及运营业务。</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宋体" w:hAnsi="宋体" w:eastAsia="宋体" w:cs="Times New Roman"/>
                <w:kern w:val="0"/>
                <w:sz w:val="24"/>
                <w:szCs w:val="22"/>
                <w14:ligatures w14:val="none"/>
              </w:rPr>
            </w:pPr>
            <w:r>
              <w:rPr>
                <w:rFonts w:hint="eastAsia" w:ascii="宋体" w:hAnsi="宋体" w:eastAsia="宋体" w:cs="Times New Roman"/>
                <w:kern w:val="0"/>
                <w:sz w:val="24"/>
                <w:szCs w:val="22"/>
                <w14:ligatures w14:val="none"/>
              </w:rPr>
              <w:t>协合新能源的最终控制人为自然人刘顺兴。刘顺兴通过协和新能源主要从事绿色电力开发及运营业务。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809" w:type="dxa"/>
            <w:vMerge w:val="restart"/>
            <w:shd w:val="clear" w:color="auto" w:fill="D9D9D9"/>
          </w:tcPr>
          <w:p>
            <w:pPr>
              <w:spacing w:after="0" w:line="240" w:lineRule="auto"/>
              <w:jc w:val="both"/>
              <w:rPr>
                <w:rFonts w:hint="eastAsia" w:ascii="宋体" w:hAnsi="宋体" w:eastAsia="宋体" w:cs="Times New Roman"/>
                <w:kern w:val="0"/>
                <w:sz w:val="24"/>
                <w:szCs w:val="22"/>
                <w14:ligatures w14:val="none"/>
              </w:rPr>
            </w:pPr>
            <w:r>
              <w:rPr>
                <w:rFonts w:ascii="宋体" w:hAnsi="宋体" w:eastAsia="宋体" w:cs="Times New Roman"/>
                <w:kern w:val="0"/>
                <w:sz w:val="24"/>
                <w:szCs w:val="22"/>
                <w14:ligatures w14:val="none"/>
              </w:rPr>
              <w:t>简易案件理由（可多选）</w:t>
            </w:r>
          </w:p>
        </w:tc>
        <w:tc>
          <w:tcPr>
            <w:tcW w:w="6949" w:type="dxa"/>
            <w:gridSpan w:val="2"/>
          </w:tcPr>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宋体" w:hAnsi="宋体" w:eastAsia="宋体" w:cs="Times New Roman"/>
                <w:kern w:val="0"/>
                <w:sz w:val="24"/>
                <w:szCs w:val="22"/>
                <w14:ligatures w14:val="none"/>
              </w:rPr>
            </w:pPr>
            <w:r>
              <w:rPr>
                <w:rFonts w:ascii="宋体" w:hAnsi="宋体" w:eastAsia="宋体" w:cs="Times New Roman"/>
                <w:kern w:val="0"/>
                <w:sz w:val="24"/>
                <w:szCs w:val="22"/>
                <w14:ligatures w14:val="none"/>
              </w:rPr>
              <w:t>□1、在同一相关市场，所有参与集中的经营者所占市场份额之和小于15%。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809" w:type="dxa"/>
            <w:vMerge w:val="continue"/>
            <w:shd w:val="clear" w:color="auto" w:fill="D9D9D9"/>
          </w:tcPr>
          <w:p>
            <w:pPr>
              <w:spacing w:after="0" w:line="240" w:lineRule="auto"/>
              <w:jc w:val="both"/>
              <w:rPr>
                <w:rFonts w:hint="eastAsia" w:ascii="宋体" w:hAnsi="宋体" w:eastAsia="宋体" w:cs="Times New Roman"/>
                <w:kern w:val="0"/>
                <w:sz w:val="24"/>
                <w:szCs w:val="22"/>
                <w14:ligatures w14:val="none"/>
              </w:rPr>
            </w:pPr>
          </w:p>
        </w:tc>
        <w:tc>
          <w:tcPr>
            <w:tcW w:w="6949" w:type="dxa"/>
            <w:gridSpan w:val="2"/>
          </w:tcPr>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宋体" w:hAnsi="宋体" w:eastAsia="宋体" w:cs="Times New Roman"/>
                <w:kern w:val="0"/>
                <w:sz w:val="24"/>
                <w:szCs w:val="22"/>
                <w14:ligatures w14:val="none"/>
              </w:rPr>
            </w:pPr>
            <w:r>
              <w:rPr>
                <w:rFonts w:ascii="宋体" w:hAnsi="宋体" w:eastAsia="宋体" w:cs="Times New Roman"/>
                <w:kern w:val="0"/>
                <w:sz w:val="24"/>
                <w:szCs w:val="22"/>
                <w14:ligatures w14:val="none"/>
              </w:rPr>
              <w:t>□2、存在上下游关系的参与集中的经营者，在上下游市场所占的市场份额均小于25%。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09" w:type="dxa"/>
            <w:vMerge w:val="continue"/>
            <w:shd w:val="clear" w:color="auto" w:fill="D9D9D9"/>
          </w:tcPr>
          <w:p>
            <w:pPr>
              <w:spacing w:after="0" w:line="240" w:lineRule="auto"/>
              <w:jc w:val="both"/>
              <w:rPr>
                <w:rFonts w:hint="eastAsia" w:ascii="宋体" w:hAnsi="宋体" w:eastAsia="宋体" w:cs="Times New Roman"/>
                <w:kern w:val="0"/>
                <w:sz w:val="24"/>
                <w:szCs w:val="22"/>
                <w14:ligatures w14:val="none"/>
              </w:rPr>
            </w:pPr>
          </w:p>
        </w:tc>
        <w:tc>
          <w:tcPr>
            <w:tcW w:w="6949" w:type="dxa"/>
            <w:gridSpan w:val="2"/>
          </w:tcPr>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宋体" w:hAnsi="宋体" w:eastAsia="宋体" w:cs="Times New Roman"/>
                <w:kern w:val="0"/>
                <w:sz w:val="24"/>
                <w:szCs w:val="22"/>
                <w14:ligatures w14:val="none"/>
              </w:rPr>
            </w:pPr>
            <w:r>
              <w:rPr>
                <w:rFonts w:hint="eastAsia" w:ascii="宋体" w:hAnsi="宋体" w:eastAsia="宋体" w:cs="宋体"/>
                <w:bCs/>
                <w:color w:val="000000"/>
                <w:sz w:val="24"/>
                <w:szCs w:val="22"/>
                <w14:ligatures w14:val="none"/>
              </w:rPr>
              <w:sym w:font="Wingdings" w:char="00FE"/>
            </w:r>
            <w:r>
              <w:rPr>
                <w:rFonts w:ascii="宋体" w:hAnsi="宋体" w:eastAsia="宋体" w:cs="Times New Roman"/>
                <w:kern w:val="0"/>
                <w:sz w:val="24"/>
                <w:szCs w:val="22"/>
                <w14:ligatures w14:val="none"/>
              </w:rPr>
              <w:t>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809" w:type="dxa"/>
            <w:vMerge w:val="continue"/>
            <w:shd w:val="clear" w:color="auto" w:fill="D9D9D9"/>
          </w:tcPr>
          <w:p>
            <w:pPr>
              <w:spacing w:after="0" w:line="240" w:lineRule="auto"/>
              <w:jc w:val="both"/>
              <w:rPr>
                <w:rFonts w:hint="eastAsia" w:ascii="宋体" w:hAnsi="宋体" w:eastAsia="宋体" w:cs="Times New Roman"/>
                <w:kern w:val="0"/>
                <w:sz w:val="24"/>
                <w:szCs w:val="22"/>
                <w14:ligatures w14:val="none"/>
              </w:rPr>
            </w:pPr>
          </w:p>
        </w:tc>
        <w:tc>
          <w:tcPr>
            <w:tcW w:w="6949" w:type="dxa"/>
            <w:gridSpan w:val="2"/>
          </w:tcPr>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宋体" w:hAnsi="宋体" w:eastAsia="宋体" w:cs="Times New Roman"/>
                <w:kern w:val="0"/>
                <w:sz w:val="24"/>
                <w:szCs w:val="22"/>
                <w14:ligatures w14:val="none"/>
              </w:rPr>
            </w:pPr>
            <w:r>
              <w:rPr>
                <w:rFonts w:ascii="宋体" w:hAnsi="宋体" w:eastAsia="宋体" w:cs="Times New Roman"/>
                <w:kern w:val="0"/>
                <w:sz w:val="24"/>
                <w:szCs w:val="22"/>
                <w14:ligatures w14:val="none"/>
              </w:rPr>
              <w:t>□4、参与集中的经营者在中国境外设立合营企业，合营企业不在中国境内从事经济活动。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809" w:type="dxa"/>
            <w:vMerge w:val="continue"/>
            <w:shd w:val="clear" w:color="auto" w:fill="D9D9D9"/>
          </w:tcPr>
          <w:p>
            <w:pPr>
              <w:spacing w:after="0" w:line="240" w:lineRule="auto"/>
              <w:jc w:val="both"/>
              <w:rPr>
                <w:rFonts w:hint="eastAsia" w:ascii="宋体" w:hAnsi="宋体" w:eastAsia="宋体" w:cs="Times New Roman"/>
                <w:kern w:val="0"/>
                <w:sz w:val="24"/>
                <w:szCs w:val="22"/>
                <w14:ligatures w14:val="none"/>
              </w:rPr>
            </w:pPr>
          </w:p>
        </w:tc>
        <w:tc>
          <w:tcPr>
            <w:tcW w:w="6949" w:type="dxa"/>
            <w:gridSpan w:val="2"/>
          </w:tcPr>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宋体" w:hAnsi="宋体" w:eastAsia="宋体" w:cs="Times New Roman"/>
                <w:kern w:val="0"/>
                <w:sz w:val="24"/>
                <w:szCs w:val="22"/>
                <w14:ligatures w14:val="none"/>
              </w:rPr>
            </w:pPr>
            <w:r>
              <w:rPr>
                <w:rFonts w:ascii="宋体" w:hAnsi="宋体" w:eastAsia="宋体" w:cs="Times New Roman"/>
                <w:kern w:val="0"/>
                <w:sz w:val="24"/>
                <w:szCs w:val="22"/>
                <w14:ligatures w14:val="none"/>
              </w:rPr>
              <w:t>□5、参与集中的经营者收购境外企业股权或资产的，该境外企业不在中国境内从事经济活动。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809" w:type="dxa"/>
            <w:vMerge w:val="continue"/>
            <w:shd w:val="clear" w:color="auto" w:fill="D9D9D9"/>
          </w:tcPr>
          <w:p>
            <w:pPr>
              <w:spacing w:after="0" w:line="240" w:lineRule="auto"/>
              <w:jc w:val="both"/>
              <w:rPr>
                <w:rFonts w:hint="eastAsia" w:ascii="宋体" w:hAnsi="宋体" w:eastAsia="宋体" w:cs="Times New Roman"/>
                <w:kern w:val="0"/>
                <w:sz w:val="24"/>
                <w:szCs w:val="22"/>
                <w14:ligatures w14:val="none"/>
              </w:rPr>
            </w:pPr>
          </w:p>
        </w:tc>
        <w:tc>
          <w:tcPr>
            <w:tcW w:w="6949" w:type="dxa"/>
            <w:gridSpan w:val="2"/>
          </w:tcPr>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宋体" w:hAnsi="宋体" w:eastAsia="宋体" w:cs="Times New Roman"/>
                <w:kern w:val="0"/>
                <w:sz w:val="24"/>
                <w:szCs w:val="22"/>
                <w14:ligatures w14:val="none"/>
              </w:rPr>
            </w:pPr>
            <w:r>
              <w:rPr>
                <w:rFonts w:ascii="宋体" w:hAnsi="宋体" w:eastAsia="宋体" w:cs="Times New Roman"/>
                <w:kern w:val="0"/>
                <w:sz w:val="24"/>
                <w:szCs w:val="22"/>
                <w14:ligatures w14:val="none"/>
              </w:rPr>
              <w:t>□6、由两个以上的经营者共同控制的合营企业，通过集中被其中一个或一个以上经营者控制。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shd w:val="clear" w:color="auto" w:fill="D9D9D9"/>
          </w:tcPr>
          <w:p>
            <w:pPr>
              <w:spacing w:after="0" w:line="240" w:lineRule="auto"/>
              <w:jc w:val="both"/>
              <w:rPr>
                <w:rFonts w:hint="eastAsia" w:ascii="宋体" w:hAnsi="宋体" w:eastAsia="宋体" w:cs="Times New Roman"/>
                <w:kern w:val="0"/>
                <w:sz w:val="24"/>
                <w:szCs w:val="22"/>
                <w14:ligatures w14:val="none"/>
              </w:rPr>
            </w:pPr>
            <w:r>
              <w:rPr>
                <w:rFonts w:ascii="宋体" w:hAnsi="宋体" w:eastAsia="宋体" w:cs="Times New Roman"/>
                <w:kern w:val="0"/>
                <w:sz w:val="24"/>
                <w:szCs w:val="22"/>
                <w14:ligatures w14:val="none"/>
              </w:rPr>
              <w:t>备注</w:t>
            </w:r>
          </w:p>
        </w:tc>
        <w:tc>
          <w:tcPr>
            <w:tcW w:w="6949" w:type="dxa"/>
            <w:gridSpan w:val="2"/>
          </w:tcPr>
          <w:p>
            <w:pPr>
              <w:spacing w:after="0" w:line="240" w:lineRule="auto"/>
              <w:jc w:val="both"/>
              <w:rPr>
                <w:rFonts w:hint="eastAsia" w:ascii="宋体" w:hAnsi="宋体" w:eastAsia="宋体" w:cs="Times New Roman"/>
                <w:kern w:val="0"/>
                <w:sz w:val="24"/>
                <w:szCs w:val="22"/>
                <w14:ligatures w14:val="none"/>
              </w:rPr>
            </w:pPr>
            <w:r>
              <w:rPr>
                <w:rFonts w:hint="eastAsia" w:ascii="宋体" w:hAnsi="宋体" w:eastAsia="宋体" w:cs="Times New Roman"/>
                <w:kern w:val="0"/>
                <w:sz w:val="24"/>
                <w:szCs w:val="22"/>
                <w14:ligatures w14:val="none"/>
              </w:rPr>
              <w:t>混合集中：</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2"/>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462" w:type="dxa"/>
                </w:tcPr>
                <w:p>
                  <w:pPr>
                    <w:snapToGrid w:val="0"/>
                    <w:spacing w:after="0" w:line="240" w:lineRule="auto"/>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相关商品市场</w:t>
                  </w:r>
                </w:p>
              </w:tc>
              <w:tc>
                <w:tcPr>
                  <w:tcW w:w="3260" w:type="dxa"/>
                </w:tcPr>
                <w:p>
                  <w:pPr>
                    <w:snapToGrid w:val="0"/>
                    <w:spacing w:after="0" w:line="240" w:lineRule="auto"/>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462" w:type="dxa"/>
                  <w:vAlign w:val="center"/>
                </w:tcPr>
                <w:p>
                  <w:pPr>
                    <w:snapToGrid w:val="0"/>
                    <w:spacing w:after="0" w:line="24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2024年</w:t>
                  </w:r>
                  <w:bookmarkStart w:id="1" w:name="_Hlk216976719"/>
                  <w:r>
                    <w:rPr>
                      <w:rFonts w:hint="eastAsia" w:ascii="宋体" w:hAnsi="宋体" w:eastAsia="宋体" w:cs="Times New Roman"/>
                      <w:kern w:val="0"/>
                      <w:sz w:val="24"/>
                      <w:szCs w:val="24"/>
                      <w14:ligatures w14:val="none"/>
                    </w:rPr>
                    <w:t>中国境内电力生产和供应</w:t>
                  </w:r>
                  <w:bookmarkEnd w:id="1"/>
                  <w:r>
                    <w:rPr>
                      <w:rFonts w:hint="eastAsia" w:ascii="宋体" w:hAnsi="宋体" w:eastAsia="宋体" w:cs="Times New Roman"/>
                      <w:kern w:val="0"/>
                      <w:sz w:val="24"/>
                      <w:szCs w:val="24"/>
                      <w14:ligatures w14:val="none"/>
                    </w:rPr>
                    <w:t>市场</w:t>
                  </w:r>
                </w:p>
              </w:tc>
              <w:tc>
                <w:tcPr>
                  <w:tcW w:w="3260" w:type="dxa"/>
                </w:tcPr>
                <w:p>
                  <w:pPr>
                    <w:snapToGrid w:val="0"/>
                    <w:spacing w:after="0" w:line="240" w:lineRule="auto"/>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0"/>
                      <w14:ligatures w14:val="none"/>
                    </w:rPr>
                    <w:t>协合新能源（含目标公司）：</w:t>
                  </w:r>
                  <w:r>
                    <w:rPr>
                      <w:rFonts w:hint="eastAsia" w:ascii="宋体" w:hAnsi="宋体" w:eastAsia="宋体" w:cs="Times New Roman"/>
                      <w:kern w:val="0"/>
                      <w:sz w:val="24"/>
                      <w:szCs w:val="24"/>
                      <w14:ligatures w14:val="none"/>
                    </w:rPr>
                    <w:t>0-5%</w:t>
                  </w:r>
                </w:p>
              </w:tc>
            </w:tr>
          </w:tbl>
          <w:p>
            <w:pPr>
              <w:spacing w:after="0" w:line="240" w:lineRule="auto"/>
              <w:jc w:val="both"/>
              <w:rPr>
                <w:rFonts w:hint="eastAsia" w:ascii="宋体" w:hAnsi="宋体" w:eastAsia="宋体" w:cs="Times New Roman"/>
                <w:kern w:val="0"/>
                <w:sz w:val="24"/>
                <w:szCs w:val="22"/>
                <w14:ligatures w14:val="none"/>
              </w:rPr>
            </w:pPr>
          </w:p>
        </w:tc>
      </w:tr>
    </w:tbl>
    <w:p>
      <w:pPr>
        <w:widowControl/>
        <w:snapToGrid w:val="0"/>
        <w:spacing w:before="156" w:beforeLines="50" w:after="0" w:line="240" w:lineRule="exact"/>
        <w:rPr>
          <w:rFonts w:cs="Times New Roman"/>
          <w:color w:val="000000"/>
          <w:kern w:val="0"/>
          <w:sz w:val="24"/>
          <w14:ligatures w14: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Light">
    <w:altName w:val="华文仿宋"/>
    <w:panose1 w:val="02010600030101010101"/>
    <w:charset w:val="86"/>
    <w:family w:val="auto"/>
    <w:pitch w:val="default"/>
    <w:sig w:usb0="00000000" w:usb1="00000000" w:usb2="00000016" w:usb3="00000000" w:csb0="0004000F"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等线 Light">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等线">
    <w:altName w:val="汉仪仿宋S"/>
    <w:panose1 w:val="00000000000000000000"/>
    <w:charset w:val="00"/>
    <w:family w:val="auto"/>
    <w:pitch w:val="default"/>
    <w:sig w:usb0="00000000" w:usb1="00000000" w:usb2="00000000" w:usb3="00000000" w:csb0="00000000" w:csb1="00000000"/>
  </w:font>
  <w:font w:name="汉仪中圆B5">
    <w:panose1 w:val="02010600000101010101"/>
    <w:charset w:val="88"/>
    <w:family w:val="auto"/>
    <w:pitch w:val="default"/>
    <w:sig w:usb0="00000001" w:usb1="080E0800" w:usb2="00000002" w:usb3="00000000" w:csb0="0010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1E"/>
    <w:rsid w:val="00020500"/>
    <w:rsid w:val="00020837"/>
    <w:rsid w:val="00024B11"/>
    <w:rsid w:val="0005292E"/>
    <w:rsid w:val="00062E7F"/>
    <w:rsid w:val="00084AE5"/>
    <w:rsid w:val="000C6F4C"/>
    <w:rsid w:val="000E3999"/>
    <w:rsid w:val="000E5DC7"/>
    <w:rsid w:val="000E674B"/>
    <w:rsid w:val="000F4702"/>
    <w:rsid w:val="00100703"/>
    <w:rsid w:val="00140217"/>
    <w:rsid w:val="0014636B"/>
    <w:rsid w:val="0015112F"/>
    <w:rsid w:val="00152614"/>
    <w:rsid w:val="00154312"/>
    <w:rsid w:val="00166EC8"/>
    <w:rsid w:val="00166EE6"/>
    <w:rsid w:val="001A2BB1"/>
    <w:rsid w:val="001B3E88"/>
    <w:rsid w:val="001D4B9D"/>
    <w:rsid w:val="001E1C67"/>
    <w:rsid w:val="0021165B"/>
    <w:rsid w:val="00247929"/>
    <w:rsid w:val="002509F5"/>
    <w:rsid w:val="002732B6"/>
    <w:rsid w:val="00273D0A"/>
    <w:rsid w:val="0028373D"/>
    <w:rsid w:val="00284C2E"/>
    <w:rsid w:val="0028598E"/>
    <w:rsid w:val="00294656"/>
    <w:rsid w:val="002E4ED1"/>
    <w:rsid w:val="002E568E"/>
    <w:rsid w:val="002F0780"/>
    <w:rsid w:val="002F21FA"/>
    <w:rsid w:val="002F3D4C"/>
    <w:rsid w:val="00314DA6"/>
    <w:rsid w:val="003524C0"/>
    <w:rsid w:val="0035300F"/>
    <w:rsid w:val="0039268A"/>
    <w:rsid w:val="00394FBB"/>
    <w:rsid w:val="003C68BB"/>
    <w:rsid w:val="00402982"/>
    <w:rsid w:val="004126A5"/>
    <w:rsid w:val="0042268B"/>
    <w:rsid w:val="00425A04"/>
    <w:rsid w:val="004340EF"/>
    <w:rsid w:val="00452776"/>
    <w:rsid w:val="00455003"/>
    <w:rsid w:val="00465EF0"/>
    <w:rsid w:val="00466538"/>
    <w:rsid w:val="0047021E"/>
    <w:rsid w:val="00474278"/>
    <w:rsid w:val="004B630F"/>
    <w:rsid w:val="004C5B91"/>
    <w:rsid w:val="004C5FE4"/>
    <w:rsid w:val="004C61D0"/>
    <w:rsid w:val="004C741D"/>
    <w:rsid w:val="004D06ED"/>
    <w:rsid w:val="004D6220"/>
    <w:rsid w:val="004E2D1E"/>
    <w:rsid w:val="00527B7E"/>
    <w:rsid w:val="0053668B"/>
    <w:rsid w:val="00537A70"/>
    <w:rsid w:val="00543569"/>
    <w:rsid w:val="00543979"/>
    <w:rsid w:val="0055447B"/>
    <w:rsid w:val="00563450"/>
    <w:rsid w:val="00571F8E"/>
    <w:rsid w:val="005857C6"/>
    <w:rsid w:val="005B7668"/>
    <w:rsid w:val="005C43CD"/>
    <w:rsid w:val="005D6517"/>
    <w:rsid w:val="00602AD8"/>
    <w:rsid w:val="006036AB"/>
    <w:rsid w:val="00605E85"/>
    <w:rsid w:val="00607D4F"/>
    <w:rsid w:val="00614F64"/>
    <w:rsid w:val="0062085D"/>
    <w:rsid w:val="00634940"/>
    <w:rsid w:val="006351E6"/>
    <w:rsid w:val="00667CA8"/>
    <w:rsid w:val="006A168F"/>
    <w:rsid w:val="006A174B"/>
    <w:rsid w:val="006C00B8"/>
    <w:rsid w:val="006C69F3"/>
    <w:rsid w:val="006C72E1"/>
    <w:rsid w:val="006D1361"/>
    <w:rsid w:val="006E262B"/>
    <w:rsid w:val="00716932"/>
    <w:rsid w:val="00724B6D"/>
    <w:rsid w:val="00735A72"/>
    <w:rsid w:val="007363FF"/>
    <w:rsid w:val="0074361A"/>
    <w:rsid w:val="00746AD5"/>
    <w:rsid w:val="00780E52"/>
    <w:rsid w:val="007953A0"/>
    <w:rsid w:val="007A2131"/>
    <w:rsid w:val="007C4037"/>
    <w:rsid w:val="007C7E9E"/>
    <w:rsid w:val="007D0C9C"/>
    <w:rsid w:val="007D7769"/>
    <w:rsid w:val="00803568"/>
    <w:rsid w:val="0081085C"/>
    <w:rsid w:val="008312AD"/>
    <w:rsid w:val="00832C00"/>
    <w:rsid w:val="008532A4"/>
    <w:rsid w:val="00854925"/>
    <w:rsid w:val="00862233"/>
    <w:rsid w:val="008648C0"/>
    <w:rsid w:val="0087453E"/>
    <w:rsid w:val="0087567B"/>
    <w:rsid w:val="008A18FA"/>
    <w:rsid w:val="008A7597"/>
    <w:rsid w:val="008B1FA2"/>
    <w:rsid w:val="008D26C3"/>
    <w:rsid w:val="008D2769"/>
    <w:rsid w:val="00903C80"/>
    <w:rsid w:val="009112DA"/>
    <w:rsid w:val="00913686"/>
    <w:rsid w:val="00951CA3"/>
    <w:rsid w:val="00987940"/>
    <w:rsid w:val="009879CF"/>
    <w:rsid w:val="009A3440"/>
    <w:rsid w:val="009B5583"/>
    <w:rsid w:val="009C19B5"/>
    <w:rsid w:val="009D2714"/>
    <w:rsid w:val="009E3BBC"/>
    <w:rsid w:val="009F3EDB"/>
    <w:rsid w:val="00A1671A"/>
    <w:rsid w:val="00A2446E"/>
    <w:rsid w:val="00A4696E"/>
    <w:rsid w:val="00A476B2"/>
    <w:rsid w:val="00A60768"/>
    <w:rsid w:val="00A75D5F"/>
    <w:rsid w:val="00AE1C98"/>
    <w:rsid w:val="00B16E4B"/>
    <w:rsid w:val="00B17C2F"/>
    <w:rsid w:val="00B41F94"/>
    <w:rsid w:val="00B973A9"/>
    <w:rsid w:val="00BA3D95"/>
    <w:rsid w:val="00BD3D8D"/>
    <w:rsid w:val="00C25E50"/>
    <w:rsid w:val="00C3055B"/>
    <w:rsid w:val="00C4430F"/>
    <w:rsid w:val="00C60774"/>
    <w:rsid w:val="00C97FD5"/>
    <w:rsid w:val="00CB0D32"/>
    <w:rsid w:val="00CC1613"/>
    <w:rsid w:val="00CC279A"/>
    <w:rsid w:val="00CD7409"/>
    <w:rsid w:val="00D501BA"/>
    <w:rsid w:val="00D60E9E"/>
    <w:rsid w:val="00D62BD3"/>
    <w:rsid w:val="00D760A4"/>
    <w:rsid w:val="00D86D7B"/>
    <w:rsid w:val="00D8786D"/>
    <w:rsid w:val="00D9517F"/>
    <w:rsid w:val="00D9561B"/>
    <w:rsid w:val="00DA25A9"/>
    <w:rsid w:val="00DA72E5"/>
    <w:rsid w:val="00DC76B0"/>
    <w:rsid w:val="00E00773"/>
    <w:rsid w:val="00E01AA5"/>
    <w:rsid w:val="00E20C34"/>
    <w:rsid w:val="00E56B10"/>
    <w:rsid w:val="00E6068C"/>
    <w:rsid w:val="00E65B70"/>
    <w:rsid w:val="00E73638"/>
    <w:rsid w:val="00E7781B"/>
    <w:rsid w:val="00E8035F"/>
    <w:rsid w:val="00EA4488"/>
    <w:rsid w:val="00EE6006"/>
    <w:rsid w:val="00EF6FAB"/>
    <w:rsid w:val="00F020BD"/>
    <w:rsid w:val="00F15994"/>
    <w:rsid w:val="00F25B80"/>
    <w:rsid w:val="00F355A4"/>
    <w:rsid w:val="00F46A54"/>
    <w:rsid w:val="00F6098B"/>
    <w:rsid w:val="00F664C4"/>
    <w:rsid w:val="00F706F8"/>
    <w:rsid w:val="00F84184"/>
    <w:rsid w:val="00F85434"/>
    <w:rsid w:val="00F8564F"/>
    <w:rsid w:val="00FA6349"/>
    <w:rsid w:val="00FC46FF"/>
    <w:rsid w:val="00FC54F6"/>
    <w:rsid w:val="00FE078D"/>
    <w:rsid w:val="00FF2D00"/>
    <w:rsid w:val="5EDE3133"/>
    <w:rsid w:val="C5FF009E"/>
    <w:rsid w:val="FE6F89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imes New Roman" w:hAnsi="Times New Roman" w:eastAsia="仿宋" w:cstheme="minorBidi"/>
      <w:kern w:val="2"/>
      <w:sz w:val="22"/>
      <w:szCs w:val="24"/>
      <w:lang w:val="en-US" w:eastAsia="zh-CN" w:bidi="ar-SA"/>
      <w14:ligatures w14:val="standardContextual"/>
    </w:rPr>
  </w:style>
  <w:style w:type="paragraph" w:styleId="2">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6"/>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7"/>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rPr>
  </w:style>
  <w:style w:type="paragraph" w:styleId="7">
    <w:name w:val="heading 6"/>
    <w:basedOn w:val="1"/>
    <w:next w:val="1"/>
    <w:link w:val="28"/>
    <w:semiHidden/>
    <w:unhideWhenUsed/>
    <w:qFormat/>
    <w:uiPriority w:val="9"/>
    <w:pPr>
      <w:keepNext/>
      <w:keepLines/>
      <w:spacing w:before="40" w:after="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9"/>
    <w:semiHidden/>
    <w:unhideWhenUsed/>
    <w:qFormat/>
    <w:uiPriority w:val="9"/>
    <w:pPr>
      <w:keepNext/>
      <w:keepLines/>
      <w:spacing w:before="40" w:after="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after="0"/>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spacing w:after="0"/>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6"/>
    <w:unhideWhenUsed/>
    <w:qFormat/>
    <w:uiPriority w:val="99"/>
  </w:style>
  <w:style w:type="paragraph" w:styleId="12">
    <w:name w:val="footer"/>
    <w:basedOn w:val="1"/>
    <w:link w:val="42"/>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41"/>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3"/>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footnote text"/>
    <w:basedOn w:val="1"/>
    <w:link w:val="43"/>
    <w:semiHidden/>
    <w:unhideWhenUsed/>
    <w:qFormat/>
    <w:uiPriority w:val="99"/>
    <w:pPr>
      <w:snapToGrid w:val="0"/>
    </w:pPr>
    <w:rPr>
      <w:sz w:val="18"/>
      <w:szCs w:val="18"/>
    </w:rPr>
  </w:style>
  <w:style w:type="paragraph" w:styleId="16">
    <w:name w:val="Title"/>
    <w:basedOn w:val="1"/>
    <w:next w:val="1"/>
    <w:link w:val="32"/>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47"/>
    <w:semiHidden/>
    <w:unhideWhenUsed/>
    <w:qFormat/>
    <w:uiPriority w:val="99"/>
    <w:rPr>
      <w:b/>
      <w:bCs/>
    </w:rPr>
  </w:style>
  <w:style w:type="table" w:styleId="19">
    <w:name w:val="Table Grid"/>
    <w:basedOn w:val="18"/>
    <w:qFormat/>
    <w:uiPriority w:val="59"/>
    <w:pPr>
      <w:spacing w:after="0" w:line="240" w:lineRule="auto"/>
    </w:pPr>
    <w:rPr>
      <w:rFonts w:ascii="Calibri" w:hAnsi="Calibri"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semiHidden/>
    <w:unhideWhenUsed/>
    <w:qFormat/>
    <w:uiPriority w:val="99"/>
    <w:rPr>
      <w:sz w:val="21"/>
      <w:szCs w:val="21"/>
    </w:rPr>
  </w:style>
  <w:style w:type="character" w:styleId="22">
    <w:name w:val="footnote reference"/>
    <w:basedOn w:val="20"/>
    <w:qFormat/>
    <w:uiPriority w:val="0"/>
    <w:rPr>
      <w:rFonts w:ascii="Arial" w:hAnsi="Arial"/>
      <w:vertAlign w:val="superscript"/>
    </w:rPr>
  </w:style>
  <w:style w:type="character" w:customStyle="1" w:styleId="23">
    <w:name w:val="标题 1 字符"/>
    <w:basedOn w:val="20"/>
    <w:link w:val="2"/>
    <w:qFormat/>
    <w:uiPriority w:val="9"/>
    <w:rPr>
      <w:rFonts w:asciiTheme="majorHAnsi" w:hAnsiTheme="majorHAnsi" w:eastAsiaTheme="majorEastAsia" w:cstheme="majorBidi"/>
      <w:color w:val="104862" w:themeColor="accent1" w:themeShade="BF"/>
      <w:sz w:val="48"/>
      <w:szCs w:val="48"/>
    </w:rPr>
  </w:style>
  <w:style w:type="character" w:customStyle="1" w:styleId="24">
    <w:name w:val="标题 2 字符"/>
    <w:basedOn w:val="20"/>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5">
    <w:name w:val="标题 3 字符"/>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6">
    <w:name w:val="标题 4 字符"/>
    <w:basedOn w:val="20"/>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7">
    <w:name w:val="标题 5 字符"/>
    <w:basedOn w:val="20"/>
    <w:link w:val="6"/>
    <w:semiHidden/>
    <w:qFormat/>
    <w:uiPriority w:val="9"/>
    <w:rPr>
      <w:rFonts w:asciiTheme="minorHAnsi" w:hAnsiTheme="minorHAnsi" w:eastAsiaTheme="minorEastAsia" w:cstheme="majorBidi"/>
      <w:color w:val="104862" w:themeColor="accent1" w:themeShade="BF"/>
      <w:sz w:val="24"/>
    </w:rPr>
  </w:style>
  <w:style w:type="character" w:customStyle="1" w:styleId="28">
    <w:name w:val="标题 6 字符"/>
    <w:basedOn w:val="20"/>
    <w:link w:val="7"/>
    <w:semiHidden/>
    <w:qFormat/>
    <w:uiPriority w:val="9"/>
    <w:rPr>
      <w:rFonts w:asciiTheme="minorHAnsi" w:hAnsiTheme="minorHAnsi" w:eastAsiaTheme="minorEastAsia" w:cstheme="majorBidi"/>
      <w:b/>
      <w:bCs/>
      <w:color w:val="104862" w:themeColor="accent1" w:themeShade="BF"/>
    </w:rPr>
  </w:style>
  <w:style w:type="character" w:customStyle="1" w:styleId="29">
    <w:name w:val="标题 7 字符"/>
    <w:basedOn w:val="20"/>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0"/>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0"/>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0"/>
    <w:link w:val="16"/>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0"/>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0"/>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20"/>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明显引用 字符"/>
    <w:basedOn w:val="20"/>
    <w:link w:val="38"/>
    <w:qFormat/>
    <w:uiPriority w:val="30"/>
    <w:rPr>
      <w:i/>
      <w:iCs/>
      <w:color w:val="104862" w:themeColor="accent1" w:themeShade="BF"/>
    </w:rPr>
  </w:style>
  <w:style w:type="character" w:customStyle="1" w:styleId="40">
    <w:name w:val="Intense Reference"/>
    <w:basedOn w:val="20"/>
    <w:qFormat/>
    <w:uiPriority w:val="32"/>
    <w:rPr>
      <w:b/>
      <w:bCs/>
      <w:smallCaps/>
      <w:color w:val="104862" w:themeColor="accent1" w:themeShade="BF"/>
      <w:spacing w:val="5"/>
    </w:rPr>
  </w:style>
  <w:style w:type="character" w:customStyle="1" w:styleId="41">
    <w:name w:val="页眉 字符"/>
    <w:basedOn w:val="20"/>
    <w:link w:val="13"/>
    <w:qFormat/>
    <w:uiPriority w:val="99"/>
    <w:rPr>
      <w:sz w:val="18"/>
      <w:szCs w:val="18"/>
    </w:rPr>
  </w:style>
  <w:style w:type="character" w:customStyle="1" w:styleId="42">
    <w:name w:val="页脚 字符"/>
    <w:basedOn w:val="20"/>
    <w:link w:val="12"/>
    <w:qFormat/>
    <w:uiPriority w:val="99"/>
    <w:rPr>
      <w:sz w:val="18"/>
      <w:szCs w:val="18"/>
    </w:rPr>
  </w:style>
  <w:style w:type="character" w:customStyle="1" w:styleId="43">
    <w:name w:val="脚注文本 字符"/>
    <w:basedOn w:val="20"/>
    <w:link w:val="15"/>
    <w:semiHidden/>
    <w:qFormat/>
    <w:uiPriority w:val="99"/>
    <w:rPr>
      <w:sz w:val="18"/>
      <w:szCs w:val="18"/>
    </w:rPr>
  </w:style>
  <w:style w:type="table" w:customStyle="1" w:styleId="44">
    <w:name w:val="网格型1"/>
    <w:basedOn w:val="18"/>
    <w:qFormat/>
    <w:uiPriority w:val="59"/>
    <w:pPr>
      <w:spacing w:after="0" w:line="240" w:lineRule="auto"/>
    </w:pPr>
    <w:rPr>
      <w:rFonts w:ascii="Calibri" w:hAnsi="Calibri" w:eastAsia="宋体"/>
      <w:sz w:val="21"/>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Revision"/>
    <w:hidden/>
    <w:semiHidden/>
    <w:qFormat/>
    <w:uiPriority w:val="99"/>
    <w:pPr>
      <w:spacing w:after="0" w:line="240" w:lineRule="auto"/>
    </w:pPr>
    <w:rPr>
      <w:rFonts w:ascii="Times New Roman" w:hAnsi="Times New Roman" w:eastAsia="仿宋" w:cstheme="minorBidi"/>
      <w:kern w:val="2"/>
      <w:sz w:val="22"/>
      <w:szCs w:val="24"/>
      <w:lang w:val="en-US" w:eastAsia="zh-CN" w:bidi="ar-SA"/>
      <w14:ligatures w14:val="standardContextual"/>
    </w:rPr>
  </w:style>
  <w:style w:type="character" w:customStyle="1" w:styleId="46">
    <w:name w:val="批注文字 字符"/>
    <w:basedOn w:val="20"/>
    <w:link w:val="11"/>
    <w:qFormat/>
    <w:uiPriority w:val="99"/>
  </w:style>
  <w:style w:type="character" w:customStyle="1" w:styleId="47">
    <w:name w:val="批注主题 字符"/>
    <w:basedOn w:val="46"/>
    <w:link w:val="17"/>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128</Words>
  <Characters>730</Characters>
  <Lines>6</Lines>
  <Paragraphs>1</Paragraphs>
  <TotalTime>53</TotalTime>
  <ScaleCrop>false</ScaleCrop>
  <LinksUpToDate>false</LinksUpToDate>
  <CharactersWithSpaces>857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2026-02-11T00:29:00Z</dcterms:created>
  <dc:creator>Han Kun</dc:creator>
  <cp:lastModifiedBy>scjuser</cp:lastModifiedBy>
  <cp:lastPrinted>2026-04-03T23:43:00Z</cp:lastPrinted>
  <dcterms:modified xsi:type="dcterms:W3CDTF">2026-04-03T15:47:58Z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