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hint="eastAsia" w:ascii="黑体" w:hAnsi="黑体" w:eastAsia="黑体" w:cs="方正小标宋_GBK"/>
          <w:kern w:val="0"/>
          <w:sz w:val="36"/>
          <w:szCs w:val="36"/>
          <w:lang w:val="en-GB" w:bidi="ar-AE"/>
        </w:rPr>
      </w:pPr>
      <w:r>
        <w:rPr>
          <w:rFonts w:hint="eastAsia" w:ascii="黑体" w:hAnsi="黑体" w:eastAsia="黑体" w:cs="方正小标宋_GBK"/>
          <w:kern w:val="0"/>
          <w:sz w:val="36"/>
          <w:szCs w:val="36"/>
          <w:lang w:val="en-GB" w:bidi="ar-AE"/>
        </w:rPr>
        <w:t>经营者集中简易案件公示表</w:t>
      </w:r>
    </w:p>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74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widowControl/>
              <w:adjustRightInd w:val="0"/>
              <w:snapToGrid w:val="0"/>
              <w:rPr>
                <w:rFonts w:ascii="宋体" w:hAnsi="Times New Roman" w:eastAsia="宋体" w:cs="宋体"/>
                <w:bCs/>
                <w:color w:val="000000"/>
                <w:kern w:val="0"/>
                <w:sz w:val="24"/>
                <w:szCs w:val="24"/>
                <w:lang w:val="en-GB" w:eastAsia="en-GB" w:bidi="ar-AE"/>
              </w:rPr>
            </w:pPr>
            <w:r>
              <w:rPr>
                <w:rFonts w:hint="eastAsia" w:ascii="宋体" w:hAnsi="Times New Roman" w:eastAsia="宋体" w:cs="宋体"/>
                <w:bCs/>
                <w:color w:val="000000"/>
                <w:kern w:val="0"/>
                <w:sz w:val="24"/>
                <w:szCs w:val="24"/>
                <w:lang w:val="en-GB" w:eastAsia="en-GB" w:bidi="ar-AE"/>
              </w:rPr>
              <w:t>案件名称</w:t>
            </w:r>
          </w:p>
        </w:tc>
        <w:tc>
          <w:tcPr>
            <w:tcW w:w="7700" w:type="dxa"/>
            <w:gridSpan w:val="2"/>
            <w:vAlign w:val="center"/>
          </w:tcPr>
          <w:p>
            <w:pPr>
              <w:widowControl/>
              <w:adjustRightInd w:val="0"/>
              <w:snapToGrid w:val="0"/>
              <w:rPr>
                <w:rFonts w:ascii="宋体" w:hAnsi="Times New Roman" w:eastAsia="宋体" w:cs="宋体"/>
                <w:kern w:val="0"/>
                <w:sz w:val="24"/>
                <w:szCs w:val="24"/>
                <w:highlight w:val="yellow"/>
                <w:lang w:val="en-GB" w:bidi="ar-AE"/>
              </w:rPr>
            </w:pPr>
            <w:r>
              <w:rPr>
                <w:rFonts w:hint="eastAsia" w:ascii="宋体" w:hAnsi="Times New Roman" w:eastAsia="宋体" w:cs="Times New Roman"/>
                <w:kern w:val="0"/>
                <w:sz w:val="24"/>
                <w:szCs w:val="24"/>
                <w:lang w:val="en-GB" w:bidi="ar-AE"/>
              </w:rPr>
              <w:t>重庆产业投资母基金合伙企业（有限合伙）与交银资本管理有限公司等经营者新设合营企业案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交易概况（限200字内）</w:t>
            </w:r>
          </w:p>
        </w:tc>
        <w:tc>
          <w:tcPr>
            <w:tcW w:w="7700" w:type="dxa"/>
            <w:gridSpan w:val="2"/>
            <w:vAlign w:val="center"/>
          </w:tcPr>
          <w:p>
            <w:pPr>
              <w:widowControl/>
              <w:adjustRightInd w:val="0"/>
              <w:snapToGrid w:val="0"/>
              <w:rPr>
                <w:rFonts w:hint="eastAsia" w:ascii="宋体" w:hAnsi="宋体" w:eastAsia="宋体" w:cs="Times New Roman"/>
                <w:kern w:val="0"/>
                <w:sz w:val="24"/>
                <w:szCs w:val="21"/>
                <w:lang w:val="en-GB" w:bidi="ar-AE"/>
              </w:rPr>
            </w:pPr>
            <w:r>
              <w:rPr>
                <w:rFonts w:hint="eastAsia" w:ascii="宋体" w:hAnsi="Times New Roman" w:eastAsia="宋体" w:cs="Times New Roman"/>
                <w:kern w:val="0"/>
                <w:sz w:val="24"/>
                <w:szCs w:val="21"/>
                <w:lang w:val="en-GB" w:bidi="ar-AE"/>
              </w:rPr>
              <w:t>重庆产业投资母基金合伙企业（有限合伙）（“</w:t>
            </w:r>
            <w:r>
              <w:rPr>
                <w:rFonts w:hint="eastAsia" w:ascii="宋体" w:hAnsi="宋体" w:eastAsia="宋体" w:cs="Times New Roman"/>
                <w:b/>
                <w:bCs/>
                <w:kern w:val="0"/>
                <w:sz w:val="24"/>
                <w:szCs w:val="21"/>
                <w:lang w:val="en-GB" w:bidi="ar-AE"/>
              </w:rPr>
              <w:t>产投母基金</w:t>
            </w:r>
            <w:r>
              <w:rPr>
                <w:rFonts w:hint="eastAsia" w:ascii="宋体" w:hAnsi="Times New Roman" w:eastAsia="宋体" w:cs="Times New Roman"/>
                <w:kern w:val="0"/>
                <w:sz w:val="24"/>
                <w:szCs w:val="21"/>
                <w:lang w:val="en-GB" w:bidi="ar-AE"/>
              </w:rPr>
              <w:t>”）与交银资本管理有限公司（“</w:t>
            </w:r>
            <w:r>
              <w:rPr>
                <w:rFonts w:hint="eastAsia" w:ascii="宋体" w:hAnsi="Times New Roman" w:eastAsia="宋体" w:cs="Times New Roman"/>
                <w:b/>
                <w:bCs/>
                <w:kern w:val="0"/>
                <w:sz w:val="24"/>
                <w:szCs w:val="21"/>
                <w:lang w:val="en-GB" w:bidi="ar-AE"/>
              </w:rPr>
              <w:t>交银资本</w:t>
            </w:r>
            <w:r>
              <w:rPr>
                <w:rFonts w:hint="eastAsia" w:ascii="宋体" w:hAnsi="Times New Roman" w:eastAsia="宋体" w:cs="Times New Roman"/>
                <w:kern w:val="0"/>
                <w:sz w:val="24"/>
                <w:szCs w:val="21"/>
                <w:lang w:val="en-GB" w:bidi="ar-AE"/>
              </w:rPr>
              <w:t>”）以及</w:t>
            </w:r>
            <w:r>
              <w:rPr>
                <w:rFonts w:hint="eastAsia" w:ascii="宋体" w:hAnsi="宋体" w:eastAsia="宋体" w:cs="Times New Roman"/>
                <w:kern w:val="0"/>
                <w:sz w:val="24"/>
                <w:szCs w:val="21"/>
                <w:lang w:val="en-GB" w:bidi="ar-AE"/>
              </w:rPr>
              <w:t>重庆承运企业管理有限公司（“</w:t>
            </w:r>
            <w:r>
              <w:rPr>
                <w:rFonts w:hint="eastAsia" w:ascii="宋体" w:hAnsi="宋体" w:eastAsia="宋体" w:cs="Times New Roman"/>
                <w:b/>
                <w:bCs/>
                <w:kern w:val="0"/>
                <w:sz w:val="24"/>
                <w:szCs w:val="21"/>
                <w:lang w:val="en-GB" w:bidi="ar-AE"/>
              </w:rPr>
              <w:t>重庆承运企管</w:t>
            </w:r>
            <w:r>
              <w:rPr>
                <w:rFonts w:hint="eastAsia" w:ascii="宋体" w:hAnsi="宋体" w:eastAsia="宋体" w:cs="Times New Roman"/>
                <w:kern w:val="0"/>
                <w:sz w:val="24"/>
                <w:szCs w:val="21"/>
                <w:lang w:val="en-GB" w:bidi="ar-AE"/>
              </w:rPr>
              <w:t>”）</w:t>
            </w:r>
            <w:r>
              <w:rPr>
                <w:rFonts w:hint="eastAsia" w:ascii="宋体" w:hAnsi="Times New Roman" w:eastAsia="宋体" w:cs="Times New Roman"/>
                <w:kern w:val="0"/>
                <w:sz w:val="24"/>
                <w:szCs w:val="21"/>
                <w:lang w:val="en-GB" w:bidi="ar-AE"/>
              </w:rPr>
              <w:t>等其他四方主体签署协议，拟共同出资设立合营企业。合营企业主要在中国境内从事</w:t>
            </w:r>
            <w:r>
              <w:rPr>
                <w:rFonts w:hint="eastAsia" w:ascii="宋体" w:hAnsi="宋体" w:eastAsia="宋体" w:cs="Times New Roman"/>
                <w:kern w:val="0"/>
                <w:sz w:val="24"/>
                <w:szCs w:val="21"/>
                <w:lang w:val="en-GB" w:bidi="ar-AE"/>
              </w:rPr>
              <w:t>私募股权投资基金业务。</w:t>
            </w:r>
          </w:p>
          <w:p>
            <w:pPr>
              <w:widowControl/>
              <w:adjustRightInd w:val="0"/>
              <w:snapToGrid w:val="0"/>
              <w:rPr>
                <w:rFonts w:ascii="宋体" w:hAnsi="Times New Roman" w:eastAsia="宋体" w:cs="宋体"/>
                <w:kern w:val="0"/>
                <w:sz w:val="24"/>
                <w:szCs w:val="24"/>
                <w:lang w:val="en-GB" w:bidi="ar-AE"/>
              </w:rPr>
            </w:pPr>
            <w:r>
              <w:rPr>
                <w:rFonts w:hint="eastAsia" w:ascii="宋体" w:hAnsi="宋体" w:eastAsia="宋体" w:cs="Times New Roman"/>
                <w:kern w:val="0"/>
                <w:sz w:val="24"/>
                <w:szCs w:val="21"/>
                <w:lang w:val="en-GB" w:bidi="ar-AE"/>
              </w:rPr>
              <w:t>本次</w:t>
            </w:r>
            <w:r>
              <w:rPr>
                <w:rFonts w:hint="eastAsia" w:ascii="宋体" w:hAnsi="Times New Roman" w:eastAsia="宋体" w:cs="Times New Roman"/>
                <w:kern w:val="0"/>
                <w:sz w:val="24"/>
                <w:szCs w:val="21"/>
                <w:lang w:val="en-GB" w:bidi="ar-AE"/>
              </w:rPr>
              <w:t>交易后，交银资本以及重庆承运企管均作为合营企业的普通合伙人，分别持有合营企业认缴出资总额的0.1%，产投母基金为合营企业的有限合伙人，持有合营企业认缴出资总额的27%，与交银资本和重庆承运企管共同控制投资决策委员会以决定合营企业的投资事项，产投母基金、重庆承运企管和交银资本共同控制合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参与集中的经营者简介（每个限100字以内）</w:t>
            </w:r>
          </w:p>
        </w:tc>
        <w:tc>
          <w:tcPr>
            <w:tcW w:w="1746" w:type="dxa"/>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1.产投母基金</w:t>
            </w:r>
          </w:p>
        </w:tc>
        <w:tc>
          <w:tcPr>
            <w:tcW w:w="5954" w:type="dxa"/>
            <w:vAlign w:val="center"/>
          </w:tcPr>
          <w:p>
            <w:pPr>
              <w:widowControl/>
              <w:adjustRightInd w:val="0"/>
              <w:snapToGrid w:val="0"/>
              <w:rPr>
                <w:rFonts w:ascii="宋体" w:hAnsi="Times New Roman" w:eastAsia="宋体" w:cs="Times New Roman"/>
                <w:kern w:val="0"/>
                <w:sz w:val="24"/>
                <w:szCs w:val="24"/>
                <w:lang w:val="en-GB" w:bidi="ar-AE"/>
              </w:rPr>
            </w:pPr>
            <w:r>
              <w:rPr>
                <w:rFonts w:hint="eastAsia" w:ascii="宋体" w:hAnsi="宋体" w:eastAsia="宋体" w:cs="Times New Roman"/>
                <w:kern w:val="0"/>
                <w:sz w:val="24"/>
                <w:szCs w:val="24"/>
                <w:lang w:val="en-GB" w:bidi="ar-AE"/>
              </w:rPr>
              <w:t>产投母基金于2022</w:t>
            </w:r>
            <w:r>
              <w:rPr>
                <w:rFonts w:ascii="宋体" w:hAnsi="宋体" w:eastAsia="宋体" w:cs="Times New Roman"/>
                <w:kern w:val="0"/>
                <w:sz w:val="24"/>
                <w:szCs w:val="24"/>
                <w:lang w:val="en-GB" w:bidi="ar-AE"/>
              </w:rPr>
              <w:t>年</w:t>
            </w:r>
            <w:r>
              <w:rPr>
                <w:rFonts w:hint="eastAsia" w:ascii="宋体" w:hAnsi="宋体" w:eastAsia="宋体" w:cs="Times New Roman"/>
                <w:kern w:val="0"/>
                <w:sz w:val="24"/>
                <w:szCs w:val="24"/>
                <w:lang w:val="en-GB" w:bidi="ar-AE"/>
              </w:rPr>
              <w:t>8</w:t>
            </w:r>
            <w:r>
              <w:rPr>
                <w:rFonts w:ascii="宋体" w:hAnsi="宋体" w:eastAsia="宋体" w:cs="Times New Roman"/>
                <w:kern w:val="0"/>
                <w:sz w:val="24"/>
                <w:szCs w:val="24"/>
                <w:lang w:val="en-GB" w:bidi="ar-AE"/>
              </w:rPr>
              <w:t>月</w:t>
            </w:r>
            <w:r>
              <w:rPr>
                <w:rFonts w:hint="eastAsia" w:ascii="宋体" w:hAnsi="宋体" w:eastAsia="宋体" w:cs="Times New Roman"/>
                <w:kern w:val="0"/>
                <w:sz w:val="24"/>
                <w:szCs w:val="24"/>
                <w:lang w:val="en-GB" w:bidi="ar-AE"/>
              </w:rPr>
              <w:t>18</w:t>
            </w:r>
            <w:r>
              <w:rPr>
                <w:rFonts w:ascii="宋体" w:hAnsi="宋体" w:eastAsia="宋体" w:cs="Times New Roman"/>
                <w:kern w:val="0"/>
                <w:sz w:val="24"/>
                <w:szCs w:val="24"/>
                <w:lang w:val="en-GB" w:bidi="ar-AE"/>
              </w:rPr>
              <w:t>日</w:t>
            </w:r>
            <w:r>
              <w:rPr>
                <w:rFonts w:hint="eastAsia" w:ascii="宋体" w:hAnsi="宋体" w:eastAsia="宋体" w:cs="Times New Roman"/>
                <w:kern w:val="0"/>
                <w:sz w:val="24"/>
                <w:szCs w:val="24"/>
                <w:lang w:val="en-GB" w:bidi="ar-AE"/>
              </w:rPr>
              <w:t>成立于重庆市，主要在中国境内从事</w:t>
            </w:r>
            <w:r>
              <w:rPr>
                <w:rFonts w:hint="eastAsia" w:ascii="宋体" w:hAnsi="Times New Roman" w:eastAsia="宋体" w:cs="Times New Roman"/>
                <w:kern w:val="0"/>
                <w:sz w:val="24"/>
                <w:szCs w:val="24"/>
                <w:lang w:val="en-GB" w:bidi="ar-AE"/>
              </w:rPr>
              <w:t>私募股权投资基金业务。</w:t>
            </w:r>
          </w:p>
          <w:p>
            <w:pPr>
              <w:widowControl/>
              <w:adjustRightInd w:val="0"/>
              <w:snapToGrid w:val="0"/>
              <w:rPr>
                <w:rFonts w:hint="eastAsia" w:ascii="宋体" w:hAnsi="宋体" w:eastAsia="宋体" w:cs="Times New Roman"/>
                <w:kern w:val="0"/>
                <w:sz w:val="24"/>
                <w:szCs w:val="24"/>
                <w:lang w:val="en-GB" w:bidi="ar-AE"/>
              </w:rPr>
            </w:pPr>
          </w:p>
          <w:p>
            <w:pPr>
              <w:keepNext w:val="0"/>
              <w:keepLines w:val="0"/>
              <w:pageBreakBefore w:val="0"/>
              <w:widowControl/>
              <w:kinsoku/>
              <w:wordWrap/>
              <w:overflowPunct/>
              <w:topLinePunct w:val="0"/>
              <w:autoSpaceDE/>
              <w:autoSpaceDN/>
              <w:bidi w:val="0"/>
              <w:adjustRightInd w:val="0"/>
              <w:snapToGrid w:val="0"/>
              <w:textAlignment w:val="auto"/>
              <w:rPr>
                <w:rFonts w:ascii="宋体" w:hAnsi="Times New Roman" w:eastAsia="宋体" w:cs="Times New Roman"/>
                <w:kern w:val="0"/>
                <w:sz w:val="24"/>
                <w:szCs w:val="24"/>
                <w:lang w:val="en-GB" w:bidi="ar-AE"/>
              </w:rPr>
            </w:pPr>
            <w:r>
              <w:rPr>
                <w:rFonts w:hint="eastAsia" w:ascii="宋体" w:hAnsi="Times New Roman" w:eastAsia="宋体" w:cs="Times New Roman"/>
                <w:kern w:val="0"/>
                <w:sz w:val="24"/>
                <w:szCs w:val="21"/>
                <w:lang w:val="en-GB" w:bidi="ar-AE"/>
              </w:rPr>
              <w:t>产投母基金最终控制人为重庆渝富控股集团有限公司，主要业务为先进制造业领域和战略性新兴产业领域投资运营、金融及其他有投资价值领域投资运营。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continue"/>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p>
        </w:tc>
        <w:tc>
          <w:tcPr>
            <w:tcW w:w="1746" w:type="dxa"/>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2.交银资本</w:t>
            </w:r>
          </w:p>
        </w:tc>
        <w:tc>
          <w:tcPr>
            <w:tcW w:w="5954" w:type="dxa"/>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Times New Roman" w:eastAsia="宋体" w:cs="Times New Roman"/>
                <w:kern w:val="0"/>
                <w:sz w:val="24"/>
                <w:szCs w:val="21"/>
                <w:lang w:val="en-GB" w:bidi="ar-AE"/>
              </w:rPr>
            </w:pPr>
            <w:r>
              <w:rPr>
                <w:rFonts w:hint="eastAsia" w:ascii="宋体" w:hAnsi="Times New Roman" w:eastAsia="宋体" w:cs="Times New Roman"/>
                <w:kern w:val="0"/>
                <w:sz w:val="24"/>
                <w:szCs w:val="21"/>
                <w:lang w:val="en-GB" w:bidi="ar-AE"/>
              </w:rPr>
              <w:t>交银资本于2018年12月29日成立于中国上海市，主要在中国境内从事私募股权投资基金管理以及创业投资基金管理服务。</w:t>
            </w: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Times New Roman" w:eastAsia="宋体" w:cs="Times New Roman"/>
                <w:kern w:val="0"/>
                <w:sz w:val="24"/>
                <w:szCs w:val="21"/>
                <w:lang w:val="en-GB" w:bidi="ar-AE"/>
              </w:rPr>
            </w:pPr>
          </w:p>
          <w:p>
            <w:pPr>
              <w:widowControl/>
              <w:adjustRightInd w:val="0"/>
              <w:snapToGrid w:val="0"/>
              <w:rPr>
                <w:rFonts w:ascii="宋体" w:hAnsi="Times New Roman" w:eastAsia="宋体" w:cs="宋体"/>
                <w:bCs/>
                <w:color w:val="000000"/>
                <w:kern w:val="0"/>
                <w:sz w:val="24"/>
                <w:szCs w:val="24"/>
                <w:highlight w:val="yellow"/>
                <w:lang w:val="en-GB" w:bidi="ar-AE"/>
              </w:rPr>
            </w:pPr>
            <w:r>
              <w:rPr>
                <w:rFonts w:hint="eastAsia" w:ascii="宋体" w:hAnsi="Times New Roman" w:eastAsia="宋体" w:cs="Simplified Arabic"/>
                <w:kern w:val="0"/>
                <w:sz w:val="24"/>
                <w:szCs w:val="24"/>
                <w:lang w:val="en-GB" w:bidi="ar-AE"/>
              </w:rPr>
              <w:t>交银资本最终控制人为交通银行股份有限公司，主要业务为公司金融业务、个人金融业务、资金业务等。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p>
        </w:tc>
        <w:tc>
          <w:tcPr>
            <w:tcW w:w="1746" w:type="dxa"/>
            <w:vAlign w:val="center"/>
          </w:tcPr>
          <w:p>
            <w:pPr>
              <w:widowControl/>
              <w:adjustRightInd w:val="0"/>
              <w:snapToGrid w:val="0"/>
              <w:rPr>
                <w:rFonts w:ascii="宋体" w:hAnsi="Times New Roman" w:eastAsia="宋体" w:cs="宋体"/>
                <w:bCs/>
                <w:color w:val="000000"/>
                <w:kern w:val="0"/>
                <w:sz w:val="24"/>
                <w:szCs w:val="24"/>
                <w:highlight w:val="yellow"/>
                <w:lang w:val="en-GB" w:bidi="ar-AE"/>
              </w:rPr>
            </w:pPr>
            <w:r>
              <w:rPr>
                <w:rFonts w:hint="eastAsia" w:ascii="宋体" w:hAnsi="Times New Roman" w:eastAsia="宋体" w:cs="宋体"/>
                <w:bCs/>
                <w:color w:val="000000"/>
                <w:kern w:val="0"/>
                <w:sz w:val="24"/>
                <w:szCs w:val="24"/>
                <w:lang w:val="en-GB" w:bidi="ar-AE"/>
              </w:rPr>
              <w:t>3.重庆承运企管</w:t>
            </w:r>
          </w:p>
        </w:tc>
        <w:tc>
          <w:tcPr>
            <w:tcW w:w="5954" w:type="dxa"/>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重庆承运企管</w:t>
            </w:r>
            <w:r>
              <w:rPr>
                <w:rFonts w:ascii="宋体" w:hAnsi="Times New Roman" w:eastAsia="宋体" w:cs="宋体"/>
                <w:bCs/>
                <w:color w:val="000000"/>
                <w:kern w:val="0"/>
                <w:sz w:val="24"/>
                <w:szCs w:val="24"/>
                <w:lang w:val="en-GB" w:bidi="ar-AE"/>
              </w:rPr>
              <w:t>于</w:t>
            </w:r>
            <w:r>
              <w:rPr>
                <w:rFonts w:hint="eastAsia" w:ascii="宋体" w:hAnsi="Times New Roman" w:eastAsia="宋体" w:cs="宋体"/>
                <w:bCs/>
                <w:color w:val="000000"/>
                <w:kern w:val="0"/>
                <w:sz w:val="24"/>
                <w:szCs w:val="24"/>
                <w:lang w:val="en-GB" w:bidi="ar-AE"/>
              </w:rPr>
              <w:t>2016年3月31日</w:t>
            </w:r>
            <w:r>
              <w:rPr>
                <w:rFonts w:ascii="宋体" w:hAnsi="Times New Roman" w:eastAsia="宋体" w:cs="宋体"/>
                <w:bCs/>
                <w:color w:val="000000"/>
                <w:kern w:val="0"/>
                <w:sz w:val="24"/>
                <w:szCs w:val="24"/>
                <w:lang w:val="en-GB" w:bidi="ar-AE"/>
              </w:rPr>
              <w:t>成立于</w:t>
            </w:r>
            <w:r>
              <w:rPr>
                <w:rFonts w:hint="eastAsia" w:ascii="宋体" w:hAnsi="Times New Roman" w:eastAsia="宋体" w:cs="宋体"/>
                <w:bCs/>
                <w:color w:val="000000"/>
                <w:kern w:val="0"/>
                <w:sz w:val="24"/>
                <w:szCs w:val="24"/>
                <w:lang w:val="en-GB" w:bidi="ar-AE"/>
              </w:rPr>
              <w:t>重庆市</w:t>
            </w:r>
            <w:r>
              <w:rPr>
                <w:rFonts w:ascii="宋体" w:hAnsi="Times New Roman" w:eastAsia="宋体" w:cs="宋体"/>
                <w:bCs/>
                <w:color w:val="000000"/>
                <w:kern w:val="0"/>
                <w:sz w:val="24"/>
                <w:szCs w:val="24"/>
                <w:lang w:val="en-GB" w:bidi="ar-AE"/>
              </w:rPr>
              <w:t>，</w:t>
            </w:r>
            <w:r>
              <w:rPr>
                <w:rFonts w:hint="eastAsia" w:ascii="宋体" w:hAnsi="Times New Roman" w:eastAsia="宋体" w:cs="宋体"/>
                <w:bCs/>
                <w:color w:val="000000"/>
                <w:kern w:val="0"/>
                <w:sz w:val="24"/>
                <w:szCs w:val="24"/>
                <w:lang w:val="en-GB" w:bidi="ar-AE"/>
              </w:rPr>
              <w:t>主要在中国境内从事</w:t>
            </w:r>
            <w:r>
              <w:rPr>
                <w:rFonts w:hint="eastAsia" w:ascii="宋体" w:hAnsi="Times New Roman" w:eastAsia="宋体" w:cs="Times New Roman"/>
                <w:kern w:val="0"/>
                <w:sz w:val="24"/>
                <w:szCs w:val="24"/>
                <w:lang w:val="en-GB" w:bidi="ar-AE"/>
              </w:rPr>
              <w:t>企业管理咨询业务</w:t>
            </w:r>
            <w:r>
              <w:rPr>
                <w:rFonts w:hint="eastAsia" w:ascii="宋体" w:hAnsi="Times New Roman" w:eastAsia="宋体" w:cs="宋体"/>
                <w:bCs/>
                <w:color w:val="000000"/>
                <w:kern w:val="0"/>
                <w:sz w:val="24"/>
                <w:szCs w:val="24"/>
                <w:lang w:val="en-GB" w:bidi="ar-AE"/>
              </w:rPr>
              <w:t>。</w:t>
            </w:r>
          </w:p>
          <w:p>
            <w:pPr>
              <w:widowControl/>
              <w:adjustRightInd w:val="0"/>
              <w:snapToGrid w:val="0"/>
              <w:rPr>
                <w:rFonts w:ascii="宋体" w:hAnsi="Times New Roman" w:eastAsia="宋体" w:cs="宋体"/>
                <w:bCs/>
                <w:color w:val="000000"/>
                <w:kern w:val="0"/>
                <w:sz w:val="24"/>
                <w:szCs w:val="24"/>
                <w:lang w:val="en-GB" w:bidi="ar-AE"/>
              </w:rPr>
            </w:pPr>
          </w:p>
          <w:p>
            <w:pPr>
              <w:widowControl/>
              <w:adjustRightInd w:val="0"/>
              <w:snapToGrid w:val="0"/>
              <w:rPr>
                <w:rFonts w:ascii="宋体" w:hAnsi="Times New Roman" w:eastAsia="宋体" w:cs="宋体"/>
                <w:bCs/>
                <w:color w:val="000000"/>
                <w:kern w:val="0"/>
                <w:sz w:val="24"/>
                <w:szCs w:val="24"/>
                <w:highlight w:val="yellow"/>
                <w:lang w:val="en-GB" w:bidi="ar-AE"/>
              </w:rPr>
            </w:pPr>
            <w:r>
              <w:rPr>
                <w:rFonts w:hint="eastAsia" w:ascii="宋体" w:hAnsi="宋体" w:eastAsia="宋体" w:cs="Times New Roman"/>
                <w:kern w:val="0"/>
                <w:sz w:val="24"/>
                <w:szCs w:val="24"/>
                <w:lang w:val="en-GB" w:bidi="ar-AE"/>
              </w:rPr>
              <w:t>重庆承运企管最终控制人为</w:t>
            </w:r>
            <w:bookmarkStart w:id="0" w:name="OLE_LINK3"/>
            <w:r>
              <w:rPr>
                <w:rFonts w:hint="eastAsia" w:ascii="宋体" w:hAnsi="宋体" w:eastAsia="宋体" w:cs="Times New Roman"/>
                <w:kern w:val="0"/>
                <w:sz w:val="24"/>
                <w:szCs w:val="24"/>
                <w:lang w:val="en-GB" w:bidi="ar-AE"/>
              </w:rPr>
              <w:t>重庆两江新区产业发展集团有限公司</w:t>
            </w:r>
            <w:bookmarkEnd w:id="0"/>
            <w:r>
              <w:rPr>
                <w:rFonts w:hint="eastAsia" w:ascii="宋体" w:hAnsi="宋体" w:eastAsia="宋体" w:cs="Times New Roman"/>
                <w:kern w:val="0"/>
                <w:sz w:val="24"/>
                <w:szCs w:val="24"/>
                <w:lang w:val="en-GB" w:bidi="ar-AE"/>
              </w:rPr>
              <w:t>，业务涵盖战略性新兴制造业及战略性新兴服务业投资、股权投资及管理、资产管理、产业投资运营；重要基础设施和重大项目建设及管理、房地产开发；交通运输设备制造等。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简易案件理由（可以单选，也可以多选）</w:t>
            </w:r>
          </w:p>
        </w:tc>
        <w:tc>
          <w:tcPr>
            <w:tcW w:w="7700" w:type="dxa"/>
            <w:gridSpan w:val="2"/>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sym w:font="Wingdings" w:char="00FE"/>
            </w:r>
            <w:r>
              <w:rPr>
                <w:rFonts w:hint="eastAsia" w:ascii="宋体" w:hAnsi="Times New Roman" w:eastAsia="宋体" w:cs="宋体"/>
                <w:bCs/>
                <w:color w:val="000000"/>
                <w:kern w:val="0"/>
                <w:sz w:val="24"/>
                <w:szCs w:val="24"/>
                <w:lang w:val="en-GB" w:bidi="ar-AE"/>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p>
        </w:tc>
        <w:tc>
          <w:tcPr>
            <w:tcW w:w="7700" w:type="dxa"/>
            <w:gridSpan w:val="2"/>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sym w:font="Wingdings" w:char="00A8"/>
            </w:r>
            <w:r>
              <w:rPr>
                <w:rFonts w:hint="eastAsia" w:ascii="宋体" w:hAnsi="Times New Roman" w:eastAsia="宋体" w:cs="宋体"/>
                <w:bCs/>
                <w:color w:val="000000"/>
                <w:kern w:val="0"/>
                <w:sz w:val="24"/>
                <w:szCs w:val="24"/>
                <w:lang w:val="en-GB" w:bidi="ar-AE"/>
              </w:rPr>
              <w:t xml:space="preserve"> 2.</w:t>
            </w:r>
            <w:r>
              <w:rPr>
                <w:rFonts w:ascii="宋体" w:hAnsi="Times New Roman" w:eastAsia="宋体" w:cs="宋体"/>
                <w:bCs/>
                <w:color w:val="000000"/>
                <w:kern w:val="0"/>
                <w:sz w:val="24"/>
                <w:szCs w:val="24"/>
                <w:lang w:val="en-GB" w:bidi="ar-AE"/>
              </w:rPr>
              <w:t>在上下游市场，参与集中的经营者所占的市场份额均小于25%</w:t>
            </w:r>
            <w:r>
              <w:rPr>
                <w:rFonts w:hint="eastAsia" w:ascii="宋体" w:hAnsi="Times New Roman" w:eastAsia="宋体" w:cs="宋体"/>
                <w:bCs/>
                <w:color w:val="000000"/>
                <w:kern w:val="0"/>
                <w:sz w:val="24"/>
                <w:szCs w:val="24"/>
                <w:lang w:val="en-GB" w:bidi="ar-A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p>
        </w:tc>
        <w:tc>
          <w:tcPr>
            <w:tcW w:w="7700" w:type="dxa"/>
            <w:gridSpan w:val="2"/>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sym w:font="Wingdings" w:char="00A8"/>
            </w:r>
            <w:r>
              <w:rPr>
                <w:rFonts w:hint="eastAsia" w:ascii="宋体" w:hAnsi="Times New Roman" w:eastAsia="宋体" w:cs="宋体"/>
                <w:bCs/>
                <w:color w:val="000000"/>
                <w:kern w:val="0"/>
                <w:sz w:val="24"/>
                <w:szCs w:val="24"/>
                <w:lang w:val="en-GB" w:bidi="ar-AE"/>
              </w:rPr>
              <w:t xml:space="preserve"> 3.</w:t>
            </w:r>
            <w:r>
              <w:rPr>
                <w:rFonts w:ascii="宋体" w:hAnsi="Times New Roman" w:eastAsia="宋体" w:cs="宋体"/>
                <w:bCs/>
                <w:color w:val="000000"/>
                <w:kern w:val="0"/>
                <w:sz w:val="24"/>
                <w:szCs w:val="24"/>
                <w:lang w:val="en-GB" w:bidi="ar-AE"/>
              </w:rPr>
              <w:t>不在同一相关市场也不存在上下游关系的参与集中的经营者，在与交易有关的每个市场所占的市场份额均小于25%。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p>
        </w:tc>
        <w:tc>
          <w:tcPr>
            <w:tcW w:w="7700" w:type="dxa"/>
            <w:gridSpan w:val="2"/>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sym w:font="Wingdings" w:char="00A8"/>
            </w:r>
            <w:r>
              <w:rPr>
                <w:rFonts w:hint="eastAsia" w:ascii="宋体" w:hAnsi="Times New Roman" w:eastAsia="宋体" w:cs="宋体"/>
                <w:bCs/>
                <w:color w:val="000000"/>
                <w:kern w:val="0"/>
                <w:sz w:val="24"/>
                <w:szCs w:val="24"/>
                <w:lang w:val="en-GB" w:bidi="ar-AE"/>
              </w:rPr>
              <w:t xml:space="preserve"> </w:t>
            </w:r>
            <w:r>
              <w:rPr>
                <w:rFonts w:ascii="宋体" w:hAnsi="Times New Roman" w:eastAsia="宋体" w:cs="宋体"/>
                <w:bCs/>
                <w:color w:val="000000"/>
                <w:kern w:val="0"/>
                <w:sz w:val="24"/>
                <w:szCs w:val="24"/>
                <w:lang w:val="en-GB" w:bidi="ar-AE"/>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p>
        </w:tc>
        <w:tc>
          <w:tcPr>
            <w:tcW w:w="7700" w:type="dxa"/>
            <w:gridSpan w:val="2"/>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sym w:font="Wingdings" w:char="00A8"/>
            </w:r>
            <w:r>
              <w:rPr>
                <w:rFonts w:hint="eastAsia" w:ascii="宋体" w:hAnsi="Times New Roman" w:eastAsia="宋体" w:cs="宋体"/>
                <w:bCs/>
                <w:color w:val="000000"/>
                <w:kern w:val="0"/>
                <w:sz w:val="24"/>
                <w:szCs w:val="24"/>
                <w:lang w:val="en-GB" w:bidi="ar-AE"/>
              </w:rPr>
              <w:t xml:space="preserve"> </w:t>
            </w:r>
            <w:r>
              <w:rPr>
                <w:rFonts w:ascii="宋体" w:hAnsi="Times New Roman" w:eastAsia="宋体" w:cs="宋体"/>
                <w:bCs/>
                <w:color w:val="000000"/>
                <w:kern w:val="0"/>
                <w:sz w:val="24"/>
                <w:szCs w:val="24"/>
                <w:lang w:val="en-GB" w:bidi="ar-AE"/>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p>
        </w:tc>
        <w:tc>
          <w:tcPr>
            <w:tcW w:w="7700" w:type="dxa"/>
            <w:gridSpan w:val="2"/>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sym w:font="Wingdings" w:char="00A8"/>
            </w:r>
            <w:r>
              <w:rPr>
                <w:rFonts w:hint="eastAsia" w:ascii="宋体" w:hAnsi="Times New Roman" w:eastAsia="宋体" w:cs="宋体"/>
                <w:bCs/>
                <w:color w:val="000000"/>
                <w:kern w:val="0"/>
                <w:sz w:val="24"/>
                <w:szCs w:val="24"/>
                <w:lang w:val="en-GB" w:bidi="ar-AE"/>
              </w:rPr>
              <w:t xml:space="preserve"> </w:t>
            </w:r>
            <w:r>
              <w:rPr>
                <w:rFonts w:ascii="宋体" w:hAnsi="Times New Roman" w:eastAsia="宋体" w:cs="宋体"/>
                <w:bCs/>
                <w:color w:val="000000"/>
                <w:kern w:val="0"/>
                <w:sz w:val="24"/>
                <w:szCs w:val="24"/>
                <w:lang w:val="en-GB" w:bidi="ar-AE"/>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40" w:type="dxa"/>
            <w:shd w:val="clear" w:color="auto" w:fill="D9D9D9"/>
            <w:vAlign w:val="center"/>
          </w:tcPr>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备注</w:t>
            </w:r>
          </w:p>
        </w:tc>
        <w:tc>
          <w:tcPr>
            <w:tcW w:w="7700" w:type="dxa"/>
            <w:gridSpan w:val="2"/>
            <w:vAlign w:val="center"/>
          </w:tcPr>
          <w:p>
            <w:pPr>
              <w:widowControl/>
              <w:adjustRightInd w:val="0"/>
              <w:snapToGrid w:val="0"/>
              <w:rPr>
                <w:rFonts w:ascii="宋体" w:hAnsi="Times New Roman" w:eastAsia="宋体" w:cs="宋体"/>
                <w:b/>
                <w:color w:val="000000"/>
                <w:kern w:val="0"/>
                <w:sz w:val="24"/>
                <w:szCs w:val="24"/>
                <w:lang w:val="en-GB" w:bidi="ar-AE"/>
              </w:rPr>
            </w:pPr>
            <w:r>
              <w:rPr>
                <w:rFonts w:hint="eastAsia" w:ascii="宋体" w:hAnsi="Times New Roman" w:eastAsia="宋体" w:cs="宋体"/>
                <w:b/>
                <w:color w:val="000000"/>
                <w:kern w:val="0"/>
                <w:sz w:val="24"/>
                <w:szCs w:val="24"/>
                <w:lang w:val="en-GB" w:bidi="ar-AE"/>
              </w:rPr>
              <w:t>横向重叠：</w:t>
            </w:r>
          </w:p>
          <w:p>
            <w:pPr>
              <w:widowControl/>
              <w:adjustRightInd w:val="0"/>
              <w:snapToGrid w:val="0"/>
              <w:rPr>
                <w:rFonts w:ascii="宋体" w:hAnsi="Times New Roman" w:eastAsia="宋体" w:cs="宋体"/>
                <w:b/>
                <w:color w:val="000000"/>
                <w:kern w:val="0"/>
                <w:sz w:val="24"/>
                <w:szCs w:val="24"/>
                <w:lang w:val="en-GB" w:bidi="ar-AE"/>
              </w:rPr>
            </w:pPr>
          </w:p>
          <w:p>
            <w:pPr>
              <w:widowControl/>
              <w:adjustRightInd w:val="0"/>
              <w:snapToGrid w:val="0"/>
              <w:rPr>
                <w:rFonts w:hint="eastAsia"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中国境内私募股权投资基金市场</w:t>
            </w:r>
          </w:p>
          <w:p>
            <w:pPr>
              <w:widowControl/>
              <w:adjustRightInd w:val="0"/>
              <w:snapToGrid w:val="0"/>
              <w:rPr>
                <w:rFonts w:hint="eastAsia" w:ascii="宋体" w:hAnsi="Times New Roman" w:eastAsia="宋体" w:cs="宋体"/>
                <w:bCs/>
                <w:color w:val="000000"/>
                <w:kern w:val="0"/>
                <w:sz w:val="24"/>
                <w:szCs w:val="24"/>
                <w:lang w:val="en-GB" w:bidi="ar-AE"/>
              </w:rPr>
            </w:pPr>
            <w:bookmarkStart w:id="1" w:name="_GoBack"/>
            <w:bookmarkEnd w:id="1"/>
          </w:p>
          <w:p>
            <w:pPr>
              <w:widowControl/>
              <w:adjustRightInd w:val="0"/>
              <w:snapToGrid w:val="0"/>
              <w:rPr>
                <w:rFonts w:ascii="宋体" w:hAnsi="Times New Roman" w:eastAsia="宋体" w:cs="宋体"/>
                <w:bCs/>
                <w:color w:val="000000"/>
                <w:kern w:val="0"/>
                <w:sz w:val="24"/>
                <w:szCs w:val="24"/>
                <w:lang w:val="en-GB" w:bidi="ar-AE"/>
              </w:rPr>
            </w:pPr>
            <w:r>
              <w:rPr>
                <w:rFonts w:hint="eastAsia" w:ascii="宋体" w:hAnsi="Times New Roman" w:eastAsia="宋体" w:cs="宋体"/>
                <w:bCs/>
                <w:color w:val="000000"/>
                <w:kern w:val="0"/>
                <w:sz w:val="24"/>
                <w:szCs w:val="24"/>
                <w:lang w:val="en-GB" w:bidi="ar-AE"/>
              </w:rPr>
              <w:t>产投母基金：0-5%；交银资本：0-5%；重庆承运企管：0-5%；各方合计：0-5%</w:t>
            </w:r>
          </w:p>
        </w:tc>
      </w:tr>
    </w:tbl>
    <w:p>
      <w:pPr>
        <w:pStyle w:val="30"/>
        <w:ind w:left="360"/>
        <w:rPr>
          <w:rFonts w:ascii="Times New Roman" w:hAnsi="Times New Roman" w:eastAsia="仿宋"/>
          <w:b/>
          <w:bCs/>
          <w:sz w:val="24"/>
          <w:szCs w:val="24"/>
          <w:lang w:val="en-GB"/>
        </w:rPr>
      </w:pPr>
    </w:p>
    <w:p>
      <w:pPr>
        <w:rPr>
          <w:rFonts w:hint="eastAsia"/>
          <w:lang w:val="en-G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Simplified Arabic">
    <w:altName w:val="Times New Roman"/>
    <w:panose1 w:val="00000000000000000000"/>
    <w:charset w:val="B2"/>
    <w:family w:val="roman"/>
    <w:pitch w:val="default"/>
    <w:sig w:usb0="00000000" w:usb1="00000000" w:usb2="00000008" w:usb3="00000000" w:csb0="00000041" w:csb1="00000000"/>
  </w:font>
  <w:font w:name="仿宋">
    <w:altName w:val="方正仿宋_GBK"/>
    <w:panose1 w:val="02010609060101010101"/>
    <w:charset w:val="86"/>
    <w:family w:val="modern"/>
    <w:pitch w:val="default"/>
    <w:sig w:usb0="00000000" w:usb1="00000000" w:usb2="00000016" w:usb3="00000000" w:csb0="00040001"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Light">
    <w:altName w:val="Quicksand Light"/>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9D"/>
    <w:rsid w:val="0015236F"/>
    <w:rsid w:val="005065AE"/>
    <w:rsid w:val="005B03C0"/>
    <w:rsid w:val="00746B9D"/>
    <w:rsid w:val="009E5113"/>
    <w:rsid w:val="00E569BB"/>
    <w:rsid w:val="7F2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958</Characters>
  <Lines>7</Lines>
  <Paragraphs>2</Paragraphs>
  <TotalTime>2</TotalTime>
  <ScaleCrop>false</ScaleCrop>
  <LinksUpToDate>false</LinksUpToDate>
  <CharactersWithSpaces>1123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2025-01-26T10:00:00Z</dcterms:created>
  <dc:creator>scjgj</dc:creator>
  <cp:lastModifiedBy>scjgj</cp:lastModifiedBy>
  <dcterms:modified xsi:type="dcterms:W3CDTF">2025-01-26T14:58:32Z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