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A7B51">
      <w:pPr>
        <w:autoSpaceDE w:val="0"/>
        <w:autoSpaceDN w:val="0"/>
        <w:spacing w:after="0" w:line="240" w:lineRule="auto"/>
        <w:ind w:left="576" w:right="720"/>
        <w:jc w:val="center"/>
        <w:rPr>
          <w:rFonts w:ascii="黑体" w:hAnsi="黑体" w:eastAsia="黑体"/>
          <w:color w:val="000000"/>
          <w:sz w:val="36"/>
          <w:lang w:eastAsia="zh-CN"/>
        </w:rPr>
      </w:pPr>
      <w:r>
        <w:rPr>
          <w:rFonts w:ascii="黑体" w:hAnsi="黑体" w:eastAsia="黑体"/>
          <w:color w:val="000000"/>
          <w:sz w:val="36"/>
          <w:lang w:eastAsia="zh-CN"/>
        </w:rPr>
        <w:t>经营者集中简易案件公示表</w:t>
      </w:r>
    </w:p>
    <w:p w14:paraId="49BA7B52">
      <w:pPr>
        <w:autoSpaceDE w:val="0"/>
        <w:autoSpaceDN w:val="0"/>
        <w:spacing w:after="0" w:line="240" w:lineRule="auto"/>
        <w:ind w:left="576" w:right="720"/>
        <w:jc w:val="center"/>
        <w:rPr>
          <w:lang w:eastAsia="zh-CN"/>
        </w:rPr>
      </w:pPr>
    </w:p>
    <w:tbl>
      <w:tblPr>
        <w:tblStyle w:val="3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736"/>
        <w:gridCol w:w="5964"/>
      </w:tblGrid>
      <w:tr w14:paraId="49BA7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9BA7B53">
            <w:pPr>
              <w:autoSpaceDE w:val="0"/>
              <w:autoSpaceDN w:val="0"/>
              <w:spacing w:after="0" w:line="240" w:lineRule="auto"/>
              <w:ind w:left="104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</w:rPr>
              <w:t>案件名称</w:t>
            </w:r>
          </w:p>
        </w:tc>
        <w:tc>
          <w:tcPr>
            <w:tcW w:w="77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54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Stellantis N.V.与天奇新动力（无锡）有限公司等经营者新设合营企业案</w:t>
            </w:r>
          </w:p>
        </w:tc>
      </w:tr>
      <w:tr w14:paraId="49BA7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exact"/>
        </w:trPr>
        <w:tc>
          <w:tcPr>
            <w:tcW w:w="1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9BA7B56">
            <w:pPr>
              <w:autoSpaceDE w:val="0"/>
              <w:autoSpaceDN w:val="0"/>
              <w:spacing w:after="0" w:line="240" w:lineRule="auto"/>
              <w:ind w:left="104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</w:rPr>
              <w:t>交易概况</w:t>
            </w:r>
          </w:p>
        </w:tc>
        <w:tc>
          <w:tcPr>
            <w:tcW w:w="77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57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Stellantis N.V.（“</w:t>
            </w:r>
            <w:r>
              <w:rPr>
                <w:rFonts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Stellantis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”）、无锡天奇投资控股有限公司（“</w:t>
            </w:r>
            <w:r>
              <w:rPr>
                <w:rFonts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天奇控股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”）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王鹏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和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天奇新动力（无锡）有限公司（“</w:t>
            </w:r>
            <w:r>
              <w:rPr>
                <w:rFonts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天奇新动力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”）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拟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于江苏省无锡市共同新设合营企业。合营企业将从事摩托车的生产和销售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，且生产的所有产品均将出口境外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。交易后，Stellantis、天奇控股、王鹏和天奇新动力分别持有合营企业49%、21%、20%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和10%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的股权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，并共同控制合营企业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。</w:t>
            </w:r>
          </w:p>
        </w:tc>
      </w:tr>
      <w:tr w14:paraId="49BA7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exact"/>
        </w:trPr>
        <w:tc>
          <w:tcPr>
            <w:tcW w:w="194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9BA7B59">
            <w:pPr>
              <w:autoSpaceDE w:val="0"/>
              <w:autoSpaceDN w:val="0"/>
              <w:spacing w:after="0" w:line="240" w:lineRule="auto"/>
              <w:ind w:left="104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参与集中的经营者简介</w:t>
            </w:r>
          </w:p>
        </w:tc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5A">
            <w:pPr>
              <w:autoSpaceDE w:val="0"/>
              <w:autoSpaceDN w:val="0"/>
              <w:spacing w:after="0" w:line="240" w:lineRule="auto"/>
              <w:ind w:left="118" w:right="136"/>
              <w:jc w:val="both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</w:rPr>
              <w:t>1.Stellantis N.V.</w:t>
            </w:r>
          </w:p>
        </w:tc>
        <w:tc>
          <w:tcPr>
            <w:tcW w:w="5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5B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Stellantis于2014年4月成立于荷兰，为巴黎泛欧交易所、米兰泛欧交易所和纽约证券交易所上市公司，业务涵盖车辆及零部件的设计、研发、制造、分销和销售。</w:t>
            </w:r>
          </w:p>
          <w:p w14:paraId="49BA7B5D">
            <w:pPr>
              <w:autoSpaceDE w:val="0"/>
              <w:autoSpaceDN w:val="0"/>
              <w:spacing w:after="0" w:line="240" w:lineRule="auto"/>
              <w:ind w:left="104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Stellantis无最终控制人。</w:t>
            </w:r>
          </w:p>
        </w:tc>
      </w:tr>
      <w:tr w14:paraId="49BA7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exact"/>
        </w:trPr>
        <w:tc>
          <w:tcPr>
            <w:tcW w:w="19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9BA7B5F">
            <w:pPr>
              <w:spacing w:after="0" w:line="240" w:lineRule="auto"/>
              <w:rPr>
                <w:rFonts w:ascii="宋体" w:hAnsi="宋体" w:eastAsia="宋体" w:cs="Times New Roman"/>
                <w:lang w:eastAsia="zh-CN"/>
              </w:rPr>
            </w:pPr>
          </w:p>
        </w:tc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0">
            <w:pPr>
              <w:autoSpaceDE w:val="0"/>
              <w:autoSpaceDN w:val="0"/>
              <w:spacing w:after="0" w:line="240" w:lineRule="auto"/>
              <w:ind w:left="118" w:right="136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2.无锡天奇投资控股有限公司</w:t>
            </w:r>
          </w:p>
        </w:tc>
        <w:tc>
          <w:tcPr>
            <w:tcW w:w="5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1">
            <w:pPr>
              <w:autoSpaceDE w:val="0"/>
              <w:autoSpaceDN w:val="0"/>
              <w:spacing w:after="0" w:line="240" w:lineRule="auto"/>
              <w:ind w:left="101" w:right="115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天奇控股于2013年11月18日成立于江苏省无锡市，主要利用自有资金从事投资活动、资产管理服务及创业投资。</w:t>
            </w:r>
          </w:p>
          <w:p w14:paraId="49BA7B63">
            <w:pPr>
              <w:autoSpaceDE w:val="0"/>
              <w:autoSpaceDN w:val="0"/>
              <w:spacing w:after="0" w:line="240" w:lineRule="auto"/>
              <w:ind w:left="101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天奇控股最终控制人为黄伟兴，主要业务为智能自动化系统工程、智能装备与机器人研发制造、锂电池回收循环利用等。</w:t>
            </w:r>
          </w:p>
        </w:tc>
      </w:tr>
      <w:tr w14:paraId="49BA7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19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9BA7B65">
            <w:pPr>
              <w:spacing w:after="0" w:line="240" w:lineRule="auto"/>
              <w:rPr>
                <w:rFonts w:ascii="宋体" w:hAnsi="宋体" w:eastAsia="宋体" w:cs="Times New Roman"/>
                <w:lang w:eastAsia="zh-CN"/>
              </w:rPr>
            </w:pPr>
          </w:p>
        </w:tc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6">
            <w:pPr>
              <w:autoSpaceDE w:val="0"/>
              <w:autoSpaceDN w:val="0"/>
              <w:spacing w:after="0" w:line="240" w:lineRule="auto"/>
              <w:ind w:left="118" w:right="136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3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.王鹏</w:t>
            </w:r>
          </w:p>
        </w:tc>
        <w:tc>
          <w:tcPr>
            <w:tcW w:w="5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7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王鹏为中国境内自然人，主要从事摩托车、脚踏自行车、助动自行车及配件的研发、制造、加工、销售、技术服务。</w:t>
            </w:r>
          </w:p>
        </w:tc>
      </w:tr>
      <w:tr w14:paraId="49BA7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exact"/>
        </w:trPr>
        <w:tc>
          <w:tcPr>
            <w:tcW w:w="19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9BA7B69">
            <w:pPr>
              <w:spacing w:after="0" w:line="240" w:lineRule="auto"/>
              <w:rPr>
                <w:rFonts w:ascii="宋体" w:hAnsi="宋体" w:eastAsia="宋体" w:cs="Times New Roman"/>
                <w:lang w:eastAsia="zh-CN"/>
              </w:rPr>
            </w:pPr>
          </w:p>
        </w:tc>
        <w:tc>
          <w:tcPr>
            <w:tcW w:w="17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A">
            <w:pPr>
              <w:autoSpaceDE w:val="0"/>
              <w:autoSpaceDN w:val="0"/>
              <w:spacing w:after="0" w:line="240" w:lineRule="auto"/>
              <w:ind w:left="118" w:right="136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>4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.天奇新动力（无锡）有限公司</w:t>
            </w:r>
          </w:p>
        </w:tc>
        <w:tc>
          <w:tcPr>
            <w:tcW w:w="59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6B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天奇新动力于2021年12月15日成立于江苏省无锡市，主要业务为新能源公交电池更新服务、户用及工商业储能一站式解决方案、轻型动力电池智能制造。</w:t>
            </w:r>
          </w:p>
          <w:p w14:paraId="49BA7B6D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天奇新动力最终控制人为黄伟兴，主要业务为智能自动化系统工程、智能装备与机器人研发制造、锂电池回收循环利用等。</w:t>
            </w:r>
          </w:p>
        </w:tc>
      </w:tr>
      <w:tr w14:paraId="49BA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365B489">
            <w:pPr>
              <w:autoSpaceDE w:val="0"/>
              <w:autoSpaceDN w:val="0"/>
              <w:spacing w:after="0" w:line="240" w:lineRule="auto"/>
              <w:ind w:left="104" w:right="104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</w:p>
          <w:p w14:paraId="0C3D1CE1">
            <w:pPr>
              <w:autoSpaceDE w:val="0"/>
              <w:autoSpaceDN w:val="0"/>
              <w:spacing w:after="0" w:line="240" w:lineRule="auto"/>
              <w:ind w:left="104" w:right="104"/>
              <w:jc w:val="both"/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</w:pPr>
          </w:p>
          <w:p w14:paraId="49BA7B73">
            <w:pPr>
              <w:autoSpaceDE w:val="0"/>
              <w:autoSpaceDN w:val="0"/>
              <w:spacing w:after="0" w:line="240" w:lineRule="auto"/>
              <w:ind w:right="104" w:firstLine="240" w:firstLineChars="100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简易案件理由</w:t>
            </w:r>
          </w:p>
        </w:tc>
        <w:tc>
          <w:tcPr>
            <w:tcW w:w="77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74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sym w:font="Wingdings" w:char="00A8"/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1.在同一相关市场，参与集中的经营者所占的市场份额之和小于15%。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lang w:eastAsia="zh-CN"/>
              </w:rPr>
              <w:t xml:space="preserve"> </w:t>
            </w:r>
          </w:p>
        </w:tc>
      </w:tr>
      <w:tr w14:paraId="49BA7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BA7B76">
            <w:pPr>
              <w:spacing w:after="0" w:line="240" w:lineRule="auto"/>
              <w:rPr>
                <w:rFonts w:ascii="宋体" w:hAnsi="宋体" w:eastAsia="宋体" w:cs="Times New Roman"/>
                <w:lang w:eastAsia="zh-CN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77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t></w:t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2.在上下游市场，参与集中的经营者所占的市场份额均小于25%。</w:t>
            </w:r>
          </w:p>
        </w:tc>
      </w:tr>
      <w:tr w14:paraId="49BA7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1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BA7B79">
            <w:pPr>
              <w:spacing w:after="0" w:line="240" w:lineRule="auto"/>
              <w:rPr>
                <w:rFonts w:ascii="宋体" w:hAnsi="宋体" w:eastAsia="宋体" w:cs="Times New Roman"/>
                <w:lang w:eastAsia="zh-CN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 w14:paraId="49BA7B7A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ascii="宋体" w:hAnsi="宋体" w:eastAsia="宋体" w:cs="Times New Roman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sym w:font="Wingdings" w:char="00FE"/>
            </w:r>
            <w:r>
              <w:rPr>
                <w:rFonts w:ascii="宋体" w:hAnsi="宋体" w:eastAsia="宋体" w:cs="Times New Roman"/>
                <w:color w:val="000000"/>
                <w:sz w:val="24"/>
                <w:lang w:eastAsia="zh-CN"/>
              </w:rPr>
              <w:t>3.不在同一相关市场也不存在上下游关系的参与集中的经营者，在与交易有关的每个市场所占的市场份额均小于25%。</w:t>
            </w:r>
          </w:p>
        </w:tc>
      </w:tr>
    </w:tbl>
    <w:p w14:paraId="49BA7B7C">
      <w:pPr>
        <w:autoSpaceDE w:val="0"/>
        <w:autoSpaceDN w:val="0"/>
        <w:spacing w:after="0" w:line="240" w:lineRule="auto"/>
        <w:rPr>
          <w:lang w:eastAsia="zh-CN"/>
        </w:rPr>
      </w:pPr>
    </w:p>
    <w:p w14:paraId="49BA7B7D">
      <w:pPr>
        <w:spacing w:after="0" w:line="240" w:lineRule="auto"/>
        <w:rPr>
          <w:lang w:eastAsia="zh-CN"/>
        </w:rPr>
        <w:sectPr>
          <w:pgSz w:w="11906" w:h="16838"/>
          <w:pgMar w:top="1336" w:right="1046" w:bottom="1208" w:left="1180" w:header="720" w:footer="720" w:gutter="0"/>
          <w:cols w:space="720" w:num="1"/>
          <w:docGrid w:linePitch="360" w:charSpace="0"/>
        </w:sectPr>
      </w:pPr>
    </w:p>
    <w:p w14:paraId="49BA7B7E">
      <w:pPr>
        <w:autoSpaceDE w:val="0"/>
        <w:autoSpaceDN w:val="0"/>
        <w:spacing w:after="0" w:line="240" w:lineRule="auto"/>
        <w:rPr>
          <w:lang w:eastAsia="zh-CN"/>
        </w:rPr>
      </w:pPr>
    </w:p>
    <w:tbl>
      <w:tblPr>
        <w:tblStyle w:val="3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7700"/>
      </w:tblGrid>
      <w:tr w14:paraId="49BA7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9BA7B7F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7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BA7B80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4.参与集中的经营者在中国境外设立合营企业，合营企业不在中国境内从事经济活动。</w:t>
            </w:r>
          </w:p>
        </w:tc>
      </w:tr>
      <w:tr w14:paraId="49BA7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1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BA7B82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7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BA7B83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5.参与集中的经营者收购境外企业股权或资产的，该境外企业不在中国境内从事经济活动。</w:t>
            </w:r>
          </w:p>
        </w:tc>
      </w:tr>
      <w:tr w14:paraId="49BA7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BA7B85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7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BA7B86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Wingdings" w:hAnsi="Wingdings" w:eastAsia="Wingdings"/>
                <w:color w:val="000000"/>
                <w:sz w:val="24"/>
                <w:lang w:eastAsia="zh-CN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6.由两个以上的经营者共同控制的合营企业，通过集中被其中一个或一个以上经营者控制。</w:t>
            </w:r>
          </w:p>
        </w:tc>
      </w:tr>
      <w:tr w14:paraId="49BA7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</w:trPr>
        <w:tc>
          <w:tcPr>
            <w:tcW w:w="1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8D8D8" w:themeFill="background1" w:themeFillShade="D9"/>
          </w:tcPr>
          <w:p w14:paraId="49BA7B88">
            <w:pPr>
              <w:spacing w:after="0" w:line="240" w:lineRule="auto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备注</w:t>
            </w:r>
          </w:p>
        </w:tc>
        <w:tc>
          <w:tcPr>
            <w:tcW w:w="7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91EBCC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混合集中：</w:t>
            </w:r>
          </w:p>
          <w:p w14:paraId="56B1D723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2025年中国境内摩托车市场：</w:t>
            </w:r>
          </w:p>
          <w:p w14:paraId="49BA7B90">
            <w:pPr>
              <w:autoSpaceDE w:val="0"/>
              <w:autoSpaceDN w:val="0"/>
              <w:spacing w:after="0" w:line="240" w:lineRule="auto"/>
              <w:ind w:left="104" w:right="115"/>
              <w:jc w:val="both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鹏：0-5%</w:t>
            </w:r>
          </w:p>
        </w:tc>
      </w:tr>
    </w:tbl>
    <w:p w14:paraId="4D2F7690">
      <w:pPr>
        <w:autoSpaceDE w:val="0"/>
        <w:autoSpaceDN w:val="0"/>
        <w:spacing w:after="0" w:line="240" w:lineRule="auto"/>
        <w:rPr>
          <w:rFonts w:hint="default" w:eastAsia="宋体"/>
          <w:lang w:val="en-US" w:eastAsia="zh-CN"/>
        </w:rPr>
      </w:pPr>
    </w:p>
    <w:sectPr>
      <w:pgSz w:w="11906" w:h="16838"/>
      <w:pgMar w:top="990" w:right="1046" w:bottom="1044" w:left="11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FZSSK">
    <w:altName w:val="FFont-Family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4D96"/>
    <w:rsid w:val="0004785D"/>
    <w:rsid w:val="00050665"/>
    <w:rsid w:val="00051EA5"/>
    <w:rsid w:val="0006063C"/>
    <w:rsid w:val="000651ED"/>
    <w:rsid w:val="00073103"/>
    <w:rsid w:val="00077F9D"/>
    <w:rsid w:val="000E11B6"/>
    <w:rsid w:val="00133D12"/>
    <w:rsid w:val="0015074B"/>
    <w:rsid w:val="001A2E44"/>
    <w:rsid w:val="001E1D99"/>
    <w:rsid w:val="00200E61"/>
    <w:rsid w:val="00247AFA"/>
    <w:rsid w:val="00261517"/>
    <w:rsid w:val="00284FF2"/>
    <w:rsid w:val="0029639D"/>
    <w:rsid w:val="002C7E80"/>
    <w:rsid w:val="002D6AB2"/>
    <w:rsid w:val="00326F90"/>
    <w:rsid w:val="00340E4E"/>
    <w:rsid w:val="0038156A"/>
    <w:rsid w:val="00392331"/>
    <w:rsid w:val="003A20B3"/>
    <w:rsid w:val="003E1298"/>
    <w:rsid w:val="003F35E7"/>
    <w:rsid w:val="00427300"/>
    <w:rsid w:val="004637DD"/>
    <w:rsid w:val="00465735"/>
    <w:rsid w:val="004B625A"/>
    <w:rsid w:val="004B70C7"/>
    <w:rsid w:val="004D6B37"/>
    <w:rsid w:val="004E1DE1"/>
    <w:rsid w:val="004E79A9"/>
    <w:rsid w:val="00505372"/>
    <w:rsid w:val="00547044"/>
    <w:rsid w:val="005622B2"/>
    <w:rsid w:val="005A2C9A"/>
    <w:rsid w:val="005A3E39"/>
    <w:rsid w:val="005C792F"/>
    <w:rsid w:val="005D0409"/>
    <w:rsid w:val="005E04C9"/>
    <w:rsid w:val="00636440"/>
    <w:rsid w:val="00644DED"/>
    <w:rsid w:val="006579C6"/>
    <w:rsid w:val="00672594"/>
    <w:rsid w:val="006934D3"/>
    <w:rsid w:val="00714AEF"/>
    <w:rsid w:val="007570A2"/>
    <w:rsid w:val="00763624"/>
    <w:rsid w:val="00764727"/>
    <w:rsid w:val="007B3EF6"/>
    <w:rsid w:val="007F35DD"/>
    <w:rsid w:val="00820176"/>
    <w:rsid w:val="009035F0"/>
    <w:rsid w:val="0090633A"/>
    <w:rsid w:val="0095706E"/>
    <w:rsid w:val="00987565"/>
    <w:rsid w:val="00987E6B"/>
    <w:rsid w:val="009E2367"/>
    <w:rsid w:val="00A14271"/>
    <w:rsid w:val="00A31107"/>
    <w:rsid w:val="00A346B7"/>
    <w:rsid w:val="00A45670"/>
    <w:rsid w:val="00A50C56"/>
    <w:rsid w:val="00A62C81"/>
    <w:rsid w:val="00AA1D8D"/>
    <w:rsid w:val="00AA1DC7"/>
    <w:rsid w:val="00B15815"/>
    <w:rsid w:val="00B30B51"/>
    <w:rsid w:val="00B3382F"/>
    <w:rsid w:val="00B47730"/>
    <w:rsid w:val="00B863D0"/>
    <w:rsid w:val="00B95AE2"/>
    <w:rsid w:val="00BB49D9"/>
    <w:rsid w:val="00BE4E55"/>
    <w:rsid w:val="00BF1DC9"/>
    <w:rsid w:val="00BF49F8"/>
    <w:rsid w:val="00C03C80"/>
    <w:rsid w:val="00CB0664"/>
    <w:rsid w:val="00D07C9B"/>
    <w:rsid w:val="00D14DA8"/>
    <w:rsid w:val="00D42191"/>
    <w:rsid w:val="00D61566"/>
    <w:rsid w:val="00D848D2"/>
    <w:rsid w:val="00D91C06"/>
    <w:rsid w:val="00DA147E"/>
    <w:rsid w:val="00DD7FA2"/>
    <w:rsid w:val="00DF69BC"/>
    <w:rsid w:val="00DF7248"/>
    <w:rsid w:val="00E2794E"/>
    <w:rsid w:val="00E47700"/>
    <w:rsid w:val="00E84420"/>
    <w:rsid w:val="00E8771E"/>
    <w:rsid w:val="00EB0395"/>
    <w:rsid w:val="00F0129A"/>
    <w:rsid w:val="00F340BA"/>
    <w:rsid w:val="00F40FD3"/>
    <w:rsid w:val="00F64F08"/>
    <w:rsid w:val="00F746F1"/>
    <w:rsid w:val="00FC693F"/>
    <w:rsid w:val="0ABB3407"/>
    <w:rsid w:val="0DA815B3"/>
    <w:rsid w:val="0EB350BE"/>
    <w:rsid w:val="10D27AB5"/>
    <w:rsid w:val="160402CE"/>
    <w:rsid w:val="1DE6389C"/>
    <w:rsid w:val="3EEC59CA"/>
    <w:rsid w:val="5E0C02E9"/>
    <w:rsid w:val="661E7290"/>
    <w:rsid w:val="6FD67088"/>
    <w:rsid w:val="72AA112F"/>
    <w:rsid w:val="FC5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1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Revision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65">
    <w:name w:val="Revision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Gide</Company>
  <Pages>2</Pages>
  <Words>908</Words>
  <Characters>1039</Characters>
  <Lines>90</Lines>
  <Paragraphs>131</Paragraphs>
  <TotalTime>318</TotalTime>
  <ScaleCrop>false</ScaleCrop>
  <LinksUpToDate>false</LinksUpToDate>
  <CharactersWithSpaces>1044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2026-08-25T16:35:00Z</dcterms:created>
  <dc:creator>ZHOU Rui</dc:creator>
  <dc:description>generated by python-docx</dc:description>
  <cp:lastModifiedBy>张华薇</cp:lastModifiedBy>
  <cp:lastPrinted>2026-08-25T16:36:00Z</cp:lastPrinted>
  <dcterms:modified xsi:type="dcterms:W3CDTF">2026-09-11T08:17:20Z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terParam">
    <vt:lpwstr>SHOW</vt:lpwstr>
  </property>
  <property fmtid="{D5CDD505-2E9C-101B-9397-08002B2CF9AE}" pid="3" name="KSOTemplateDocerSaveRecord">
    <vt:lpwstr>eyJoZGlkIjoiOTc3M2Y5NzIzMDFlZjAyY2Q4Njk5ODkyYjFjNzBiNTQiLCJ1c2VySWQiOiIyMjQ3ODk2MjMifQ==</vt:lpwstr>
  </property>
  <property fmtid="{D5CDD505-2E9C-101B-9397-08002B2CF9AE}" pid="4" name="KSOProductBuildVer">
    <vt:lpwstr>2052-12.1.0.28505</vt:lpwstr>
  </property>
  <property fmtid="{D5CDD505-2E9C-101B-9397-08002B2CF9AE}" pid="5" name="ICV">
    <vt:lpwstr>6158301BAE504F8BB8FE7B6019EFCF2D_13</vt:lpwstr>
  </property>
</Properties>
</file>