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1FC1A8" w14:textId="77777777" w:rsidR="0055679D" w:rsidRDefault="0002663C">
      <w:pPr>
        <w:widowControl/>
        <w:spacing w:after="240" w:line="594" w:lineRule="exact"/>
        <w:jc w:val="center"/>
        <w:rPr>
          <w:rFonts w:ascii="黑体" w:eastAsia="黑体" w:hAnsi="黑体" w:hint="eastAsia"/>
          <w:bCs/>
          <w:kern w:val="0"/>
          <w:sz w:val="36"/>
          <w:szCs w:val="36"/>
          <w:lang w:val="en-GB" w:bidi="ar-AE"/>
        </w:rPr>
      </w:pPr>
      <w:r>
        <w:rPr>
          <w:rFonts w:ascii="黑体" w:eastAsia="黑体" w:hAnsi="黑体"/>
          <w:bCs/>
          <w:kern w:val="0"/>
          <w:sz w:val="36"/>
          <w:szCs w:val="36"/>
          <w:lang w:val="en-GB" w:bidi="ar-AE"/>
        </w:rPr>
        <w:t>经营者集中简易案件公示表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9"/>
        <w:gridCol w:w="1384"/>
        <w:gridCol w:w="5243"/>
      </w:tblGrid>
      <w:tr w:rsidR="0055679D" w14:paraId="391FC1AB" w14:textId="77777777">
        <w:trPr>
          <w:trHeight w:val="216"/>
        </w:trPr>
        <w:tc>
          <w:tcPr>
            <w:tcW w:w="1006" w:type="pct"/>
            <w:shd w:val="clear" w:color="auto" w:fill="D9D9D9"/>
            <w:vAlign w:val="center"/>
          </w:tcPr>
          <w:p w14:paraId="391FC1A9" w14:textId="77777777" w:rsidR="0055679D" w:rsidRDefault="0002663C">
            <w:pPr>
              <w:pStyle w:val="a5"/>
              <w:adjustRightInd w:val="0"/>
              <w:snapToGrid w:val="0"/>
              <w:spacing w:after="0"/>
              <w:rPr>
                <w:rFonts w:ascii="宋体" w:hAnsi="宋体" w:cs="Times New Roman" w:hint="eastAsia"/>
                <w:bCs/>
                <w:color w:val="000000" w:themeColor="text1"/>
                <w:lang w:val="en-US"/>
              </w:rPr>
            </w:pPr>
            <w:proofErr w:type="spellStart"/>
            <w:r>
              <w:rPr>
                <w:rFonts w:ascii="宋体" w:hAnsi="宋体" w:cs="Times New Roman" w:hint="eastAsia"/>
                <w:bCs/>
                <w:color w:val="000000" w:themeColor="text1"/>
              </w:rPr>
              <w:t>案件名称</w:t>
            </w:r>
            <w:proofErr w:type="spellEnd"/>
          </w:p>
        </w:tc>
        <w:tc>
          <w:tcPr>
            <w:tcW w:w="3994" w:type="pct"/>
            <w:gridSpan w:val="2"/>
            <w:vAlign w:val="center"/>
          </w:tcPr>
          <w:p w14:paraId="391FC1AA" w14:textId="77777777" w:rsidR="0055679D" w:rsidRDefault="0002663C">
            <w:pPr>
              <w:snapToGrid w:val="0"/>
              <w:rPr>
                <w:rFonts w:ascii="宋体" w:hAnsi="宋体" w:hint="eastAsia"/>
                <w:bCs/>
                <w:color w:val="000000" w:themeColor="text1"/>
                <w:kern w:val="0"/>
                <w:sz w:val="24"/>
                <w:lang w:bidi="ar-AE"/>
              </w:rPr>
            </w:pPr>
            <w:r>
              <w:rPr>
                <w:rFonts w:ascii="宋体" w:hAnsi="宋体" w:hint="eastAsia"/>
                <w:color w:val="000000" w:themeColor="text1"/>
                <w:sz w:val="24"/>
              </w:rPr>
              <w:t>浙江建信佳人新材料有限公司与银都拉玛荷兰有限公司新设合营企业案</w:t>
            </w:r>
          </w:p>
        </w:tc>
      </w:tr>
      <w:tr w:rsidR="0055679D" w14:paraId="391FC1AE" w14:textId="77777777">
        <w:trPr>
          <w:trHeight w:val="454"/>
        </w:trPr>
        <w:tc>
          <w:tcPr>
            <w:tcW w:w="1006" w:type="pct"/>
            <w:shd w:val="clear" w:color="auto" w:fill="D9D9D9"/>
            <w:vAlign w:val="center"/>
          </w:tcPr>
          <w:p w14:paraId="391FC1AC" w14:textId="77777777" w:rsidR="0055679D" w:rsidRDefault="0002663C">
            <w:pPr>
              <w:pStyle w:val="a5"/>
              <w:adjustRightInd w:val="0"/>
              <w:snapToGrid w:val="0"/>
              <w:spacing w:after="0"/>
              <w:rPr>
                <w:rFonts w:ascii="宋体" w:hAnsi="宋体" w:cs="Times New Roman" w:hint="eastAsia"/>
                <w:bCs/>
                <w:color w:val="000000" w:themeColor="text1"/>
                <w:lang w:val="en-US" w:eastAsia="zh-CN"/>
              </w:rPr>
            </w:pPr>
            <w:r>
              <w:rPr>
                <w:rFonts w:ascii="宋体" w:hAnsi="宋体" w:cs="Times New Roman" w:hint="eastAsia"/>
                <w:bCs/>
                <w:color w:val="000000" w:themeColor="text1"/>
                <w:lang w:eastAsia="zh-CN"/>
              </w:rPr>
              <w:t>交易概况（限</w:t>
            </w:r>
            <w:r>
              <w:rPr>
                <w:rFonts w:ascii="宋体" w:hAnsi="宋体" w:cs="Times New Roman"/>
                <w:bCs/>
                <w:color w:val="000000" w:themeColor="text1"/>
                <w:lang w:eastAsia="zh-CN"/>
              </w:rPr>
              <w:t>200</w:t>
            </w:r>
            <w:r>
              <w:rPr>
                <w:rFonts w:ascii="宋体" w:hAnsi="宋体" w:cs="Times New Roman" w:hint="eastAsia"/>
                <w:bCs/>
                <w:color w:val="000000" w:themeColor="text1"/>
                <w:lang w:eastAsia="zh-CN"/>
              </w:rPr>
              <w:t>字内）</w:t>
            </w:r>
          </w:p>
        </w:tc>
        <w:tc>
          <w:tcPr>
            <w:tcW w:w="3994" w:type="pct"/>
            <w:gridSpan w:val="2"/>
            <w:vAlign w:val="center"/>
          </w:tcPr>
          <w:p w14:paraId="391FC1AD" w14:textId="77777777" w:rsidR="0055679D" w:rsidRDefault="0002663C">
            <w:pPr>
              <w:snapToGrid w:val="0"/>
              <w:rPr>
                <w:rFonts w:ascii="宋体" w:hAnsi="宋体" w:hint="eastAsia"/>
                <w:color w:val="000000" w:themeColor="text1"/>
                <w:sz w:val="24"/>
              </w:rPr>
            </w:pPr>
            <w:r>
              <w:rPr>
                <w:rFonts w:ascii="宋体" w:hAnsi="宋体" w:hint="eastAsia"/>
                <w:color w:val="000000" w:themeColor="text1"/>
                <w:sz w:val="24"/>
              </w:rPr>
              <w:t>浙江建信佳人新材料有限公司（“建信佳人”）与银都拉玛荷兰有限公司（</w:t>
            </w:r>
            <w:r>
              <w:rPr>
                <w:rFonts w:ascii="宋体" w:hAnsi="宋体"/>
                <w:color w:val="000000" w:themeColor="text1"/>
                <w:sz w:val="24"/>
              </w:rPr>
              <w:t>Indorama Netherlands B.V.</w:t>
            </w:r>
            <w:r>
              <w:rPr>
                <w:rFonts w:ascii="宋体" w:hAnsi="宋体" w:hint="eastAsia"/>
                <w:color w:val="000000" w:themeColor="text1"/>
                <w:sz w:val="24"/>
              </w:rPr>
              <w:t>，“银都拉玛”）等签署协议，拟设</w:t>
            </w:r>
            <w:proofErr w:type="gramStart"/>
            <w:r>
              <w:rPr>
                <w:rFonts w:ascii="宋体" w:hAnsi="宋体" w:hint="eastAsia"/>
                <w:color w:val="000000" w:themeColor="text1"/>
                <w:sz w:val="24"/>
              </w:rPr>
              <w:t>立一家</w:t>
            </w:r>
            <w:proofErr w:type="gramEnd"/>
            <w:r>
              <w:rPr>
                <w:rFonts w:ascii="宋体" w:hAnsi="宋体" w:hint="eastAsia"/>
                <w:color w:val="000000" w:themeColor="text1"/>
                <w:sz w:val="24"/>
              </w:rPr>
              <w:t>合营企业。合营企业主要从事再生聚酯切片及其应用产品的营销业务。交易后，建信佳人与银都拉玛分别持有合营企业</w:t>
            </w:r>
            <w:r>
              <w:rPr>
                <w:rFonts w:ascii="宋体" w:hAnsi="宋体" w:hint="eastAsia"/>
                <w:color w:val="000000" w:themeColor="text1"/>
                <w:sz w:val="24"/>
              </w:rPr>
              <w:t>51</w:t>
            </w:r>
            <w:r>
              <w:rPr>
                <w:rFonts w:ascii="宋体" w:hAnsi="宋体"/>
                <w:color w:val="000000" w:themeColor="text1"/>
                <w:sz w:val="24"/>
              </w:rPr>
              <w:t>%</w:t>
            </w:r>
            <w:r>
              <w:rPr>
                <w:rFonts w:ascii="宋体" w:hAnsi="宋体" w:hint="eastAsia"/>
                <w:color w:val="000000" w:themeColor="text1"/>
                <w:sz w:val="24"/>
              </w:rPr>
              <w:t>和</w:t>
            </w:r>
            <w:r>
              <w:rPr>
                <w:rFonts w:ascii="宋体" w:hAnsi="宋体" w:hint="eastAsia"/>
                <w:color w:val="000000" w:themeColor="text1"/>
                <w:sz w:val="24"/>
              </w:rPr>
              <w:t>49%</w:t>
            </w:r>
            <w:r>
              <w:rPr>
                <w:rFonts w:ascii="宋体" w:hAnsi="宋体" w:hint="eastAsia"/>
                <w:color w:val="000000" w:themeColor="text1"/>
                <w:sz w:val="24"/>
              </w:rPr>
              <w:t>的股份，共同控制合营企业。</w:t>
            </w:r>
          </w:p>
        </w:tc>
      </w:tr>
      <w:tr w:rsidR="0055679D" w14:paraId="391FC1B3" w14:textId="77777777">
        <w:trPr>
          <w:trHeight w:val="942"/>
        </w:trPr>
        <w:tc>
          <w:tcPr>
            <w:tcW w:w="1006" w:type="pct"/>
            <w:vMerge w:val="restart"/>
            <w:shd w:val="clear" w:color="auto" w:fill="D9D9D9"/>
            <w:vAlign w:val="center"/>
          </w:tcPr>
          <w:p w14:paraId="391FC1AF" w14:textId="77777777" w:rsidR="0055679D" w:rsidRDefault="0002663C">
            <w:pPr>
              <w:pStyle w:val="a5"/>
              <w:adjustRightInd w:val="0"/>
              <w:snapToGrid w:val="0"/>
              <w:spacing w:after="0"/>
              <w:rPr>
                <w:rFonts w:ascii="宋体" w:hAnsi="宋体" w:cs="Times New Roman" w:hint="eastAsia"/>
                <w:bCs/>
                <w:color w:val="000000" w:themeColor="text1"/>
                <w:lang w:val="en-US" w:eastAsia="zh-CN"/>
              </w:rPr>
            </w:pPr>
            <w:r>
              <w:rPr>
                <w:rFonts w:ascii="宋体" w:hAnsi="宋体" w:cs="Times New Roman" w:hint="eastAsia"/>
                <w:bCs/>
                <w:color w:val="000000" w:themeColor="text1"/>
                <w:lang w:eastAsia="zh-CN"/>
              </w:rPr>
              <w:t>参与集中的经营者简介（每个限</w:t>
            </w:r>
            <w:r>
              <w:rPr>
                <w:rFonts w:ascii="宋体" w:hAnsi="宋体" w:cs="Times New Roman"/>
                <w:bCs/>
                <w:color w:val="000000" w:themeColor="text1"/>
                <w:lang w:val="en-US" w:eastAsia="zh-CN"/>
              </w:rPr>
              <w:t>100</w:t>
            </w:r>
            <w:r>
              <w:rPr>
                <w:rFonts w:ascii="宋体" w:hAnsi="宋体" w:cs="Times New Roman" w:hint="eastAsia"/>
                <w:bCs/>
                <w:color w:val="000000" w:themeColor="text1"/>
                <w:lang w:val="en-US" w:eastAsia="zh-CN"/>
              </w:rPr>
              <w:t>字以内</w:t>
            </w:r>
            <w:r>
              <w:rPr>
                <w:rFonts w:ascii="宋体" w:hAnsi="宋体" w:cs="Times New Roman" w:hint="eastAsia"/>
                <w:bCs/>
                <w:color w:val="000000" w:themeColor="text1"/>
                <w:lang w:eastAsia="zh-CN"/>
              </w:rPr>
              <w:t>）</w:t>
            </w:r>
          </w:p>
        </w:tc>
        <w:tc>
          <w:tcPr>
            <w:tcW w:w="834" w:type="pct"/>
            <w:vAlign w:val="center"/>
          </w:tcPr>
          <w:p w14:paraId="391FC1B0" w14:textId="77777777" w:rsidR="0055679D" w:rsidRDefault="0002663C">
            <w:pPr>
              <w:snapToGrid w:val="0"/>
              <w:rPr>
                <w:rFonts w:ascii="宋体" w:hAnsi="宋体" w:hint="eastAsia"/>
                <w:color w:val="000000" w:themeColor="text1"/>
                <w:sz w:val="24"/>
              </w:rPr>
            </w:pPr>
            <w:r>
              <w:rPr>
                <w:rFonts w:ascii="宋体" w:hAnsi="宋体"/>
                <w:color w:val="000000" w:themeColor="text1"/>
                <w:sz w:val="24"/>
              </w:rPr>
              <w:t>1.</w:t>
            </w:r>
            <w:r>
              <w:rPr>
                <w:rFonts w:ascii="宋体" w:hAnsi="宋体" w:hint="eastAsia"/>
                <w:color w:val="000000" w:themeColor="text1"/>
                <w:sz w:val="24"/>
              </w:rPr>
              <w:t>建信佳人</w:t>
            </w:r>
          </w:p>
        </w:tc>
        <w:tc>
          <w:tcPr>
            <w:tcW w:w="3160" w:type="pct"/>
          </w:tcPr>
          <w:p w14:paraId="391FC1B1" w14:textId="77777777" w:rsidR="0055679D" w:rsidRDefault="0002663C">
            <w:pPr>
              <w:snapToGrid w:val="0"/>
              <w:rPr>
                <w:rFonts w:ascii="宋体" w:hAnsi="宋体" w:hint="eastAsia"/>
                <w:bCs/>
                <w:color w:val="000000" w:themeColor="text1"/>
                <w:sz w:val="24"/>
              </w:rPr>
            </w:pPr>
            <w:r>
              <w:rPr>
                <w:rFonts w:ascii="宋体" w:hAnsi="宋体" w:hint="eastAsia"/>
                <w:color w:val="000000" w:themeColor="text1"/>
                <w:sz w:val="24"/>
              </w:rPr>
              <w:t>浙江建信佳人新材料有限公司</w:t>
            </w:r>
            <w:r>
              <w:rPr>
                <w:rFonts w:ascii="宋体" w:hAnsi="宋体" w:hint="eastAsia"/>
                <w:bCs/>
                <w:color w:val="000000" w:themeColor="text1"/>
                <w:sz w:val="24"/>
              </w:rPr>
              <w:t>于</w:t>
            </w:r>
            <w:r>
              <w:rPr>
                <w:rFonts w:ascii="宋体" w:hAnsi="宋体" w:hint="eastAsia"/>
                <w:bCs/>
                <w:color w:val="000000" w:themeColor="text1"/>
                <w:sz w:val="24"/>
              </w:rPr>
              <w:t>2022</w:t>
            </w:r>
            <w:r>
              <w:rPr>
                <w:rFonts w:ascii="宋体" w:hAnsi="宋体" w:hint="eastAsia"/>
                <w:bCs/>
                <w:color w:val="000000" w:themeColor="text1"/>
                <w:sz w:val="24"/>
              </w:rPr>
              <w:t>年</w:t>
            </w:r>
            <w:r>
              <w:rPr>
                <w:rFonts w:ascii="宋体" w:hAnsi="宋体" w:hint="eastAsia"/>
                <w:bCs/>
                <w:color w:val="000000" w:themeColor="text1"/>
                <w:sz w:val="24"/>
              </w:rPr>
              <w:t>5</w:t>
            </w:r>
            <w:r>
              <w:rPr>
                <w:rFonts w:ascii="宋体" w:hAnsi="宋体" w:hint="eastAsia"/>
                <w:bCs/>
                <w:color w:val="000000" w:themeColor="text1"/>
                <w:sz w:val="24"/>
              </w:rPr>
              <w:t>月</w:t>
            </w:r>
            <w:r>
              <w:rPr>
                <w:rFonts w:ascii="宋体" w:hAnsi="宋体" w:hint="eastAsia"/>
                <w:bCs/>
                <w:color w:val="000000" w:themeColor="text1"/>
                <w:sz w:val="24"/>
              </w:rPr>
              <w:t>5</w:t>
            </w:r>
            <w:r>
              <w:rPr>
                <w:rFonts w:ascii="宋体" w:hAnsi="宋体" w:hint="eastAsia"/>
                <w:bCs/>
                <w:color w:val="000000" w:themeColor="text1"/>
                <w:sz w:val="24"/>
              </w:rPr>
              <w:t>日成立于浙江省绍兴市，主要业务为再生新材料的研发与生产。</w:t>
            </w:r>
          </w:p>
          <w:p w14:paraId="391FC1B2" w14:textId="77777777" w:rsidR="0055679D" w:rsidRDefault="0002663C">
            <w:pPr>
              <w:snapToGrid w:val="0"/>
              <w:rPr>
                <w:rFonts w:ascii="宋体" w:hAnsi="宋体" w:hint="eastAsia"/>
                <w:color w:val="000000" w:themeColor="text1"/>
                <w:sz w:val="24"/>
              </w:rPr>
            </w:pPr>
            <w:r>
              <w:rPr>
                <w:rFonts w:ascii="宋体" w:hAnsi="宋体" w:hint="eastAsia"/>
                <w:color w:val="000000" w:themeColor="text1"/>
                <w:sz w:val="24"/>
              </w:rPr>
              <w:t>建信佳人最终控制人为自然人，主要业务为建筑钢结构、能源、再生纤维、金融投资。</w:t>
            </w:r>
          </w:p>
        </w:tc>
      </w:tr>
      <w:tr w:rsidR="0055679D" w14:paraId="391FC1B8" w14:textId="77777777">
        <w:trPr>
          <w:trHeight w:val="984"/>
        </w:trPr>
        <w:tc>
          <w:tcPr>
            <w:tcW w:w="1006" w:type="pct"/>
            <w:vMerge/>
            <w:shd w:val="clear" w:color="auto" w:fill="D9D9D9"/>
            <w:vAlign w:val="center"/>
          </w:tcPr>
          <w:p w14:paraId="391FC1B4" w14:textId="77777777" w:rsidR="0055679D" w:rsidRDefault="0055679D">
            <w:pPr>
              <w:pStyle w:val="a5"/>
              <w:adjustRightInd w:val="0"/>
              <w:snapToGrid w:val="0"/>
              <w:spacing w:after="0"/>
              <w:rPr>
                <w:rFonts w:ascii="宋体" w:hAnsi="宋体" w:cs="Times New Roman" w:hint="eastAsia"/>
                <w:bCs/>
                <w:color w:val="000000" w:themeColor="text1"/>
                <w:lang w:val="en-US" w:eastAsia="zh-CN"/>
              </w:rPr>
            </w:pPr>
          </w:p>
        </w:tc>
        <w:tc>
          <w:tcPr>
            <w:tcW w:w="834" w:type="pct"/>
            <w:vAlign w:val="center"/>
          </w:tcPr>
          <w:p w14:paraId="391FC1B5" w14:textId="77777777" w:rsidR="0055679D" w:rsidRDefault="0002663C">
            <w:pPr>
              <w:snapToGrid w:val="0"/>
              <w:rPr>
                <w:rFonts w:ascii="宋体" w:hAnsi="宋体" w:hint="eastAsia"/>
                <w:color w:val="000000" w:themeColor="text1"/>
                <w:sz w:val="24"/>
              </w:rPr>
            </w:pPr>
            <w:r>
              <w:rPr>
                <w:rFonts w:ascii="宋体" w:hAnsi="宋体"/>
                <w:color w:val="000000" w:themeColor="text1"/>
                <w:sz w:val="24"/>
              </w:rPr>
              <w:t>2.</w:t>
            </w:r>
            <w:r>
              <w:rPr>
                <w:rFonts w:ascii="宋体" w:hAnsi="宋体" w:hint="eastAsia"/>
                <w:color w:val="000000" w:themeColor="text1"/>
                <w:sz w:val="24"/>
              </w:rPr>
              <w:t>银都拉玛</w:t>
            </w:r>
          </w:p>
        </w:tc>
        <w:tc>
          <w:tcPr>
            <w:tcW w:w="3160" w:type="pct"/>
          </w:tcPr>
          <w:p w14:paraId="391FC1B6" w14:textId="77777777" w:rsidR="0055679D" w:rsidRDefault="0002663C">
            <w:pPr>
              <w:snapToGrid w:val="0"/>
              <w:rPr>
                <w:rFonts w:ascii="宋体" w:hAnsi="宋体" w:hint="eastAsia"/>
                <w:color w:val="000000" w:themeColor="text1"/>
                <w:sz w:val="24"/>
              </w:rPr>
            </w:pPr>
            <w:r>
              <w:rPr>
                <w:rFonts w:ascii="宋体" w:hAnsi="宋体" w:hint="eastAsia"/>
                <w:color w:val="000000" w:themeColor="text1"/>
                <w:sz w:val="24"/>
              </w:rPr>
              <w:t>银都拉玛荷兰有限公司于</w:t>
            </w:r>
            <w:r>
              <w:rPr>
                <w:rFonts w:ascii="宋体" w:hAnsi="宋体" w:hint="eastAsia"/>
                <w:color w:val="000000" w:themeColor="text1"/>
                <w:sz w:val="24"/>
              </w:rPr>
              <w:t>2011</w:t>
            </w:r>
            <w:r>
              <w:rPr>
                <w:rFonts w:ascii="宋体" w:hAnsi="宋体" w:hint="eastAsia"/>
                <w:color w:val="000000" w:themeColor="text1"/>
                <w:sz w:val="24"/>
              </w:rPr>
              <w:t>年</w:t>
            </w:r>
            <w:r>
              <w:rPr>
                <w:rFonts w:ascii="宋体" w:hAnsi="宋体" w:hint="eastAsia"/>
                <w:color w:val="000000" w:themeColor="text1"/>
                <w:sz w:val="24"/>
              </w:rPr>
              <w:t>1</w:t>
            </w:r>
            <w:r>
              <w:rPr>
                <w:rFonts w:ascii="宋体" w:hAnsi="宋体" w:hint="eastAsia"/>
                <w:color w:val="000000" w:themeColor="text1"/>
                <w:sz w:val="24"/>
              </w:rPr>
              <w:t>月</w:t>
            </w:r>
            <w:r>
              <w:rPr>
                <w:rFonts w:ascii="宋体" w:hAnsi="宋体" w:hint="eastAsia"/>
                <w:color w:val="000000" w:themeColor="text1"/>
                <w:sz w:val="24"/>
              </w:rPr>
              <w:t>27</w:t>
            </w:r>
            <w:r>
              <w:rPr>
                <w:rFonts w:ascii="宋体" w:hAnsi="宋体" w:hint="eastAsia"/>
                <w:color w:val="000000" w:themeColor="text1"/>
                <w:sz w:val="24"/>
              </w:rPr>
              <w:t>日成立于荷兰，主要业务为各类聚酯产品（包括对二甲苯、聚对苯二甲酸、聚酯纺织切片）的生产。</w:t>
            </w:r>
          </w:p>
          <w:p w14:paraId="391FC1B7" w14:textId="77777777" w:rsidR="0055679D" w:rsidRDefault="0002663C">
            <w:pPr>
              <w:snapToGrid w:val="0"/>
              <w:rPr>
                <w:rFonts w:ascii="宋体" w:hAnsi="宋体" w:hint="eastAsia"/>
                <w:color w:val="000000" w:themeColor="text1"/>
                <w:sz w:val="24"/>
              </w:rPr>
            </w:pPr>
            <w:r>
              <w:rPr>
                <w:rFonts w:ascii="宋体" w:hAnsi="宋体" w:hint="eastAsia"/>
                <w:color w:val="000000" w:themeColor="text1"/>
                <w:sz w:val="24"/>
              </w:rPr>
              <w:t>银都拉玛荷兰有限公司最终控制人为</w:t>
            </w:r>
            <w:r>
              <w:rPr>
                <w:rFonts w:ascii="宋体" w:hAnsi="宋体"/>
                <w:color w:val="000000" w:themeColor="text1"/>
                <w:sz w:val="24"/>
              </w:rPr>
              <w:t>Canopus International Ltd.</w:t>
            </w:r>
            <w:r>
              <w:rPr>
                <w:rFonts w:ascii="宋体" w:hAnsi="宋体" w:hint="eastAsia"/>
                <w:color w:val="000000" w:themeColor="text1"/>
                <w:sz w:val="24"/>
              </w:rPr>
              <w:t>，主要业务为投资控股及向关联方提供债务融资。</w:t>
            </w:r>
          </w:p>
        </w:tc>
      </w:tr>
      <w:tr w:rsidR="0055679D" w14:paraId="391FC1BB" w14:textId="77777777">
        <w:trPr>
          <w:trHeight w:val="279"/>
        </w:trPr>
        <w:tc>
          <w:tcPr>
            <w:tcW w:w="1006" w:type="pct"/>
            <w:vMerge w:val="restart"/>
            <w:shd w:val="clear" w:color="auto" w:fill="D9D9D9"/>
            <w:vAlign w:val="center"/>
          </w:tcPr>
          <w:p w14:paraId="391FC1B9" w14:textId="77777777" w:rsidR="0055679D" w:rsidRDefault="0002663C">
            <w:pPr>
              <w:pStyle w:val="a5"/>
              <w:adjustRightInd w:val="0"/>
              <w:snapToGrid w:val="0"/>
              <w:spacing w:after="0"/>
              <w:rPr>
                <w:rFonts w:ascii="宋体" w:hAnsi="宋体" w:cs="Times New Roman" w:hint="eastAsia"/>
                <w:bCs/>
                <w:color w:val="000000" w:themeColor="text1"/>
                <w:lang w:val="en-US" w:eastAsia="zh-CN"/>
              </w:rPr>
            </w:pPr>
            <w:r>
              <w:rPr>
                <w:rFonts w:ascii="宋体" w:hAnsi="宋体" w:cs="Times New Roman" w:hint="eastAsia"/>
                <w:bCs/>
                <w:color w:val="000000" w:themeColor="text1"/>
                <w:lang w:eastAsia="zh-CN"/>
              </w:rPr>
              <w:t>简易案件理由（可以单选，也可以多选）</w:t>
            </w:r>
          </w:p>
        </w:tc>
        <w:tc>
          <w:tcPr>
            <w:tcW w:w="3994" w:type="pct"/>
            <w:gridSpan w:val="2"/>
            <w:vAlign w:val="center"/>
          </w:tcPr>
          <w:p w14:paraId="391FC1BA" w14:textId="77777777" w:rsidR="0055679D" w:rsidRDefault="0002663C">
            <w:pPr>
              <w:pStyle w:val="a5"/>
              <w:adjustRightInd w:val="0"/>
              <w:snapToGrid w:val="0"/>
              <w:spacing w:after="0"/>
              <w:rPr>
                <w:rFonts w:ascii="宋体" w:hAnsi="宋体" w:cs="Times New Roman" w:hint="eastAsia"/>
                <w:bCs/>
                <w:color w:val="000000" w:themeColor="text1"/>
                <w:lang w:val="en-US" w:eastAsia="zh-CN"/>
              </w:rPr>
            </w:pPr>
            <w:r>
              <w:rPr>
                <w:rFonts w:ascii="宋体" w:hAnsi="宋体"/>
                <w:color w:val="000000" w:themeColor="text1"/>
              </w:rPr>
              <w:sym w:font="Wingdings" w:char="F0FE"/>
            </w:r>
            <w:r>
              <w:rPr>
                <w:rFonts w:ascii="宋体" w:hAnsi="宋体" w:cs="Times New Roman"/>
                <w:bCs/>
                <w:color w:val="000000" w:themeColor="text1"/>
                <w:lang w:eastAsia="zh-CN"/>
              </w:rPr>
              <w:t xml:space="preserve"> 1</w:t>
            </w:r>
            <w:r>
              <w:rPr>
                <w:rFonts w:ascii="宋体" w:hAnsi="宋体" w:cs="Times New Roman"/>
                <w:bCs/>
                <w:color w:val="000000" w:themeColor="text1"/>
                <w:lang w:val="en-US" w:eastAsia="zh-CN"/>
              </w:rPr>
              <w:t>.</w:t>
            </w:r>
            <w:r>
              <w:rPr>
                <w:rFonts w:ascii="宋体" w:hAnsi="宋体" w:cs="Times New Roman" w:hint="eastAsia"/>
                <w:bCs/>
                <w:color w:val="000000" w:themeColor="text1"/>
                <w:lang w:eastAsia="zh-CN"/>
              </w:rPr>
              <w:t>在同一相关市场，参与集中的经营者所占的市场份额之和小于</w:t>
            </w:r>
            <w:r>
              <w:rPr>
                <w:rFonts w:ascii="宋体" w:hAnsi="宋体" w:cs="Times New Roman"/>
                <w:bCs/>
                <w:color w:val="000000" w:themeColor="text1"/>
                <w:lang w:eastAsia="zh-CN"/>
              </w:rPr>
              <w:t>15%</w:t>
            </w:r>
            <w:r>
              <w:rPr>
                <w:rFonts w:ascii="宋体" w:hAnsi="宋体" w:cs="Times New Roman" w:hint="eastAsia"/>
                <w:bCs/>
                <w:color w:val="000000" w:themeColor="text1"/>
                <w:lang w:eastAsia="zh-CN"/>
              </w:rPr>
              <w:t>。</w:t>
            </w:r>
          </w:p>
        </w:tc>
      </w:tr>
      <w:tr w:rsidR="0055679D" w14:paraId="391FC1BE" w14:textId="77777777">
        <w:trPr>
          <w:trHeight w:val="330"/>
        </w:trPr>
        <w:tc>
          <w:tcPr>
            <w:tcW w:w="1006" w:type="pct"/>
            <w:vMerge/>
            <w:shd w:val="clear" w:color="auto" w:fill="D9D9D9"/>
            <w:vAlign w:val="center"/>
          </w:tcPr>
          <w:p w14:paraId="391FC1BC" w14:textId="77777777" w:rsidR="0055679D" w:rsidRDefault="0055679D">
            <w:pPr>
              <w:pStyle w:val="a5"/>
              <w:adjustRightInd w:val="0"/>
              <w:snapToGrid w:val="0"/>
              <w:spacing w:after="0"/>
              <w:rPr>
                <w:rFonts w:ascii="宋体" w:hAnsi="宋体" w:cs="Times New Roman" w:hint="eastAsia"/>
                <w:bCs/>
                <w:color w:val="000000" w:themeColor="text1"/>
                <w:lang w:val="en-US" w:eastAsia="zh-CN"/>
              </w:rPr>
            </w:pPr>
          </w:p>
        </w:tc>
        <w:tc>
          <w:tcPr>
            <w:tcW w:w="3994" w:type="pct"/>
            <w:gridSpan w:val="2"/>
            <w:vAlign w:val="center"/>
          </w:tcPr>
          <w:p w14:paraId="391FC1BD" w14:textId="77777777" w:rsidR="0055679D" w:rsidRDefault="0002663C">
            <w:pPr>
              <w:pStyle w:val="a5"/>
              <w:adjustRightInd w:val="0"/>
              <w:snapToGrid w:val="0"/>
              <w:spacing w:after="0"/>
              <w:rPr>
                <w:rFonts w:ascii="宋体" w:hAnsi="宋体" w:cs="Times New Roman" w:hint="eastAsia"/>
                <w:bCs/>
                <w:color w:val="000000" w:themeColor="text1"/>
                <w:lang w:val="en-US" w:eastAsia="zh-CN"/>
              </w:rPr>
            </w:pPr>
            <w:r>
              <w:rPr>
                <w:rFonts w:ascii="宋体" w:hAnsi="宋体" w:cs="Times New Roman"/>
                <w:bCs/>
                <w:color w:val="000000" w:themeColor="text1"/>
                <w:lang w:eastAsia="zh-CN"/>
              </w:rPr>
              <w:sym w:font="Wingdings" w:char="00A8"/>
            </w:r>
            <w:r>
              <w:rPr>
                <w:rFonts w:ascii="宋体" w:hAnsi="宋体" w:cs="Times New Roman"/>
                <w:bCs/>
                <w:color w:val="000000" w:themeColor="text1"/>
                <w:lang w:eastAsia="zh-CN"/>
              </w:rPr>
              <w:t xml:space="preserve"> 2</w:t>
            </w:r>
            <w:r>
              <w:rPr>
                <w:rFonts w:ascii="宋体" w:hAnsi="宋体" w:cs="Times New Roman"/>
                <w:bCs/>
                <w:color w:val="000000" w:themeColor="text1"/>
                <w:lang w:val="en-US" w:eastAsia="zh-CN"/>
              </w:rPr>
              <w:t>.</w:t>
            </w:r>
            <w:r>
              <w:rPr>
                <w:rFonts w:ascii="宋体" w:hAnsi="宋体" w:cs="Times New Roman" w:hint="eastAsia"/>
                <w:bCs/>
                <w:color w:val="000000" w:themeColor="text1"/>
                <w:lang w:eastAsia="zh-CN"/>
              </w:rPr>
              <w:t>在上下游市场，参与集中的经营者所占的市场份额均小于</w:t>
            </w:r>
            <w:r>
              <w:rPr>
                <w:rFonts w:ascii="宋体" w:hAnsi="宋体" w:cs="Times New Roman"/>
                <w:bCs/>
                <w:color w:val="000000" w:themeColor="text1"/>
                <w:lang w:eastAsia="zh-CN"/>
              </w:rPr>
              <w:t>25%</w:t>
            </w:r>
            <w:r>
              <w:rPr>
                <w:rFonts w:ascii="宋体" w:hAnsi="宋体" w:cs="Times New Roman" w:hint="eastAsia"/>
                <w:bCs/>
                <w:color w:val="000000" w:themeColor="text1"/>
                <w:lang w:eastAsia="zh-CN"/>
              </w:rPr>
              <w:t>。</w:t>
            </w:r>
          </w:p>
        </w:tc>
      </w:tr>
      <w:tr w:rsidR="0055679D" w14:paraId="391FC1C1" w14:textId="77777777">
        <w:trPr>
          <w:trHeight w:val="285"/>
        </w:trPr>
        <w:tc>
          <w:tcPr>
            <w:tcW w:w="1006" w:type="pct"/>
            <w:vMerge/>
            <w:shd w:val="clear" w:color="auto" w:fill="D9D9D9"/>
            <w:vAlign w:val="center"/>
          </w:tcPr>
          <w:p w14:paraId="391FC1BF" w14:textId="77777777" w:rsidR="0055679D" w:rsidRDefault="0055679D">
            <w:pPr>
              <w:pStyle w:val="a5"/>
              <w:adjustRightInd w:val="0"/>
              <w:snapToGrid w:val="0"/>
              <w:spacing w:after="0"/>
              <w:rPr>
                <w:rFonts w:ascii="宋体" w:hAnsi="宋体" w:cs="Times New Roman" w:hint="eastAsia"/>
                <w:bCs/>
                <w:color w:val="000000" w:themeColor="text1"/>
                <w:lang w:val="en-US" w:eastAsia="zh-CN"/>
              </w:rPr>
            </w:pPr>
          </w:p>
        </w:tc>
        <w:tc>
          <w:tcPr>
            <w:tcW w:w="3994" w:type="pct"/>
            <w:gridSpan w:val="2"/>
            <w:vAlign w:val="center"/>
          </w:tcPr>
          <w:p w14:paraId="391FC1C0" w14:textId="77777777" w:rsidR="0055679D" w:rsidRDefault="0002663C">
            <w:pPr>
              <w:pStyle w:val="a5"/>
              <w:adjustRightInd w:val="0"/>
              <w:snapToGrid w:val="0"/>
              <w:spacing w:after="0"/>
              <w:rPr>
                <w:rFonts w:ascii="宋体" w:hAnsi="宋体" w:cs="Times New Roman" w:hint="eastAsia"/>
                <w:bCs/>
                <w:color w:val="000000" w:themeColor="text1"/>
                <w:lang w:val="en-US" w:eastAsia="zh-CN"/>
              </w:rPr>
            </w:pPr>
            <w:r>
              <w:rPr>
                <w:rFonts w:ascii="宋体" w:hAnsi="宋体"/>
                <w:color w:val="000000" w:themeColor="text1"/>
              </w:rPr>
              <w:sym w:font="Wingdings" w:char="F0FE"/>
            </w:r>
            <w:r>
              <w:rPr>
                <w:rFonts w:ascii="宋体" w:hAnsi="宋体" w:cs="Times New Roman"/>
                <w:bCs/>
                <w:color w:val="000000" w:themeColor="text1"/>
                <w:lang w:eastAsia="zh-CN"/>
              </w:rPr>
              <w:t xml:space="preserve"> 3</w:t>
            </w:r>
            <w:r>
              <w:rPr>
                <w:rFonts w:ascii="宋体" w:hAnsi="宋体" w:cs="Times New Roman"/>
                <w:bCs/>
                <w:color w:val="000000" w:themeColor="text1"/>
                <w:lang w:val="en-US" w:eastAsia="zh-CN"/>
              </w:rPr>
              <w:t>.</w:t>
            </w:r>
            <w:r>
              <w:rPr>
                <w:rFonts w:ascii="宋体" w:hAnsi="宋体" w:cs="Times New Roman" w:hint="eastAsia"/>
                <w:bCs/>
                <w:color w:val="000000" w:themeColor="text1"/>
                <w:lang w:eastAsia="zh-CN"/>
              </w:rPr>
              <w:t>不在同一相关市场也不存在上下游关系的参与集中的经营者，在与交易有关的每个市场所占的市场份额均小于</w:t>
            </w:r>
            <w:r>
              <w:rPr>
                <w:rFonts w:ascii="宋体" w:hAnsi="宋体" w:cs="Times New Roman"/>
                <w:bCs/>
                <w:color w:val="000000" w:themeColor="text1"/>
                <w:lang w:eastAsia="zh-CN"/>
              </w:rPr>
              <w:t>25%</w:t>
            </w:r>
            <w:r>
              <w:rPr>
                <w:rFonts w:ascii="宋体" w:hAnsi="宋体" w:cs="Times New Roman" w:hint="eastAsia"/>
                <w:bCs/>
                <w:color w:val="000000" w:themeColor="text1"/>
                <w:lang w:eastAsia="zh-CN"/>
              </w:rPr>
              <w:t>。</w:t>
            </w:r>
          </w:p>
        </w:tc>
      </w:tr>
      <w:tr w:rsidR="0055679D" w14:paraId="391FC1C4" w14:textId="77777777">
        <w:trPr>
          <w:trHeight w:val="303"/>
        </w:trPr>
        <w:tc>
          <w:tcPr>
            <w:tcW w:w="1006" w:type="pct"/>
            <w:vMerge/>
            <w:shd w:val="clear" w:color="auto" w:fill="D9D9D9"/>
            <w:vAlign w:val="center"/>
          </w:tcPr>
          <w:p w14:paraId="391FC1C2" w14:textId="77777777" w:rsidR="0055679D" w:rsidRDefault="0055679D">
            <w:pPr>
              <w:pStyle w:val="a5"/>
              <w:adjustRightInd w:val="0"/>
              <w:snapToGrid w:val="0"/>
              <w:spacing w:after="0"/>
              <w:rPr>
                <w:rFonts w:ascii="宋体" w:hAnsi="宋体" w:cs="Times New Roman" w:hint="eastAsia"/>
                <w:bCs/>
                <w:color w:val="000000" w:themeColor="text1"/>
                <w:lang w:val="en-US" w:eastAsia="zh-CN"/>
              </w:rPr>
            </w:pPr>
          </w:p>
        </w:tc>
        <w:tc>
          <w:tcPr>
            <w:tcW w:w="3994" w:type="pct"/>
            <w:gridSpan w:val="2"/>
            <w:vAlign w:val="center"/>
          </w:tcPr>
          <w:p w14:paraId="391FC1C3" w14:textId="77777777" w:rsidR="0055679D" w:rsidRDefault="0002663C">
            <w:pPr>
              <w:pStyle w:val="a5"/>
              <w:adjustRightInd w:val="0"/>
              <w:snapToGrid w:val="0"/>
              <w:spacing w:after="0"/>
              <w:rPr>
                <w:rFonts w:ascii="宋体" w:hAnsi="宋体" w:cs="Times New Roman" w:hint="eastAsia"/>
                <w:bCs/>
                <w:color w:val="000000" w:themeColor="text1"/>
                <w:lang w:val="en-US" w:eastAsia="zh-CN"/>
              </w:rPr>
            </w:pPr>
            <w:r>
              <w:rPr>
                <w:rFonts w:ascii="宋体" w:hAnsi="宋体" w:cs="Times New Roman"/>
                <w:bCs/>
                <w:color w:val="000000" w:themeColor="text1"/>
                <w:lang w:eastAsia="zh-CN"/>
              </w:rPr>
              <w:sym w:font="Wingdings" w:char="00A8"/>
            </w:r>
            <w:r>
              <w:rPr>
                <w:rFonts w:ascii="宋体" w:hAnsi="宋体" w:cs="Times New Roman"/>
                <w:bCs/>
                <w:color w:val="000000" w:themeColor="text1"/>
                <w:lang w:eastAsia="zh-CN"/>
              </w:rPr>
              <w:t xml:space="preserve"> 4</w:t>
            </w:r>
            <w:r>
              <w:rPr>
                <w:rFonts w:ascii="宋体" w:hAnsi="宋体" w:cs="Times New Roman"/>
                <w:bCs/>
                <w:color w:val="000000" w:themeColor="text1"/>
                <w:lang w:val="en-US" w:eastAsia="zh-CN"/>
              </w:rPr>
              <w:t>.</w:t>
            </w:r>
            <w:r>
              <w:rPr>
                <w:rFonts w:ascii="宋体" w:hAnsi="宋体" w:cs="Times New Roman" w:hint="eastAsia"/>
                <w:bCs/>
                <w:color w:val="000000" w:themeColor="text1"/>
                <w:lang w:eastAsia="zh-CN"/>
              </w:rPr>
              <w:t>参与集中的经营者在中国境外设立合营企业，合营企业不在中国境内从事经济活动。</w:t>
            </w:r>
          </w:p>
        </w:tc>
      </w:tr>
      <w:tr w:rsidR="0055679D" w14:paraId="391FC1C7" w14:textId="77777777">
        <w:trPr>
          <w:trHeight w:val="264"/>
        </w:trPr>
        <w:tc>
          <w:tcPr>
            <w:tcW w:w="1006" w:type="pct"/>
            <w:vMerge/>
            <w:shd w:val="clear" w:color="auto" w:fill="D9D9D9"/>
            <w:vAlign w:val="center"/>
          </w:tcPr>
          <w:p w14:paraId="391FC1C5" w14:textId="77777777" w:rsidR="0055679D" w:rsidRDefault="0055679D">
            <w:pPr>
              <w:pStyle w:val="a5"/>
              <w:adjustRightInd w:val="0"/>
              <w:snapToGrid w:val="0"/>
              <w:spacing w:after="0"/>
              <w:rPr>
                <w:rFonts w:ascii="宋体" w:hAnsi="宋体" w:cs="Times New Roman" w:hint="eastAsia"/>
                <w:bCs/>
                <w:color w:val="000000" w:themeColor="text1"/>
                <w:lang w:val="en-US" w:eastAsia="zh-CN"/>
              </w:rPr>
            </w:pPr>
          </w:p>
        </w:tc>
        <w:tc>
          <w:tcPr>
            <w:tcW w:w="3994" w:type="pct"/>
            <w:gridSpan w:val="2"/>
            <w:vAlign w:val="center"/>
          </w:tcPr>
          <w:p w14:paraId="391FC1C6" w14:textId="77777777" w:rsidR="0055679D" w:rsidRDefault="0002663C">
            <w:pPr>
              <w:pStyle w:val="a5"/>
              <w:adjustRightInd w:val="0"/>
              <w:snapToGrid w:val="0"/>
              <w:spacing w:after="0"/>
              <w:rPr>
                <w:rFonts w:ascii="宋体" w:hAnsi="宋体" w:cs="Times New Roman" w:hint="eastAsia"/>
                <w:bCs/>
                <w:color w:val="000000" w:themeColor="text1"/>
                <w:lang w:val="en-US" w:eastAsia="zh-CN"/>
              </w:rPr>
            </w:pPr>
            <w:r>
              <w:rPr>
                <w:rFonts w:ascii="宋体" w:hAnsi="宋体" w:cs="Times New Roman"/>
                <w:bCs/>
                <w:color w:val="000000" w:themeColor="text1"/>
                <w:lang w:eastAsia="zh-CN"/>
              </w:rPr>
              <w:sym w:font="Wingdings" w:char="00A8"/>
            </w:r>
            <w:r>
              <w:rPr>
                <w:rFonts w:ascii="宋体" w:hAnsi="宋体" w:cs="Times New Roman"/>
                <w:bCs/>
                <w:color w:val="000000" w:themeColor="text1"/>
                <w:lang w:eastAsia="zh-CN"/>
              </w:rPr>
              <w:t xml:space="preserve"> 5</w:t>
            </w:r>
            <w:r>
              <w:rPr>
                <w:rFonts w:ascii="宋体" w:hAnsi="宋体" w:cs="Times New Roman"/>
                <w:bCs/>
                <w:color w:val="000000" w:themeColor="text1"/>
                <w:lang w:val="en-US" w:eastAsia="zh-CN"/>
              </w:rPr>
              <w:t>.</w:t>
            </w:r>
            <w:r>
              <w:rPr>
                <w:rFonts w:ascii="宋体" w:hAnsi="宋体" w:cs="Times New Roman" w:hint="eastAsia"/>
                <w:bCs/>
                <w:color w:val="000000" w:themeColor="text1"/>
                <w:lang w:eastAsia="zh-CN"/>
              </w:rPr>
              <w:t>参与集中的经营者收购境外企业股权或资产的，该境外企业不在中国境内从事经济活动。</w:t>
            </w:r>
          </w:p>
        </w:tc>
      </w:tr>
      <w:tr w:rsidR="0055679D" w14:paraId="391FC1CA" w14:textId="77777777">
        <w:trPr>
          <w:trHeight w:val="345"/>
        </w:trPr>
        <w:tc>
          <w:tcPr>
            <w:tcW w:w="1006" w:type="pct"/>
            <w:vMerge/>
            <w:shd w:val="clear" w:color="auto" w:fill="D9D9D9"/>
            <w:vAlign w:val="center"/>
          </w:tcPr>
          <w:p w14:paraId="391FC1C8" w14:textId="77777777" w:rsidR="0055679D" w:rsidRDefault="0055679D">
            <w:pPr>
              <w:pStyle w:val="a5"/>
              <w:adjustRightInd w:val="0"/>
              <w:snapToGrid w:val="0"/>
              <w:spacing w:after="0"/>
              <w:rPr>
                <w:rFonts w:ascii="宋体" w:hAnsi="宋体" w:cs="Times New Roman" w:hint="eastAsia"/>
                <w:bCs/>
                <w:color w:val="000000" w:themeColor="text1"/>
                <w:lang w:val="en-US" w:eastAsia="zh-CN"/>
              </w:rPr>
            </w:pPr>
          </w:p>
        </w:tc>
        <w:tc>
          <w:tcPr>
            <w:tcW w:w="3994" w:type="pct"/>
            <w:gridSpan w:val="2"/>
            <w:vAlign w:val="center"/>
          </w:tcPr>
          <w:p w14:paraId="391FC1C9" w14:textId="77777777" w:rsidR="0055679D" w:rsidRDefault="0002663C">
            <w:pPr>
              <w:pStyle w:val="a5"/>
              <w:adjustRightInd w:val="0"/>
              <w:snapToGrid w:val="0"/>
              <w:spacing w:after="0"/>
              <w:rPr>
                <w:rFonts w:ascii="宋体" w:hAnsi="宋体" w:cs="Times New Roman" w:hint="eastAsia"/>
                <w:bCs/>
                <w:color w:val="000000" w:themeColor="text1"/>
                <w:lang w:val="en-US" w:eastAsia="zh-CN"/>
              </w:rPr>
            </w:pPr>
            <w:r>
              <w:rPr>
                <w:rFonts w:ascii="宋体" w:hAnsi="宋体" w:cs="Times New Roman"/>
                <w:bCs/>
                <w:color w:val="000000" w:themeColor="text1"/>
                <w:lang w:eastAsia="zh-CN"/>
              </w:rPr>
              <w:sym w:font="Wingdings" w:char="00A8"/>
            </w:r>
            <w:r>
              <w:rPr>
                <w:rFonts w:ascii="宋体" w:hAnsi="宋体" w:cs="Times New Roman"/>
                <w:bCs/>
                <w:color w:val="000000" w:themeColor="text1"/>
                <w:lang w:eastAsia="zh-CN"/>
              </w:rPr>
              <w:t xml:space="preserve"> 6</w:t>
            </w:r>
            <w:r>
              <w:rPr>
                <w:rFonts w:ascii="宋体" w:hAnsi="宋体" w:cs="Times New Roman"/>
                <w:bCs/>
                <w:color w:val="000000" w:themeColor="text1"/>
                <w:lang w:val="en-US" w:eastAsia="zh-CN"/>
              </w:rPr>
              <w:t>.</w:t>
            </w:r>
            <w:r>
              <w:rPr>
                <w:rFonts w:ascii="宋体" w:hAnsi="宋体" w:cs="Times New Roman" w:hint="eastAsia"/>
                <w:bCs/>
                <w:color w:val="000000" w:themeColor="text1"/>
                <w:lang w:eastAsia="zh-CN"/>
              </w:rPr>
              <w:t>由两个以上的经营者共同控制的合营企业，通过集中被其中一个或一个以上经营者控制。</w:t>
            </w:r>
          </w:p>
        </w:tc>
      </w:tr>
      <w:tr w:rsidR="0055679D" w14:paraId="391FC1D5" w14:textId="77777777">
        <w:trPr>
          <w:trHeight w:val="92"/>
        </w:trPr>
        <w:tc>
          <w:tcPr>
            <w:tcW w:w="1006" w:type="pct"/>
            <w:shd w:val="clear" w:color="auto" w:fill="D9D9D9"/>
            <w:vAlign w:val="center"/>
          </w:tcPr>
          <w:p w14:paraId="391FC1CB" w14:textId="77777777" w:rsidR="0055679D" w:rsidRDefault="0002663C">
            <w:pPr>
              <w:pStyle w:val="a5"/>
              <w:adjustRightInd w:val="0"/>
              <w:snapToGrid w:val="0"/>
              <w:spacing w:after="0"/>
              <w:rPr>
                <w:rFonts w:ascii="宋体" w:hAnsi="宋体" w:cs="Times New Roman" w:hint="eastAsia"/>
                <w:bCs/>
                <w:color w:val="000000" w:themeColor="text1"/>
                <w:lang w:val="en-US" w:eastAsia="zh-CN"/>
              </w:rPr>
            </w:pPr>
            <w:r>
              <w:rPr>
                <w:rFonts w:ascii="宋体" w:hAnsi="宋体" w:cs="Times New Roman" w:hint="eastAsia"/>
                <w:bCs/>
                <w:color w:val="000000" w:themeColor="text1"/>
                <w:lang w:val="en-US" w:eastAsia="zh-CN"/>
              </w:rPr>
              <w:t>备注</w:t>
            </w:r>
          </w:p>
        </w:tc>
        <w:tc>
          <w:tcPr>
            <w:tcW w:w="3994" w:type="pct"/>
            <w:gridSpan w:val="2"/>
            <w:vAlign w:val="center"/>
          </w:tcPr>
          <w:p w14:paraId="391FC1CC" w14:textId="77777777" w:rsidR="0055679D" w:rsidRDefault="0002663C">
            <w:pPr>
              <w:snapToGrid w:val="0"/>
              <w:rPr>
                <w:rFonts w:ascii="宋体" w:hAnsi="宋体" w:hint="eastAsia"/>
                <w:b/>
                <w:bCs/>
                <w:color w:val="000000" w:themeColor="text1"/>
                <w:sz w:val="24"/>
              </w:rPr>
            </w:pPr>
            <w:r>
              <w:rPr>
                <w:rFonts w:ascii="宋体" w:hAnsi="宋体" w:hint="eastAsia"/>
                <w:b/>
                <w:bCs/>
                <w:color w:val="000000" w:themeColor="text1"/>
                <w:sz w:val="24"/>
              </w:rPr>
              <w:t>横向重叠</w:t>
            </w:r>
          </w:p>
          <w:p w14:paraId="391FC1CD" w14:textId="77777777" w:rsidR="0055679D" w:rsidRDefault="0002663C">
            <w:pPr>
              <w:snapToGrid w:val="0"/>
              <w:rPr>
                <w:rFonts w:ascii="宋体" w:hAnsi="宋体" w:hint="eastAsia"/>
                <w:bCs/>
                <w:color w:val="000000" w:themeColor="text1"/>
                <w:sz w:val="24"/>
                <w:lang w:val="en-GB"/>
              </w:rPr>
            </w:pPr>
            <w:r>
              <w:rPr>
                <w:rFonts w:ascii="宋体" w:hAnsi="宋体" w:hint="eastAsia"/>
                <w:color w:val="000000" w:themeColor="text1"/>
                <w:sz w:val="24"/>
              </w:rPr>
              <w:t>2024</w:t>
            </w:r>
            <w:r>
              <w:rPr>
                <w:rFonts w:ascii="宋体" w:hAnsi="宋体" w:hint="eastAsia"/>
                <w:color w:val="000000" w:themeColor="text1"/>
                <w:sz w:val="24"/>
              </w:rPr>
              <w:t>年中国境内</w:t>
            </w:r>
            <w:r>
              <w:rPr>
                <w:rFonts w:ascii="宋体" w:hAnsi="宋体" w:hint="eastAsia"/>
                <w:color w:val="000000" w:themeColor="text1"/>
                <w:sz w:val="24"/>
              </w:rPr>
              <w:t>原生</w:t>
            </w:r>
            <w:r>
              <w:rPr>
                <w:rFonts w:ascii="宋体" w:hAnsi="宋体"/>
                <w:color w:val="000000" w:themeColor="text1"/>
                <w:sz w:val="24"/>
              </w:rPr>
              <w:t>PET</w:t>
            </w:r>
            <w:r>
              <w:rPr>
                <w:rFonts w:ascii="宋体" w:hAnsi="宋体" w:hint="eastAsia"/>
                <w:bCs/>
                <w:color w:val="000000" w:themeColor="text1"/>
                <w:sz w:val="24"/>
                <w:lang w:val="en-GB"/>
              </w:rPr>
              <w:t>市场</w:t>
            </w:r>
          </w:p>
          <w:p w14:paraId="391FC1CE" w14:textId="77777777" w:rsidR="0055679D" w:rsidRDefault="0002663C">
            <w:pPr>
              <w:snapToGrid w:val="0"/>
              <w:rPr>
                <w:rFonts w:ascii="宋体" w:hAnsi="宋体" w:hint="eastAsia"/>
                <w:bCs/>
                <w:color w:val="000000" w:themeColor="text1"/>
                <w:sz w:val="24"/>
                <w:lang w:val="en-GB"/>
              </w:rPr>
            </w:pPr>
            <w:r>
              <w:rPr>
                <w:rFonts w:ascii="宋体" w:hAnsi="宋体" w:hint="eastAsia"/>
                <w:color w:val="000000" w:themeColor="text1"/>
                <w:sz w:val="24"/>
                <w:lang w:val="en-GB"/>
              </w:rPr>
              <w:t>建信佳人：</w:t>
            </w:r>
            <w:r>
              <w:rPr>
                <w:rFonts w:ascii="宋体" w:hAnsi="宋体" w:hint="eastAsia"/>
                <w:color w:val="000000" w:themeColor="text1"/>
                <w:sz w:val="24"/>
                <w:lang w:val="en-GB"/>
              </w:rPr>
              <w:t>0-5%</w:t>
            </w:r>
            <w:r>
              <w:rPr>
                <w:rFonts w:ascii="宋体" w:hAnsi="宋体" w:hint="eastAsia"/>
                <w:color w:val="000000" w:themeColor="text1"/>
                <w:sz w:val="24"/>
                <w:lang w:val="en-GB"/>
              </w:rPr>
              <w:t>；银都拉玛</w:t>
            </w:r>
            <w:r>
              <w:rPr>
                <w:rFonts w:ascii="宋体" w:hAnsi="宋体" w:hint="eastAsia"/>
                <w:color w:val="000000" w:themeColor="text1"/>
                <w:sz w:val="24"/>
              </w:rPr>
              <w:t>：</w:t>
            </w:r>
            <w:r>
              <w:rPr>
                <w:rFonts w:ascii="宋体" w:hAnsi="宋体" w:hint="eastAsia"/>
                <w:color w:val="000000" w:themeColor="text1"/>
                <w:sz w:val="24"/>
              </w:rPr>
              <w:t>0-5%</w:t>
            </w:r>
            <w:r>
              <w:rPr>
                <w:rFonts w:ascii="宋体" w:hAnsi="宋体" w:hint="eastAsia"/>
                <w:color w:val="000000" w:themeColor="text1"/>
                <w:sz w:val="24"/>
              </w:rPr>
              <w:t>；合计：</w:t>
            </w:r>
            <w:r>
              <w:rPr>
                <w:rFonts w:ascii="宋体" w:hAnsi="宋体" w:hint="eastAsia"/>
                <w:color w:val="000000" w:themeColor="text1"/>
                <w:sz w:val="24"/>
              </w:rPr>
              <w:t>0-5%</w:t>
            </w:r>
          </w:p>
          <w:p w14:paraId="391FC1CF" w14:textId="77777777" w:rsidR="0055679D" w:rsidRDefault="0055679D">
            <w:pPr>
              <w:snapToGrid w:val="0"/>
              <w:rPr>
                <w:rFonts w:ascii="宋体" w:hAnsi="宋体" w:hint="eastAsia"/>
                <w:b/>
                <w:bCs/>
                <w:color w:val="000000" w:themeColor="text1"/>
                <w:sz w:val="24"/>
              </w:rPr>
            </w:pPr>
          </w:p>
          <w:p w14:paraId="391FC1D0" w14:textId="77777777" w:rsidR="0055679D" w:rsidRDefault="0002663C">
            <w:pPr>
              <w:snapToGrid w:val="0"/>
              <w:rPr>
                <w:rFonts w:ascii="宋体" w:hAnsi="宋体" w:hint="eastAsia"/>
                <w:b/>
                <w:bCs/>
                <w:color w:val="000000" w:themeColor="text1"/>
                <w:sz w:val="24"/>
              </w:rPr>
            </w:pPr>
            <w:r>
              <w:rPr>
                <w:rFonts w:ascii="宋体" w:hAnsi="宋体" w:hint="eastAsia"/>
                <w:b/>
                <w:bCs/>
                <w:color w:val="000000" w:themeColor="text1"/>
                <w:sz w:val="24"/>
              </w:rPr>
              <w:t>相邻关系：</w:t>
            </w:r>
          </w:p>
          <w:p w14:paraId="391FC1D1" w14:textId="77777777" w:rsidR="0055679D" w:rsidRDefault="0002663C">
            <w:pPr>
              <w:snapToGrid w:val="0"/>
              <w:rPr>
                <w:rFonts w:ascii="宋体" w:hAnsi="宋体" w:hint="eastAsia"/>
                <w:bCs/>
                <w:color w:val="000000" w:themeColor="text1"/>
                <w:sz w:val="24"/>
                <w:lang w:val="en-GB"/>
              </w:rPr>
            </w:pPr>
            <w:r>
              <w:rPr>
                <w:rFonts w:ascii="宋体" w:hAnsi="宋体" w:hint="eastAsia"/>
                <w:color w:val="000000" w:themeColor="text1"/>
                <w:sz w:val="24"/>
              </w:rPr>
              <w:t>2024</w:t>
            </w:r>
            <w:r>
              <w:rPr>
                <w:rFonts w:ascii="宋体" w:hAnsi="宋体" w:hint="eastAsia"/>
                <w:color w:val="000000" w:themeColor="text1"/>
                <w:sz w:val="24"/>
              </w:rPr>
              <w:t>年中国境内</w:t>
            </w:r>
            <w:r>
              <w:rPr>
                <w:rFonts w:ascii="宋体" w:hAnsi="宋体" w:hint="eastAsia"/>
                <w:color w:val="000000" w:themeColor="text1"/>
                <w:sz w:val="24"/>
              </w:rPr>
              <w:t>原生</w:t>
            </w:r>
            <w:r>
              <w:rPr>
                <w:rFonts w:ascii="宋体" w:hAnsi="宋体"/>
                <w:color w:val="000000" w:themeColor="text1"/>
                <w:sz w:val="24"/>
              </w:rPr>
              <w:t>PET</w:t>
            </w:r>
            <w:r>
              <w:rPr>
                <w:rFonts w:ascii="宋体" w:hAnsi="宋体" w:hint="eastAsia"/>
                <w:bCs/>
                <w:color w:val="000000" w:themeColor="text1"/>
                <w:sz w:val="24"/>
                <w:lang w:val="en-GB"/>
              </w:rPr>
              <w:t>市场</w:t>
            </w:r>
          </w:p>
          <w:p w14:paraId="233EE085" w14:textId="77777777" w:rsidR="0002663C" w:rsidRDefault="0002663C" w:rsidP="0002663C">
            <w:pPr>
              <w:snapToGrid w:val="0"/>
              <w:rPr>
                <w:rFonts w:ascii="宋体" w:hAnsi="宋体" w:hint="eastAsia"/>
                <w:bCs/>
                <w:color w:val="000000" w:themeColor="text1"/>
                <w:sz w:val="24"/>
                <w:lang w:val="en-GB"/>
              </w:rPr>
            </w:pPr>
            <w:r>
              <w:rPr>
                <w:rFonts w:ascii="宋体" w:hAnsi="宋体" w:hint="eastAsia"/>
                <w:color w:val="000000" w:themeColor="text1"/>
                <w:sz w:val="24"/>
                <w:lang w:val="en-GB"/>
              </w:rPr>
              <w:t>建信佳人：0-5%；银都拉玛</w:t>
            </w:r>
            <w:r>
              <w:rPr>
                <w:rFonts w:ascii="宋体" w:hAnsi="宋体" w:hint="eastAsia"/>
                <w:color w:val="000000" w:themeColor="text1"/>
                <w:sz w:val="24"/>
              </w:rPr>
              <w:t>：0-5%；合计：0-5%</w:t>
            </w:r>
          </w:p>
          <w:p w14:paraId="391FC1D3" w14:textId="77777777" w:rsidR="0055679D" w:rsidRDefault="0002663C">
            <w:pPr>
              <w:snapToGrid w:val="0"/>
              <w:rPr>
                <w:rFonts w:ascii="宋体" w:hAnsi="宋体" w:hint="eastAsia"/>
                <w:bCs/>
                <w:color w:val="000000" w:themeColor="text1"/>
                <w:sz w:val="24"/>
                <w:lang w:val="en-GB"/>
              </w:rPr>
            </w:pPr>
            <w:r>
              <w:rPr>
                <w:rFonts w:ascii="宋体" w:hAnsi="宋体" w:hint="eastAsia"/>
                <w:color w:val="000000" w:themeColor="text1"/>
                <w:sz w:val="24"/>
              </w:rPr>
              <w:t>2024</w:t>
            </w:r>
            <w:r>
              <w:rPr>
                <w:rFonts w:ascii="宋体" w:hAnsi="宋体" w:hint="eastAsia"/>
                <w:color w:val="000000" w:themeColor="text1"/>
                <w:sz w:val="24"/>
              </w:rPr>
              <w:t>年中国境内再生</w:t>
            </w:r>
            <w:r>
              <w:rPr>
                <w:rFonts w:ascii="宋体" w:hAnsi="宋体"/>
                <w:color w:val="000000" w:themeColor="text1"/>
                <w:sz w:val="24"/>
              </w:rPr>
              <w:t>PET</w:t>
            </w:r>
            <w:r>
              <w:rPr>
                <w:rFonts w:ascii="宋体" w:hAnsi="宋体" w:hint="eastAsia"/>
                <w:bCs/>
                <w:color w:val="000000" w:themeColor="text1"/>
                <w:sz w:val="24"/>
                <w:lang w:val="en-GB"/>
              </w:rPr>
              <w:t>市场</w:t>
            </w:r>
          </w:p>
          <w:p w14:paraId="391FC1D4" w14:textId="77777777" w:rsidR="0055679D" w:rsidRDefault="0002663C">
            <w:pPr>
              <w:snapToGrid w:val="0"/>
              <w:rPr>
                <w:rFonts w:ascii="宋体" w:hAnsi="宋体" w:hint="eastAsia"/>
                <w:bCs/>
                <w:color w:val="000000" w:themeColor="text1"/>
                <w:sz w:val="24"/>
                <w:lang w:val="en-GB"/>
              </w:rPr>
            </w:pPr>
            <w:r>
              <w:rPr>
                <w:rFonts w:ascii="宋体" w:hAnsi="宋体" w:hint="eastAsia"/>
                <w:color w:val="000000" w:themeColor="text1"/>
                <w:sz w:val="24"/>
              </w:rPr>
              <w:t>建信佳人：</w:t>
            </w:r>
            <w:r>
              <w:rPr>
                <w:rFonts w:ascii="宋体" w:hAnsi="宋体" w:hint="eastAsia"/>
                <w:color w:val="000000" w:themeColor="text1"/>
                <w:sz w:val="24"/>
              </w:rPr>
              <w:t>0-5%</w:t>
            </w:r>
          </w:p>
        </w:tc>
      </w:tr>
    </w:tbl>
    <w:p w14:paraId="391FC1D6" w14:textId="77777777" w:rsidR="0055679D" w:rsidRDefault="0055679D">
      <w:pPr>
        <w:rPr>
          <w:sz w:val="24"/>
        </w:rPr>
      </w:pPr>
    </w:p>
    <w:sectPr w:rsidR="0055679D">
      <w:endnotePr>
        <w:numFmt w:val="decimal"/>
      </w:endnotePr>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0271A2" w14:textId="77777777" w:rsidR="0002663C" w:rsidRDefault="0002663C" w:rsidP="0002663C">
      <w:r>
        <w:separator/>
      </w:r>
    </w:p>
  </w:endnote>
  <w:endnote w:type="continuationSeparator" w:id="0">
    <w:p w14:paraId="0B1B4D29" w14:textId="77777777" w:rsidR="0002663C" w:rsidRDefault="0002663C" w:rsidP="000266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ESI黑体-GB2312">
    <w:altName w:val="黑体"/>
    <w:charset w:val="00"/>
    <w:family w:val="auto"/>
    <w:pitch w:val="default"/>
    <w:sig w:usb0="00000000" w:usb1="00000000" w:usb2="00000012" w:usb3="00000000" w:csb0="0004000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ESI楷体-GB2312">
    <w:altName w:val="微软雅黑"/>
    <w:charset w:val="00"/>
    <w:family w:val="auto"/>
    <w:pitch w:val="default"/>
    <w:sig w:usb0="00000000" w:usb1="00000000" w:usb2="00000012" w:usb3="00000000" w:csb0="0004000F" w:csb1="00000000"/>
  </w:font>
  <w:font w:name="方正楷体_GBK">
    <w:altName w:val="微软雅黑"/>
    <w:charset w:val="00"/>
    <w:family w:val="auto"/>
    <w:pitch w:val="default"/>
    <w:sig w:usb0="00000000" w:usb1="00000000" w:usb2="00000000" w:usb3="00000000" w:csb0="00040000" w:csb1="00000000"/>
  </w:font>
  <w:font w:name="Simplified Arabic">
    <w:altName w:val="Segoe Print"/>
    <w:charset w:val="B2"/>
    <w:family w:val="roman"/>
    <w:pitch w:val="default"/>
    <w:sig w:usb0="00000000" w:usb1="00000000" w:usb2="00000008" w:usb3="00000000" w:csb0="00000041"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DC9DF3" w14:textId="77777777" w:rsidR="0002663C" w:rsidRDefault="0002663C" w:rsidP="0002663C">
      <w:r>
        <w:separator/>
      </w:r>
    </w:p>
  </w:footnote>
  <w:footnote w:type="continuationSeparator" w:id="0">
    <w:p w14:paraId="2BA0E5E3" w14:textId="77777777" w:rsidR="0002663C" w:rsidRDefault="0002663C" w:rsidP="000266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TQ4ODQwNThiYTg4YTBlNDhkZDRmNGNiNWM5NWE1YzAifQ=="/>
  </w:docVars>
  <w:rsids>
    <w:rsidRoot w:val="6FBDD792"/>
    <w:rsid w:val="8EAE45C5"/>
    <w:rsid w:val="9B68F012"/>
    <w:rsid w:val="9B7FA9C1"/>
    <w:rsid w:val="9F9DCBBF"/>
    <w:rsid w:val="ACEFD782"/>
    <w:rsid w:val="BBD36F41"/>
    <w:rsid w:val="BC3517BA"/>
    <w:rsid w:val="D76F6EF4"/>
    <w:rsid w:val="DFBC2832"/>
    <w:rsid w:val="DFFC4C00"/>
    <w:rsid w:val="DFFCC2EC"/>
    <w:rsid w:val="ED9FB689"/>
    <w:rsid w:val="EF7CA40F"/>
    <w:rsid w:val="EFFF9D5B"/>
    <w:rsid w:val="F0CF0FA1"/>
    <w:rsid w:val="F78D7951"/>
    <w:rsid w:val="F7BD343A"/>
    <w:rsid w:val="F7DBD425"/>
    <w:rsid w:val="FB46F0CF"/>
    <w:rsid w:val="FEFB7B3A"/>
    <w:rsid w:val="FEFED215"/>
    <w:rsid w:val="FEFF3882"/>
    <w:rsid w:val="FFC7B96D"/>
    <w:rsid w:val="FFFCE7EB"/>
    <w:rsid w:val="FFFF7513"/>
    <w:rsid w:val="FFFF9371"/>
    <w:rsid w:val="00010606"/>
    <w:rsid w:val="0001066F"/>
    <w:rsid w:val="0002663C"/>
    <w:rsid w:val="000273BF"/>
    <w:rsid w:val="00030A23"/>
    <w:rsid w:val="0004368E"/>
    <w:rsid w:val="000537D3"/>
    <w:rsid w:val="0007047D"/>
    <w:rsid w:val="0008072D"/>
    <w:rsid w:val="00081A4F"/>
    <w:rsid w:val="000900E7"/>
    <w:rsid w:val="00091D28"/>
    <w:rsid w:val="00093AD2"/>
    <w:rsid w:val="000A17F1"/>
    <w:rsid w:val="000A5AD6"/>
    <w:rsid w:val="000D4EEF"/>
    <w:rsid w:val="000E3F72"/>
    <w:rsid w:val="000E7B59"/>
    <w:rsid w:val="000F24E6"/>
    <w:rsid w:val="00101EDF"/>
    <w:rsid w:val="00106BA0"/>
    <w:rsid w:val="00125295"/>
    <w:rsid w:val="0015356E"/>
    <w:rsid w:val="001665AA"/>
    <w:rsid w:val="001754CD"/>
    <w:rsid w:val="00184A8B"/>
    <w:rsid w:val="001D0418"/>
    <w:rsid w:val="001E3269"/>
    <w:rsid w:val="001F1F2E"/>
    <w:rsid w:val="002076D2"/>
    <w:rsid w:val="00214131"/>
    <w:rsid w:val="002151F2"/>
    <w:rsid w:val="0021723E"/>
    <w:rsid w:val="00217574"/>
    <w:rsid w:val="00225451"/>
    <w:rsid w:val="00232AA2"/>
    <w:rsid w:val="00235C2E"/>
    <w:rsid w:val="0025027E"/>
    <w:rsid w:val="00273649"/>
    <w:rsid w:val="0027440C"/>
    <w:rsid w:val="00281D70"/>
    <w:rsid w:val="00292D12"/>
    <w:rsid w:val="00293B6D"/>
    <w:rsid w:val="002B5782"/>
    <w:rsid w:val="002D4115"/>
    <w:rsid w:val="002E2D24"/>
    <w:rsid w:val="002E60A9"/>
    <w:rsid w:val="002F121E"/>
    <w:rsid w:val="002F26E6"/>
    <w:rsid w:val="00314827"/>
    <w:rsid w:val="00315E19"/>
    <w:rsid w:val="00332722"/>
    <w:rsid w:val="00333AC5"/>
    <w:rsid w:val="003540EB"/>
    <w:rsid w:val="003762A9"/>
    <w:rsid w:val="00376C33"/>
    <w:rsid w:val="00387870"/>
    <w:rsid w:val="00387B5B"/>
    <w:rsid w:val="003A2268"/>
    <w:rsid w:val="003A5105"/>
    <w:rsid w:val="003B4FFA"/>
    <w:rsid w:val="003C0C1A"/>
    <w:rsid w:val="003D29C7"/>
    <w:rsid w:val="003F1B68"/>
    <w:rsid w:val="003F5E08"/>
    <w:rsid w:val="0043271B"/>
    <w:rsid w:val="00432FD0"/>
    <w:rsid w:val="004373CC"/>
    <w:rsid w:val="00437FAF"/>
    <w:rsid w:val="00444E12"/>
    <w:rsid w:val="004462B1"/>
    <w:rsid w:val="00451EF0"/>
    <w:rsid w:val="0045750C"/>
    <w:rsid w:val="00482A08"/>
    <w:rsid w:val="00486471"/>
    <w:rsid w:val="00486F42"/>
    <w:rsid w:val="004B2406"/>
    <w:rsid w:val="004B278B"/>
    <w:rsid w:val="004B311F"/>
    <w:rsid w:val="004B6201"/>
    <w:rsid w:val="004B77B2"/>
    <w:rsid w:val="004D1594"/>
    <w:rsid w:val="004F1BDA"/>
    <w:rsid w:val="00501C7A"/>
    <w:rsid w:val="00522E4F"/>
    <w:rsid w:val="00526025"/>
    <w:rsid w:val="005377E5"/>
    <w:rsid w:val="00541974"/>
    <w:rsid w:val="00543346"/>
    <w:rsid w:val="0055679D"/>
    <w:rsid w:val="00562234"/>
    <w:rsid w:val="0056283C"/>
    <w:rsid w:val="00585400"/>
    <w:rsid w:val="005B3AF9"/>
    <w:rsid w:val="005B62CC"/>
    <w:rsid w:val="005B7B06"/>
    <w:rsid w:val="005C3BEC"/>
    <w:rsid w:val="005D6997"/>
    <w:rsid w:val="005D6E82"/>
    <w:rsid w:val="00605792"/>
    <w:rsid w:val="00612793"/>
    <w:rsid w:val="00613088"/>
    <w:rsid w:val="00621E80"/>
    <w:rsid w:val="00622EE7"/>
    <w:rsid w:val="00627EC6"/>
    <w:rsid w:val="00637A21"/>
    <w:rsid w:val="00666847"/>
    <w:rsid w:val="006740A6"/>
    <w:rsid w:val="00690431"/>
    <w:rsid w:val="006A6C44"/>
    <w:rsid w:val="006C2CBB"/>
    <w:rsid w:val="006D5158"/>
    <w:rsid w:val="006D6B29"/>
    <w:rsid w:val="006D7B24"/>
    <w:rsid w:val="006E2EED"/>
    <w:rsid w:val="006E58F1"/>
    <w:rsid w:val="006F2DB6"/>
    <w:rsid w:val="006F2E1E"/>
    <w:rsid w:val="006F4A25"/>
    <w:rsid w:val="006F60F7"/>
    <w:rsid w:val="0070720F"/>
    <w:rsid w:val="0072158F"/>
    <w:rsid w:val="00726D4F"/>
    <w:rsid w:val="00736847"/>
    <w:rsid w:val="00767C5F"/>
    <w:rsid w:val="007A2A67"/>
    <w:rsid w:val="007B1470"/>
    <w:rsid w:val="007B57AA"/>
    <w:rsid w:val="007B60CD"/>
    <w:rsid w:val="007D7FF2"/>
    <w:rsid w:val="007E6532"/>
    <w:rsid w:val="007F200D"/>
    <w:rsid w:val="00801F0F"/>
    <w:rsid w:val="008121C7"/>
    <w:rsid w:val="008147C7"/>
    <w:rsid w:val="008162C7"/>
    <w:rsid w:val="008329A3"/>
    <w:rsid w:val="008344EB"/>
    <w:rsid w:val="00836A33"/>
    <w:rsid w:val="00841BFF"/>
    <w:rsid w:val="00843342"/>
    <w:rsid w:val="00863DB5"/>
    <w:rsid w:val="00866D97"/>
    <w:rsid w:val="00867825"/>
    <w:rsid w:val="00876DFA"/>
    <w:rsid w:val="00885DD5"/>
    <w:rsid w:val="008D10AC"/>
    <w:rsid w:val="008D3008"/>
    <w:rsid w:val="008D6499"/>
    <w:rsid w:val="00905BB8"/>
    <w:rsid w:val="00910DEB"/>
    <w:rsid w:val="0093208E"/>
    <w:rsid w:val="009558A3"/>
    <w:rsid w:val="009578C7"/>
    <w:rsid w:val="00957943"/>
    <w:rsid w:val="00971782"/>
    <w:rsid w:val="009A12C0"/>
    <w:rsid w:val="009C75DD"/>
    <w:rsid w:val="009D16F8"/>
    <w:rsid w:val="009D3E62"/>
    <w:rsid w:val="009F3D2D"/>
    <w:rsid w:val="009F4645"/>
    <w:rsid w:val="00A141AE"/>
    <w:rsid w:val="00A21AB9"/>
    <w:rsid w:val="00A36481"/>
    <w:rsid w:val="00A65857"/>
    <w:rsid w:val="00A85714"/>
    <w:rsid w:val="00A92A41"/>
    <w:rsid w:val="00AB05A5"/>
    <w:rsid w:val="00AB34F2"/>
    <w:rsid w:val="00AC57D9"/>
    <w:rsid w:val="00B05B0E"/>
    <w:rsid w:val="00B10B7C"/>
    <w:rsid w:val="00B11CA7"/>
    <w:rsid w:val="00B11CEE"/>
    <w:rsid w:val="00B20339"/>
    <w:rsid w:val="00B31982"/>
    <w:rsid w:val="00B4531C"/>
    <w:rsid w:val="00B46D42"/>
    <w:rsid w:val="00B46E37"/>
    <w:rsid w:val="00B54CC5"/>
    <w:rsid w:val="00B702CC"/>
    <w:rsid w:val="00B85B3B"/>
    <w:rsid w:val="00B94FE6"/>
    <w:rsid w:val="00BA23BE"/>
    <w:rsid w:val="00BB5EC6"/>
    <w:rsid w:val="00BB78E5"/>
    <w:rsid w:val="00BC2162"/>
    <w:rsid w:val="00BD2C5B"/>
    <w:rsid w:val="00BE2B2F"/>
    <w:rsid w:val="00BF0F8F"/>
    <w:rsid w:val="00BF7ABE"/>
    <w:rsid w:val="00C25EB2"/>
    <w:rsid w:val="00C31115"/>
    <w:rsid w:val="00C72D70"/>
    <w:rsid w:val="00C7338F"/>
    <w:rsid w:val="00CB735F"/>
    <w:rsid w:val="00CD330A"/>
    <w:rsid w:val="00CE16BE"/>
    <w:rsid w:val="00CE2915"/>
    <w:rsid w:val="00D21AF7"/>
    <w:rsid w:val="00D41422"/>
    <w:rsid w:val="00D428C7"/>
    <w:rsid w:val="00D4391A"/>
    <w:rsid w:val="00D43A23"/>
    <w:rsid w:val="00D46461"/>
    <w:rsid w:val="00D513C3"/>
    <w:rsid w:val="00DA63A6"/>
    <w:rsid w:val="00DB1FB1"/>
    <w:rsid w:val="00DB5ED3"/>
    <w:rsid w:val="00DB7747"/>
    <w:rsid w:val="00DC1682"/>
    <w:rsid w:val="00DC182F"/>
    <w:rsid w:val="00DC47FF"/>
    <w:rsid w:val="00DD41F1"/>
    <w:rsid w:val="00DD6E19"/>
    <w:rsid w:val="00E0426C"/>
    <w:rsid w:val="00E1366C"/>
    <w:rsid w:val="00E337B6"/>
    <w:rsid w:val="00E35FCF"/>
    <w:rsid w:val="00E44071"/>
    <w:rsid w:val="00E5381C"/>
    <w:rsid w:val="00E542B9"/>
    <w:rsid w:val="00E549EB"/>
    <w:rsid w:val="00E74663"/>
    <w:rsid w:val="00E747BB"/>
    <w:rsid w:val="00E93702"/>
    <w:rsid w:val="00EA32BF"/>
    <w:rsid w:val="00EC33E2"/>
    <w:rsid w:val="00EC50FB"/>
    <w:rsid w:val="00F00B5E"/>
    <w:rsid w:val="00F157D4"/>
    <w:rsid w:val="00F26E60"/>
    <w:rsid w:val="00F414FD"/>
    <w:rsid w:val="00F43B8C"/>
    <w:rsid w:val="00F7096C"/>
    <w:rsid w:val="00F7670A"/>
    <w:rsid w:val="00F94516"/>
    <w:rsid w:val="00FD4D31"/>
    <w:rsid w:val="04C66C1A"/>
    <w:rsid w:val="1D6F6EFE"/>
    <w:rsid w:val="1F7C72D8"/>
    <w:rsid w:val="2D246E2C"/>
    <w:rsid w:val="33A9646D"/>
    <w:rsid w:val="36096362"/>
    <w:rsid w:val="3EFED501"/>
    <w:rsid w:val="3F7F152F"/>
    <w:rsid w:val="3FFB76BA"/>
    <w:rsid w:val="46DFCD99"/>
    <w:rsid w:val="49659447"/>
    <w:rsid w:val="511432B7"/>
    <w:rsid w:val="5596691C"/>
    <w:rsid w:val="59FAB6B4"/>
    <w:rsid w:val="5C6AC506"/>
    <w:rsid w:val="5DBB2A74"/>
    <w:rsid w:val="5F09CE98"/>
    <w:rsid w:val="6AFC31C5"/>
    <w:rsid w:val="6B8148C3"/>
    <w:rsid w:val="6E9FB973"/>
    <w:rsid w:val="6FBDD792"/>
    <w:rsid w:val="74D42207"/>
    <w:rsid w:val="76D76867"/>
    <w:rsid w:val="76FE3A0F"/>
    <w:rsid w:val="7AFFB2DD"/>
    <w:rsid w:val="7BE9FB5F"/>
    <w:rsid w:val="7D7D4415"/>
    <w:rsid w:val="7F4A2270"/>
    <w:rsid w:val="7F6F728B"/>
    <w:rsid w:val="7FEF350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1FC1A8"/>
  <w15:docId w15:val="{DBED7B81-02DC-41BA-B2B4-EC2A098E5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caption" w:semiHidden="1" w:unhideWhenUsed="1" w:qFormat="1"/>
    <w:lsdException w:name="annotation reference" w:qFormat="1"/>
    <w:lsdException w:name="Title" w:qFormat="1"/>
    <w:lsdException w:name="Default Paragraph Font" w:semiHidden="1" w:uiPriority="1" w:unhideWhenUsed="1"/>
    <w:lsdException w:name="Body Text" w:qFormat="1"/>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2663C"/>
    <w:pPr>
      <w:widowControl w:val="0"/>
      <w:jc w:val="both"/>
    </w:pPr>
    <w:rPr>
      <w:rFonts w:ascii="Times New Roman" w:hAnsi="Times New Roman"/>
      <w:kern w:val="2"/>
      <w:sz w:val="21"/>
      <w:szCs w:val="24"/>
    </w:rPr>
  </w:style>
  <w:style w:type="paragraph" w:styleId="1">
    <w:name w:val="heading 1"/>
    <w:basedOn w:val="a"/>
    <w:next w:val="a"/>
    <w:qFormat/>
    <w:pPr>
      <w:keepNext/>
      <w:keepLines/>
      <w:spacing w:before="340" w:after="330"/>
      <w:jc w:val="center"/>
      <w:outlineLvl w:val="0"/>
    </w:pPr>
    <w:rPr>
      <w:rFonts w:ascii="Calibri" w:eastAsia="CESI黑体-GB2312" w:hAnsi="Calibri"/>
      <w:kern w:val="44"/>
      <w:sz w:val="36"/>
    </w:rPr>
  </w:style>
  <w:style w:type="paragraph" w:styleId="2">
    <w:name w:val="heading 2"/>
    <w:basedOn w:val="a"/>
    <w:next w:val="a"/>
    <w:qFormat/>
    <w:pPr>
      <w:keepNext/>
      <w:keepLines/>
      <w:spacing w:before="260" w:after="260"/>
      <w:jc w:val="center"/>
      <w:outlineLvl w:val="1"/>
    </w:pPr>
    <w:rPr>
      <w:rFonts w:ascii="Arial" w:eastAsia="黑体" w:hAnsi="Arial"/>
      <w:sz w:val="32"/>
    </w:rPr>
  </w:style>
  <w:style w:type="paragraph" w:styleId="3">
    <w:name w:val="heading 3"/>
    <w:basedOn w:val="a"/>
    <w:next w:val="a"/>
    <w:qFormat/>
    <w:pPr>
      <w:keepNext/>
      <w:keepLines/>
      <w:spacing w:before="260" w:after="260"/>
      <w:jc w:val="center"/>
      <w:outlineLvl w:val="2"/>
    </w:pPr>
    <w:rPr>
      <w:rFonts w:ascii="Calibri" w:eastAsia="CESI楷体-GB2312" w:hAnsi="Calibri"/>
      <w:sz w:val="30"/>
    </w:rPr>
  </w:style>
  <w:style w:type="paragraph" w:styleId="4">
    <w:name w:val="heading 4"/>
    <w:basedOn w:val="a"/>
    <w:next w:val="a"/>
    <w:link w:val="40"/>
    <w:qFormat/>
    <w:pPr>
      <w:keepNext/>
      <w:keepLines/>
      <w:spacing w:before="280" w:after="290"/>
      <w:jc w:val="left"/>
      <w:outlineLvl w:val="3"/>
    </w:pPr>
    <w:rPr>
      <w:rFonts w:ascii="Arial" w:eastAsia="方正楷体_GBK" w:hAnsi="Arial"/>
      <w:color w:val="C00000"/>
      <w:sz w:val="28"/>
    </w:rPr>
  </w:style>
  <w:style w:type="paragraph" w:styleId="5">
    <w:name w:val="heading 5"/>
    <w:basedOn w:val="a"/>
    <w:next w:val="a"/>
    <w:qFormat/>
    <w:pPr>
      <w:keepNext/>
      <w:keepLines/>
      <w:spacing w:before="280" w:after="290" w:line="372" w:lineRule="auto"/>
      <w:outlineLvl w:val="4"/>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ody Text"/>
    <w:qFormat/>
    <w:pPr>
      <w:spacing w:after="240"/>
      <w:jc w:val="both"/>
    </w:pPr>
    <w:rPr>
      <w:rFonts w:ascii="Times New Roman" w:hAnsi="Times New Roman" w:cs="Simplified Arabic"/>
      <w:sz w:val="24"/>
      <w:szCs w:val="24"/>
      <w:lang w:val="en-GB" w:eastAsia="en-GB" w:bidi="ar-AE"/>
    </w:rPr>
  </w:style>
  <w:style w:type="paragraph" w:styleId="a6">
    <w:name w:val="footer"/>
    <w:basedOn w:val="a"/>
    <w:link w:val="a7"/>
    <w:pPr>
      <w:tabs>
        <w:tab w:val="center" w:pos="4153"/>
        <w:tab w:val="right" w:pos="8306"/>
      </w:tabs>
      <w:snapToGrid w:val="0"/>
      <w:jc w:val="left"/>
    </w:pPr>
    <w:rPr>
      <w:sz w:val="18"/>
      <w:szCs w:val="18"/>
    </w:rPr>
  </w:style>
  <w:style w:type="paragraph" w:styleId="a8">
    <w:name w:val="header"/>
    <w:basedOn w:val="a"/>
    <w:link w:val="a9"/>
    <w:pPr>
      <w:tabs>
        <w:tab w:val="center" w:pos="4153"/>
        <w:tab w:val="right" w:pos="8306"/>
      </w:tabs>
      <w:snapToGrid w:val="0"/>
      <w:jc w:val="center"/>
    </w:pPr>
    <w:rPr>
      <w:sz w:val="18"/>
      <w:szCs w:val="18"/>
    </w:rPr>
  </w:style>
  <w:style w:type="paragraph" w:styleId="aa">
    <w:name w:val="annotation subject"/>
    <w:basedOn w:val="a3"/>
    <w:next w:val="a3"/>
    <w:link w:val="ab"/>
    <w:qFormat/>
    <w:rPr>
      <w:b/>
      <w:bCs/>
    </w:rPr>
  </w:style>
  <w:style w:type="table" w:styleId="ac">
    <w:name w:val="Table Grid"/>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character" w:styleId="ad">
    <w:name w:val="Hyperlink"/>
    <w:uiPriority w:val="99"/>
    <w:qFormat/>
    <w:rPr>
      <w:color w:val="0000FF"/>
      <w:u w:val="single"/>
    </w:rPr>
  </w:style>
  <w:style w:type="character" w:styleId="ae">
    <w:name w:val="annotation reference"/>
    <w:qFormat/>
    <w:rPr>
      <w:sz w:val="21"/>
      <w:szCs w:val="21"/>
    </w:rPr>
  </w:style>
  <w:style w:type="character" w:customStyle="1" w:styleId="40">
    <w:name w:val="标题 4 字符"/>
    <w:link w:val="4"/>
    <w:qFormat/>
    <w:rPr>
      <w:rFonts w:ascii="Arial" w:eastAsia="方正楷体_GBK" w:hAnsi="Arial"/>
      <w:color w:val="C00000"/>
      <w:sz w:val="28"/>
    </w:rPr>
  </w:style>
  <w:style w:type="paragraph" w:customStyle="1" w:styleId="af">
    <w:name w:val="标题五"/>
    <w:basedOn w:val="5"/>
    <w:next w:val="a"/>
    <w:qFormat/>
    <w:rPr>
      <w:rFonts w:ascii="Arial" w:eastAsia="黑体" w:hAnsi="Arial" w:cs="Arial"/>
      <w:b w:val="0"/>
      <w:snapToGrid w:val="0"/>
      <w:color w:val="000000"/>
      <w:kern w:val="0"/>
      <w:sz w:val="21"/>
      <w:szCs w:val="21"/>
    </w:rPr>
  </w:style>
  <w:style w:type="character" w:customStyle="1" w:styleId="a9">
    <w:name w:val="页眉 字符"/>
    <w:link w:val="a8"/>
    <w:qFormat/>
    <w:rPr>
      <w:rFonts w:ascii="Times New Roman" w:hAnsi="Times New Roman"/>
      <w:kern w:val="2"/>
      <w:sz w:val="18"/>
      <w:szCs w:val="18"/>
    </w:rPr>
  </w:style>
  <w:style w:type="character" w:customStyle="1" w:styleId="a7">
    <w:name w:val="页脚 字符"/>
    <w:link w:val="a6"/>
    <w:qFormat/>
    <w:rPr>
      <w:rFonts w:ascii="Times New Roman" w:hAnsi="Times New Roman"/>
      <w:kern w:val="2"/>
      <w:sz w:val="18"/>
      <w:szCs w:val="18"/>
    </w:rPr>
  </w:style>
  <w:style w:type="character" w:customStyle="1" w:styleId="a4">
    <w:name w:val="批注文字 字符"/>
    <w:link w:val="a3"/>
    <w:qFormat/>
    <w:rPr>
      <w:rFonts w:ascii="Times New Roman" w:hAnsi="Times New Roman"/>
      <w:kern w:val="2"/>
      <w:sz w:val="21"/>
      <w:szCs w:val="24"/>
    </w:rPr>
  </w:style>
  <w:style w:type="character" w:customStyle="1" w:styleId="ab">
    <w:name w:val="批注主题 字符"/>
    <w:link w:val="aa"/>
    <w:qFormat/>
    <w:rPr>
      <w:rFonts w:ascii="Times New Roman" w:hAnsi="Times New Roman"/>
      <w:b/>
      <w:bCs/>
      <w:kern w:val="2"/>
      <w:sz w:val="21"/>
      <w:szCs w:val="24"/>
    </w:rPr>
  </w:style>
  <w:style w:type="paragraph" w:customStyle="1" w:styleId="10">
    <w:name w:val="修订1"/>
    <w:hidden/>
    <w:uiPriority w:val="99"/>
    <w:unhideWhenUsed/>
    <w:qFormat/>
    <w:rPr>
      <w:rFonts w:ascii="Times New Roman" w:hAnsi="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061E51-F5B9-4132-AC02-31CFD82D4F00}">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732</Words>
  <Characters>163</Characters>
  <Application>Microsoft Office Word</Application>
  <DocSecurity>0</DocSecurity>
  <Lines>1</Lines>
  <Paragraphs>1</Paragraphs>
  <ScaleCrop>false</ScaleCrop>
  <Company/>
  <LinksUpToDate>false</LinksUpToDate>
  <CharactersWithSpaces>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dc:title>
  <dc:creator>oa</dc:creator>
  <cp:lastModifiedBy>ZL</cp:lastModifiedBy>
  <cp:revision>8</cp:revision>
  <dcterms:created xsi:type="dcterms:W3CDTF">2025-12-25T12:10:00Z</dcterms:created>
  <dcterms:modified xsi:type="dcterms:W3CDTF">2026-02-03T06:16:00Z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B0CCE700BD497EBD1C7328671235D076_43</vt:lpwstr>
  </property>
  <property fmtid="{D5CDD505-2E9C-101B-9397-08002B2CF9AE}" pid="4" name="KSOTemplateDocerSaveRecord">
    <vt:lpwstr>eyJoZGlkIjoiYmU5OGM1ZWFjMmRlNWRjYjZiNzkzYzM1MGRiYzAwM2IiLCJ1c2VySWQiOiI3MjExODM1In0=</vt:lpwstr>
  </property>
</Properties>
</file>