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ascii="黑体" w:hAnsi="宋体" w:eastAsia="黑体"/>
          <w:b/>
          <w:bCs/>
          <w:sz w:val="32"/>
          <w:szCs w:val="32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市市场监管局发布学生用灯监督抽查情况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针对消费者投诉、举报集中及质量问题较多的产品，近期，</w:t>
      </w:r>
      <w:r>
        <w:rPr>
          <w:rFonts w:ascii="仿宋_GB2312" w:eastAsia="仿宋_GB2312"/>
          <w:bCs/>
          <w:sz w:val="30"/>
          <w:szCs w:val="30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市市场监管局集中组织力量对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杨浦、浦东、黄浦、静安、宝山、虹口6个区以及拼多多、i百联2家网络平台</w:t>
      </w:r>
      <w:r>
        <w:rPr>
          <w:rFonts w:hint="eastAsia" w:ascii="仿宋_GB2312" w:eastAsia="仿宋_GB2312"/>
          <w:bCs/>
          <w:sz w:val="30"/>
          <w:szCs w:val="30"/>
        </w:rPr>
        <w:t>16家企业销售的15个品牌20批次读写台灯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、可移动式灯具等</w:t>
      </w:r>
      <w:r>
        <w:rPr>
          <w:rFonts w:hint="eastAsia" w:ascii="仿宋_GB2312" w:eastAsia="仿宋_GB2312"/>
          <w:bCs/>
          <w:sz w:val="30"/>
          <w:szCs w:val="30"/>
        </w:rPr>
        <w:t>学生用灯进行了监督抽查。经检测，有2批次不合格，不合格检出率为10%</w:t>
      </w:r>
      <w:r>
        <w:rPr>
          <w:rFonts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检测项目包括标记、走线槽、平稳性、夹紧力、带有不可替换光源的灯具、带有非用户替换光源的灯具、视网膜蓝光危害、爬电距离和电气间隙、电源连接方式、外部接线截面积、软线固定架、防触电保护、耐久性试验、绝缘电阻和电气强度、耐热、耐燃烧和防引燃、骚扰电压（电源端子）、辐射电磁骚扰（30MHz～1GHz）、谐波电流限值、LED台灯波动深度、照度及照度均匀度、显色性、功率、功率因数等24项。不合格项目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是</w:t>
      </w:r>
      <w:r>
        <w:rPr>
          <w:rFonts w:hint="eastAsia" w:ascii="仿宋_GB2312" w:eastAsia="仿宋_GB2312"/>
          <w:bCs/>
          <w:sz w:val="30"/>
          <w:szCs w:val="30"/>
        </w:rPr>
        <w:t>辐射电磁骚扰（30MHz～1GHz）和照度及照度均匀度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2项均涉及国家强制性标准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一是</w:t>
      </w:r>
      <w:r>
        <w:rPr>
          <w:rFonts w:hint="eastAsia" w:ascii="仿宋_GB2312" w:eastAsia="仿宋_GB2312"/>
          <w:bCs/>
          <w:sz w:val="30"/>
          <w:szCs w:val="30"/>
        </w:rPr>
        <w:t>辐射电磁骚扰（30MHz～1GHz）不合格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1批次</w:t>
      </w:r>
      <w:r>
        <w:rPr>
          <w:rFonts w:hint="eastAsia" w:ascii="仿宋_GB2312" w:eastAsia="仿宋_GB2312"/>
          <w:bCs/>
          <w:sz w:val="30"/>
          <w:szCs w:val="30"/>
        </w:rPr>
        <w:t>。上海长申超市有限公司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在五角场万达广场</w:t>
      </w:r>
      <w:r>
        <w:rPr>
          <w:rFonts w:hint="eastAsia" w:ascii="仿宋_GB2312" w:eastAsia="仿宋_GB2312"/>
          <w:bCs/>
          <w:sz w:val="30"/>
          <w:szCs w:val="30"/>
        </w:rPr>
        <w:t>销售的标称由广东太格尔电源科技有限公司生产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（或供货）</w:t>
      </w:r>
      <w:r>
        <w:rPr>
          <w:rFonts w:hint="eastAsia" w:ascii="仿宋_GB2312" w:eastAsia="仿宋_GB2312"/>
          <w:bCs/>
          <w:sz w:val="30"/>
          <w:szCs w:val="30"/>
        </w:rPr>
        <w:t>的“</w:t>
      </w:r>
      <w:r>
        <w:drawing>
          <wp:inline distT="0" distB="0" distL="0" distR="0">
            <wp:extent cx="741680" cy="250825"/>
            <wp:effectExtent l="0" t="0" r="0" b="0"/>
            <wp:docPr id="4470" name="图片 12" descr="无标题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" name="图片 12" descr="无标题1.png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66" cy="2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”牌读写台灯（型号规格：</w:t>
      </w:r>
      <w:r>
        <w:rPr>
          <w:rFonts w:ascii="仿宋_GB2312" w:eastAsia="仿宋_GB2312"/>
          <w:bCs/>
          <w:sz w:val="30"/>
          <w:szCs w:val="30"/>
        </w:rPr>
        <w:t>YG-8800 15W</w:t>
      </w:r>
      <w:r>
        <w:rPr>
          <w:rFonts w:hint="eastAsia" w:ascii="仿宋_GB2312" w:eastAsia="仿宋_GB2312"/>
          <w:bCs/>
          <w:sz w:val="30"/>
          <w:szCs w:val="30"/>
        </w:rPr>
        <w:t>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使用电波暗室法进行测试时，部分频率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测量值</w:t>
      </w:r>
      <w:r>
        <w:rPr>
          <w:rFonts w:hint="eastAsia" w:ascii="仿宋_GB2312" w:eastAsia="仿宋_GB2312"/>
          <w:bCs/>
          <w:sz w:val="30"/>
          <w:szCs w:val="30"/>
        </w:rPr>
        <w:t>超过标准限值10dB以上，与强制性产品认证标准要求不符。辐射电磁骚扰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超标，</w:t>
      </w:r>
      <w:r>
        <w:rPr>
          <w:rFonts w:hint="eastAsia" w:ascii="仿宋_GB2312" w:eastAsia="仿宋_GB2312"/>
          <w:bCs/>
          <w:sz w:val="30"/>
          <w:szCs w:val="30"/>
        </w:rPr>
        <w:t>会使周边的电子电器设备性能降低，并干扰信息技术设备或其他电子产品的正常使用。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二是</w:t>
      </w:r>
      <w:r>
        <w:rPr>
          <w:rFonts w:hint="eastAsia" w:ascii="仿宋_GB2312" w:eastAsia="仿宋_GB2312"/>
          <w:bCs/>
          <w:sz w:val="30"/>
          <w:szCs w:val="30"/>
        </w:rPr>
        <w:t>照度及照度均匀度不合格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1批次</w:t>
      </w:r>
      <w:r>
        <w:rPr>
          <w:rFonts w:hint="eastAsia" w:ascii="仿宋_GB2312" w:eastAsia="仿宋_GB2312"/>
          <w:bCs/>
          <w:sz w:val="30"/>
          <w:szCs w:val="30"/>
        </w:rPr>
        <w:t>。宝大祥青少年儿童购物（集团）股份有限公司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在宝大祥（</w:t>
      </w:r>
      <w:r>
        <w:rPr>
          <w:rFonts w:hint="eastAsia" w:ascii="仿宋_GB2312" w:eastAsia="仿宋_GB2312"/>
          <w:bCs/>
          <w:sz w:val="30"/>
          <w:szCs w:val="30"/>
        </w:rPr>
        <w:t>南京东路店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bCs/>
          <w:sz w:val="30"/>
          <w:szCs w:val="30"/>
        </w:rPr>
        <w:t>销售的标称由读书郎教育科技有限公司生产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（或供货）</w:t>
      </w:r>
      <w:r>
        <w:rPr>
          <w:rFonts w:hint="eastAsia" w:ascii="仿宋_GB2312" w:eastAsia="仿宋_GB2312"/>
          <w:bCs/>
          <w:sz w:val="30"/>
          <w:szCs w:val="30"/>
        </w:rPr>
        <w:t>的“</w:t>
      </w:r>
      <w:r>
        <w:drawing>
          <wp:inline distT="0" distB="0" distL="0" distR="0">
            <wp:extent cx="753745" cy="250825"/>
            <wp:effectExtent l="0" t="0" r="0" b="0"/>
            <wp:docPr id="4469" name="Picture 14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" name="Picture 1469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13753" t="49362" r="77718" b="45564"/>
                    <a:stretch>
                      <a:fillRect/>
                    </a:stretch>
                  </pic:blipFill>
                  <pic:spPr>
                    <a:xfrm>
                      <a:off x="0" y="0"/>
                      <a:ext cx="760162" cy="2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”牌可移动式灯具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Cs/>
          <w:sz w:val="30"/>
          <w:szCs w:val="30"/>
        </w:rPr>
        <w:t>型号规格：</w:t>
      </w:r>
      <w:bookmarkStart w:id="2" w:name="_GoBack"/>
      <w:bookmarkEnd w:id="2"/>
      <w:r>
        <w:rPr>
          <w:rFonts w:hint="eastAsia" w:ascii="仿宋_GB2312" w:eastAsia="仿宋_GB2312"/>
          <w:bCs/>
          <w:sz w:val="30"/>
          <w:szCs w:val="30"/>
          <w:lang w:eastAsia="zh-CN"/>
        </w:rPr>
        <w:t>H20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16W），</w:t>
      </w:r>
      <w:r>
        <w:rPr>
          <w:rFonts w:hint="eastAsia" w:ascii="仿宋_GB2312" w:eastAsia="仿宋_GB2312"/>
          <w:bCs/>
          <w:sz w:val="30"/>
          <w:szCs w:val="30"/>
        </w:rPr>
        <w:t>照度及照度均匀度实测在500×300(mm)被测面中心区域内照度均匀度大于3，且部分测试点照度小于500lx，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与企业明示</w:t>
      </w:r>
      <w:r>
        <w:rPr>
          <w:rFonts w:hint="eastAsia" w:ascii="仿宋_GB2312" w:eastAsia="仿宋_GB2312"/>
          <w:bCs/>
          <w:sz w:val="30"/>
          <w:szCs w:val="30"/>
        </w:rPr>
        <w:t>AA级要求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不符</w:t>
      </w:r>
      <w:r>
        <w:rPr>
          <w:rFonts w:hint="eastAsia"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企业明示与实测值不符，容易误导消费。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  <w:szCs w:val="30"/>
        </w:rPr>
        <w:t>按照相关法律法规要求主动采取措施，保护消费者合法权益，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  <w:szCs w:val="30"/>
        </w:rPr>
        <w:t>同时，上海市场监管部门提醒消费者在选购学生用灯时，应注意以下几点：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一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应查看产品本体或标识上是否印有强制性产品认证（CCC认证）标记。无电池供电功能的学生用灯属于强制性产品认证目录范围，必须经强制性产品认证合格并施加CCC标记后方可上市销售。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、应</w:t>
      </w:r>
      <w:r>
        <w:rPr>
          <w:rFonts w:hint="eastAsia" w:ascii="仿宋_GB2312" w:eastAsia="仿宋_GB2312"/>
          <w:bCs/>
          <w:sz w:val="30"/>
          <w:szCs w:val="30"/>
        </w:rPr>
        <w:t>优先选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购</w:t>
      </w:r>
      <w:r>
        <w:rPr>
          <w:rFonts w:hint="eastAsia" w:ascii="仿宋_GB2312" w:eastAsia="仿宋_GB2312"/>
          <w:bCs/>
          <w:sz w:val="30"/>
          <w:szCs w:val="30"/>
        </w:rPr>
        <w:t>照度及照度均匀度等级、显色指数等明示性能指标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或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符合</w:t>
      </w:r>
      <w:r>
        <w:rPr>
          <w:rFonts w:hint="eastAsia" w:ascii="仿宋_GB2312" w:eastAsia="仿宋_GB2312"/>
          <w:bCs/>
          <w:sz w:val="30"/>
          <w:szCs w:val="30"/>
        </w:rPr>
        <w:t>GB/T 9473-2022性能标准的学生用灯。在国家标准中，照度及照度均匀度等级分为AA级和A级，其中AA级质量要求高于A级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bCs/>
          <w:sz w:val="30"/>
          <w:szCs w:val="30"/>
        </w:rPr>
        <w:t>显色指数（Ra）是还原物体真实颜色的能力，普通学生用灯的显色指数应不低于80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对于学习美术、纺织、出版印刷等专业的学生群体，对色彩准确度要求较高，建议选择显色指数不低于95的学生用灯。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xNzlkZmI4Y2E3NjQ3ZjlmYzczZDFjYjc3YTJhNmE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0315"/>
    <w:rsid w:val="000223EA"/>
    <w:rsid w:val="00027A0E"/>
    <w:rsid w:val="00027E09"/>
    <w:rsid w:val="000305D9"/>
    <w:rsid w:val="00034777"/>
    <w:rsid w:val="0004576D"/>
    <w:rsid w:val="00045CBD"/>
    <w:rsid w:val="00046103"/>
    <w:rsid w:val="00046E17"/>
    <w:rsid w:val="00052945"/>
    <w:rsid w:val="00054110"/>
    <w:rsid w:val="0006212C"/>
    <w:rsid w:val="000659F2"/>
    <w:rsid w:val="00074BBE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3A8D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4094"/>
    <w:rsid w:val="001C5171"/>
    <w:rsid w:val="001D1E56"/>
    <w:rsid w:val="001D42D8"/>
    <w:rsid w:val="001D4509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368A0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1AC1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3564"/>
    <w:rsid w:val="00475206"/>
    <w:rsid w:val="004808D7"/>
    <w:rsid w:val="0048227C"/>
    <w:rsid w:val="00491B53"/>
    <w:rsid w:val="0049400D"/>
    <w:rsid w:val="004A020B"/>
    <w:rsid w:val="004A0C84"/>
    <w:rsid w:val="004A0D03"/>
    <w:rsid w:val="004A3319"/>
    <w:rsid w:val="004A5655"/>
    <w:rsid w:val="004B1110"/>
    <w:rsid w:val="004B5482"/>
    <w:rsid w:val="004C28BD"/>
    <w:rsid w:val="004C2BF3"/>
    <w:rsid w:val="004D162A"/>
    <w:rsid w:val="004D624D"/>
    <w:rsid w:val="004E18DE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CE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0B35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4EE2"/>
    <w:rsid w:val="00586F56"/>
    <w:rsid w:val="00596C53"/>
    <w:rsid w:val="005A5E1C"/>
    <w:rsid w:val="005A71DD"/>
    <w:rsid w:val="005B1CA7"/>
    <w:rsid w:val="005B261C"/>
    <w:rsid w:val="005C2689"/>
    <w:rsid w:val="005C478E"/>
    <w:rsid w:val="005C4A73"/>
    <w:rsid w:val="005D291A"/>
    <w:rsid w:val="005E282F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5E7F"/>
    <w:rsid w:val="006B6625"/>
    <w:rsid w:val="006B7C15"/>
    <w:rsid w:val="006C2780"/>
    <w:rsid w:val="006C5EAF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196D"/>
    <w:rsid w:val="00753D6C"/>
    <w:rsid w:val="00755B6C"/>
    <w:rsid w:val="00762283"/>
    <w:rsid w:val="00764A2F"/>
    <w:rsid w:val="00767066"/>
    <w:rsid w:val="0077050F"/>
    <w:rsid w:val="007737A5"/>
    <w:rsid w:val="0077528D"/>
    <w:rsid w:val="0077616D"/>
    <w:rsid w:val="007835FC"/>
    <w:rsid w:val="00783FB7"/>
    <w:rsid w:val="00793942"/>
    <w:rsid w:val="00794698"/>
    <w:rsid w:val="007A29DE"/>
    <w:rsid w:val="007A2BE5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6A63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35361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2959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9F6E5C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4691"/>
    <w:rsid w:val="00AC68B1"/>
    <w:rsid w:val="00AC725E"/>
    <w:rsid w:val="00AD2871"/>
    <w:rsid w:val="00AD3436"/>
    <w:rsid w:val="00AD7D34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0E0C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E3D31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3CBC"/>
    <w:rsid w:val="00C24C17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ABE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953"/>
    <w:rsid w:val="00DB0D7C"/>
    <w:rsid w:val="00DB21DD"/>
    <w:rsid w:val="00DD03F9"/>
    <w:rsid w:val="00DD67DB"/>
    <w:rsid w:val="00DE1A04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B5BE7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22E4"/>
    <w:rsid w:val="00EF2531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3590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BA23811"/>
    <w:rsid w:val="130A656A"/>
    <w:rsid w:val="15AFB462"/>
    <w:rsid w:val="17AFCE5C"/>
    <w:rsid w:val="1A7F3145"/>
    <w:rsid w:val="1AF144C4"/>
    <w:rsid w:val="1BF5E003"/>
    <w:rsid w:val="292AC6F3"/>
    <w:rsid w:val="2BF9CD74"/>
    <w:rsid w:val="33E46573"/>
    <w:rsid w:val="33F3210C"/>
    <w:rsid w:val="38DF917A"/>
    <w:rsid w:val="3B9CBCD7"/>
    <w:rsid w:val="3BCFEA31"/>
    <w:rsid w:val="3E784BD1"/>
    <w:rsid w:val="3EFD7DA3"/>
    <w:rsid w:val="3F9F946A"/>
    <w:rsid w:val="509C069B"/>
    <w:rsid w:val="574A45CE"/>
    <w:rsid w:val="58FD0C12"/>
    <w:rsid w:val="5B1947D2"/>
    <w:rsid w:val="5B7D7AEB"/>
    <w:rsid w:val="5B7F8A2D"/>
    <w:rsid w:val="5DDB0DD6"/>
    <w:rsid w:val="5EF9774A"/>
    <w:rsid w:val="5FF623AA"/>
    <w:rsid w:val="63AB4A7C"/>
    <w:rsid w:val="66BF9D0C"/>
    <w:rsid w:val="6BB791C3"/>
    <w:rsid w:val="6FB33811"/>
    <w:rsid w:val="6FD05EB3"/>
    <w:rsid w:val="6FEF7ECA"/>
    <w:rsid w:val="6FF2ED41"/>
    <w:rsid w:val="6FFACA6F"/>
    <w:rsid w:val="700B7AE2"/>
    <w:rsid w:val="733B86BA"/>
    <w:rsid w:val="74FE6CE2"/>
    <w:rsid w:val="77D926C5"/>
    <w:rsid w:val="77F38B20"/>
    <w:rsid w:val="77F715DE"/>
    <w:rsid w:val="7AFBCCB2"/>
    <w:rsid w:val="7BBD520A"/>
    <w:rsid w:val="7BDBC419"/>
    <w:rsid w:val="7BDF8008"/>
    <w:rsid w:val="7BF96F37"/>
    <w:rsid w:val="7CF01A88"/>
    <w:rsid w:val="7F96B56B"/>
    <w:rsid w:val="7FBEB1DB"/>
    <w:rsid w:val="7FC703B8"/>
    <w:rsid w:val="8DD90AAB"/>
    <w:rsid w:val="95BD8839"/>
    <w:rsid w:val="9BFF39EC"/>
    <w:rsid w:val="A913991F"/>
    <w:rsid w:val="AFFF9D58"/>
    <w:rsid w:val="B7EF5D61"/>
    <w:rsid w:val="BB711DC9"/>
    <w:rsid w:val="BB7CDC4B"/>
    <w:rsid w:val="BBEF5213"/>
    <w:rsid w:val="BD1E609A"/>
    <w:rsid w:val="BDFDBBF9"/>
    <w:rsid w:val="BFFB8B6D"/>
    <w:rsid w:val="C17E5F6B"/>
    <w:rsid w:val="C7373EB8"/>
    <w:rsid w:val="D3D75EB6"/>
    <w:rsid w:val="D6FFA92A"/>
    <w:rsid w:val="DDDD29C7"/>
    <w:rsid w:val="DFDEFF89"/>
    <w:rsid w:val="EA9BB088"/>
    <w:rsid w:val="EFED7969"/>
    <w:rsid w:val="F7793387"/>
    <w:rsid w:val="F7BF1FB8"/>
    <w:rsid w:val="F95F50AD"/>
    <w:rsid w:val="FABDC4DE"/>
    <w:rsid w:val="FAF7A5F4"/>
    <w:rsid w:val="FBCD110D"/>
    <w:rsid w:val="FBF666EC"/>
    <w:rsid w:val="FEEFE3E3"/>
    <w:rsid w:val="FF578A91"/>
    <w:rsid w:val="FF61181D"/>
    <w:rsid w:val="FF6C18D9"/>
    <w:rsid w:val="FF6DAAD9"/>
    <w:rsid w:val="FFB986FD"/>
    <w:rsid w:val="FFBAB3CC"/>
    <w:rsid w:val="FFBF864F"/>
    <w:rsid w:val="FFFD3580"/>
    <w:rsid w:val="FFFD9D0A"/>
    <w:rsid w:val="FFFF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2021-07-02T06:45:00Z</dcterms:created>
  <dc:creator>金格科技</dc:creator>
  <cp:lastModifiedBy>scjuser</cp:lastModifiedBy>
  <cp:lastPrinted>2021-01-09T01:39:00Z</cp:lastPrinted>
  <dcterms:modified xsi:type="dcterms:W3CDTF">2024-08-23T15:34:04Z</dcterms:modified>
  <dc:title>上海市工商局流通领域羊绒羊毛制品及服装质量监测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BE85C54273A74E27B9B2B910CE6057C3_12</vt:lpwstr>
  </property>
</Properties>
</file>