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98C50" w14:textId="77777777" w:rsidR="00DB093F" w:rsidRDefault="00000000">
      <w:pPr>
        <w:spacing w:before="159" w:line="196" w:lineRule="auto"/>
        <w:jc w:val="center"/>
        <w:outlineLvl w:val="0"/>
        <w:rPr>
          <w:rFonts w:ascii="黑体" w:eastAsia="黑体" w:hAnsi="黑体" w:cs="Times New Roman" w:hint="eastAsia"/>
          <w:sz w:val="36"/>
          <w:szCs w:val="36"/>
          <w:lang w:eastAsia="zh-CN"/>
        </w:rPr>
      </w:pPr>
      <w:r>
        <w:rPr>
          <w:rFonts w:ascii="黑体" w:eastAsia="黑体" w:hAnsi="黑体" w:cs="Times New Roman"/>
          <w:spacing w:val="8"/>
          <w:sz w:val="36"/>
          <w:szCs w:val="36"/>
          <w:lang w:eastAsia="zh-CN"/>
        </w:rPr>
        <w:t>经营者集中简易案件公示表</w:t>
      </w:r>
    </w:p>
    <w:tbl>
      <w:tblPr>
        <w:tblStyle w:val="TableNormal"/>
        <w:tblW w:w="964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44"/>
        <w:gridCol w:w="1484"/>
        <w:gridCol w:w="6216"/>
      </w:tblGrid>
      <w:tr w:rsidR="00DB093F" w14:paraId="4CD23D6D" w14:textId="77777777" w:rsidTr="00034E0B">
        <w:trPr>
          <w:trHeight w:val="681"/>
        </w:trPr>
        <w:tc>
          <w:tcPr>
            <w:tcW w:w="1944" w:type="dxa"/>
            <w:shd w:val="clear" w:color="auto" w:fill="D9D9D9"/>
            <w:vAlign w:val="center"/>
          </w:tcPr>
          <w:p w14:paraId="4498D37F" w14:textId="77777777" w:rsidR="00DB093F" w:rsidRDefault="00000000">
            <w:pPr>
              <w:pStyle w:val="TableText"/>
              <w:kinsoku/>
              <w:wordWrap w:val="0"/>
              <w:spacing w:after="0"/>
              <w:rPr>
                <w:rFonts w:ascii="宋体" w:eastAsia="宋体" w:hAnsi="宋体" w:cs="Times New Roman" w:hint="eastAsia"/>
              </w:rPr>
            </w:pPr>
            <w:r>
              <w:rPr>
                <w:rFonts w:ascii="宋体" w:eastAsia="宋体" w:hAnsi="宋体" w:cs="Times New Roman"/>
                <w:spacing w:val="-2"/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 w14:paraId="35F6817C" w14:textId="24F1DC89" w:rsidR="00DB093F" w:rsidRDefault="00B556D1">
            <w:pPr>
              <w:pStyle w:val="TableText"/>
              <w:kinsoku/>
              <w:wordWrap w:val="0"/>
              <w:spacing w:after="0"/>
              <w:ind w:left="108" w:rightChars="44" w:right="92"/>
              <w:jc w:val="both"/>
              <w:rPr>
                <w:rFonts w:ascii="宋体" w:eastAsia="宋体" w:hAnsi="宋体" w:cs="Times New Roman" w:hint="eastAsia"/>
                <w:lang w:eastAsia="zh-CN"/>
              </w:rPr>
            </w:pPr>
            <w:r w:rsidRPr="00B556D1">
              <w:rPr>
                <w:rFonts w:ascii="宋体" w:eastAsia="宋体" w:hAnsi="宋体" w:cs="Times New Roman" w:hint="eastAsia"/>
                <w:lang w:eastAsia="zh-CN"/>
              </w:rPr>
              <w:t>济宁城投控股集团有限公司收购</w:t>
            </w:r>
            <w:r w:rsidR="00873031" w:rsidRPr="00177409">
              <w:rPr>
                <w:rFonts w:ascii="宋体" w:eastAsia="宋体" w:hAnsi="宋体" w:cs="Times New Roman" w:hint="eastAsia"/>
                <w:lang w:eastAsia="zh-CN"/>
              </w:rPr>
              <w:t>华勤橡胶工业集团有限公司</w:t>
            </w:r>
            <w:r w:rsidR="00873031">
              <w:rPr>
                <w:rFonts w:ascii="宋体" w:eastAsia="宋体" w:hAnsi="宋体" w:cs="Times New Roman" w:hint="eastAsia"/>
                <w:lang w:eastAsia="zh-CN"/>
              </w:rPr>
              <w:t>部分</w:t>
            </w:r>
            <w:r w:rsidRPr="00B556D1">
              <w:rPr>
                <w:rFonts w:ascii="宋体" w:eastAsia="宋体" w:hAnsi="宋体" w:cs="Times New Roman" w:hint="eastAsia"/>
                <w:lang w:eastAsia="zh-CN"/>
              </w:rPr>
              <w:t>业务案</w:t>
            </w:r>
          </w:p>
        </w:tc>
      </w:tr>
      <w:tr w:rsidR="00DB093F" w14:paraId="552297E6" w14:textId="77777777" w:rsidTr="00034E0B">
        <w:trPr>
          <w:trHeight w:val="2439"/>
        </w:trPr>
        <w:tc>
          <w:tcPr>
            <w:tcW w:w="1944" w:type="dxa"/>
            <w:shd w:val="clear" w:color="auto" w:fill="D9D9D9"/>
            <w:vAlign w:val="center"/>
          </w:tcPr>
          <w:p w14:paraId="388B4E19" w14:textId="77777777" w:rsidR="00DB093F" w:rsidRDefault="00000000">
            <w:pPr>
              <w:pStyle w:val="TableText"/>
              <w:kinsoku/>
              <w:wordWrap w:val="0"/>
              <w:spacing w:after="0"/>
              <w:ind w:right="107"/>
              <w:rPr>
                <w:rFonts w:ascii="宋体" w:eastAsia="宋体" w:hAnsi="宋体" w:cs="Times New Roman" w:hint="eastAsia"/>
              </w:rPr>
            </w:pPr>
            <w:r>
              <w:rPr>
                <w:rFonts w:ascii="宋体" w:eastAsia="宋体" w:hAnsi="宋体" w:cs="Times New Roman"/>
                <w:spacing w:val="-7"/>
                <w:lang w:eastAsia="zh-CN"/>
              </w:rPr>
              <w:t>交易概况（限</w:t>
            </w:r>
            <w:r>
              <w:rPr>
                <w:rFonts w:ascii="宋体" w:eastAsia="宋体" w:hAnsi="宋体" w:cs="Times New Roman" w:hint="eastAsia"/>
                <w:spacing w:val="-7"/>
                <w:lang w:eastAsia="zh-CN"/>
              </w:rPr>
              <w:t>200</w:t>
            </w:r>
            <w:r>
              <w:rPr>
                <w:rFonts w:ascii="宋体" w:eastAsia="宋体" w:hAnsi="宋体" w:cs="Times New Roman"/>
                <w:spacing w:val="-7"/>
                <w:lang w:eastAsia="zh-CN"/>
              </w:rPr>
              <w:t>字内）</w:t>
            </w:r>
          </w:p>
        </w:tc>
        <w:tc>
          <w:tcPr>
            <w:tcW w:w="7700" w:type="dxa"/>
            <w:gridSpan w:val="2"/>
            <w:vAlign w:val="center"/>
          </w:tcPr>
          <w:p w14:paraId="592B3E5D" w14:textId="34D7A52B" w:rsidR="00D44E8A" w:rsidRDefault="00177409">
            <w:pPr>
              <w:pStyle w:val="TableText"/>
              <w:kinsoku/>
              <w:spacing w:after="0"/>
              <w:ind w:left="106" w:right="94"/>
              <w:jc w:val="both"/>
              <w:rPr>
                <w:rFonts w:ascii="宋体" w:eastAsia="宋体" w:hAnsi="宋体" w:cs="Times New Roman" w:hint="eastAsia"/>
                <w:lang w:eastAsia="zh-CN"/>
              </w:rPr>
            </w:pPr>
            <w:r w:rsidRPr="00177409">
              <w:rPr>
                <w:rFonts w:ascii="宋体" w:eastAsia="宋体" w:hAnsi="宋体" w:cs="Times New Roman" w:hint="eastAsia"/>
                <w:lang w:eastAsia="zh-CN"/>
              </w:rPr>
              <w:t>济宁城投控股集团有限公司（“济宁城投”）拟收购华勤橡胶工业集团有限公司（“华勤集团”）全钢子午线轮胎业务。</w:t>
            </w:r>
            <w:r w:rsidR="00D44E8A">
              <w:rPr>
                <w:rFonts w:ascii="宋体" w:eastAsia="宋体" w:hAnsi="宋体" w:cs="Times New Roman" w:hint="eastAsia"/>
                <w:lang w:eastAsia="zh-CN"/>
              </w:rPr>
              <w:t>华勤集团将控股子公司</w:t>
            </w:r>
            <w:r w:rsidR="00D44E8A" w:rsidRPr="00177409">
              <w:rPr>
                <w:rFonts w:ascii="宋体" w:eastAsia="宋体" w:hAnsi="宋体" w:cs="Times New Roman" w:hint="eastAsia"/>
                <w:lang w:eastAsia="zh-CN"/>
              </w:rPr>
              <w:t>通力轮胎有限公司（“通力轮胎”）</w:t>
            </w:r>
            <w:r w:rsidR="00D44E8A">
              <w:rPr>
                <w:rFonts w:ascii="宋体" w:eastAsia="宋体" w:hAnsi="宋体" w:cs="Times New Roman" w:hint="eastAsia"/>
                <w:lang w:eastAsia="zh-CN"/>
              </w:rPr>
              <w:t>的全钢子午线轮胎</w:t>
            </w:r>
            <w:r w:rsidR="007260FD">
              <w:rPr>
                <w:rFonts w:ascii="宋体" w:eastAsia="宋体" w:hAnsi="宋体" w:cs="Times New Roman" w:hint="eastAsia"/>
                <w:lang w:eastAsia="zh-CN"/>
              </w:rPr>
              <w:t>相关</w:t>
            </w:r>
            <w:r w:rsidR="00D44E8A">
              <w:rPr>
                <w:rFonts w:ascii="宋体" w:eastAsia="宋体" w:hAnsi="宋体" w:cs="Times New Roman" w:hint="eastAsia"/>
                <w:lang w:eastAsia="zh-CN"/>
              </w:rPr>
              <w:t>资产、负债、业务、人员出资/转移至</w:t>
            </w:r>
            <w:r w:rsidR="00D44E8A" w:rsidRPr="00177409">
              <w:rPr>
                <w:rFonts w:ascii="宋体" w:eastAsia="宋体" w:hAnsi="宋体" w:cs="Times New Roman" w:hint="eastAsia"/>
                <w:lang w:eastAsia="zh-CN"/>
              </w:rPr>
              <w:t>山东路通轮胎有限公司（“路通轮胎”</w:t>
            </w:r>
            <w:r w:rsidR="00D44E8A">
              <w:rPr>
                <w:rFonts w:ascii="宋体" w:eastAsia="宋体" w:hAnsi="宋体" w:cs="Times New Roman" w:hint="eastAsia"/>
                <w:lang w:eastAsia="zh-CN"/>
              </w:rPr>
              <w:t>），</w:t>
            </w:r>
            <w:r w:rsidR="007260FD">
              <w:rPr>
                <w:rFonts w:ascii="宋体" w:eastAsia="宋体" w:hAnsi="宋体" w:cs="Times New Roman" w:hint="eastAsia"/>
                <w:lang w:eastAsia="zh-CN"/>
              </w:rPr>
              <w:t>前述资产重组完成后，</w:t>
            </w:r>
            <w:r w:rsidR="00D44E8A">
              <w:rPr>
                <w:rFonts w:ascii="宋体" w:eastAsia="宋体" w:hAnsi="宋体" w:cs="Times New Roman" w:hint="eastAsia"/>
                <w:lang w:eastAsia="zh-CN"/>
              </w:rPr>
              <w:t>济宁城投受让</w:t>
            </w:r>
            <w:r w:rsidR="007260FD">
              <w:rPr>
                <w:rFonts w:ascii="宋体" w:eastAsia="宋体" w:hAnsi="宋体" w:cs="Times New Roman" w:hint="eastAsia"/>
                <w:lang w:eastAsia="zh-CN"/>
              </w:rPr>
              <w:t>路通轮胎58%股权。</w:t>
            </w:r>
          </w:p>
          <w:p w14:paraId="533FE435" w14:textId="77DEFEA5" w:rsidR="00DB093F" w:rsidRDefault="00177409">
            <w:pPr>
              <w:pStyle w:val="TableText"/>
              <w:kinsoku/>
              <w:spacing w:after="0"/>
              <w:ind w:left="106" w:right="94"/>
              <w:jc w:val="both"/>
              <w:rPr>
                <w:rFonts w:ascii="宋体" w:eastAsia="宋体" w:hAnsi="宋体" w:cs="Times New Roman" w:hint="eastAsia"/>
                <w:lang w:eastAsia="zh-CN"/>
              </w:rPr>
            </w:pPr>
            <w:r w:rsidRPr="00177409">
              <w:rPr>
                <w:rFonts w:ascii="宋体" w:eastAsia="宋体" w:hAnsi="宋体" w:cs="Times New Roman" w:hint="eastAsia"/>
                <w:lang w:eastAsia="zh-CN"/>
              </w:rPr>
              <w:t>交易前</w:t>
            </w:r>
            <w:r w:rsidR="00AC0DE1">
              <w:rPr>
                <w:rFonts w:ascii="宋体" w:eastAsia="宋体" w:hAnsi="宋体" w:cs="Times New Roman" w:hint="eastAsia"/>
                <w:lang w:eastAsia="zh-CN"/>
              </w:rPr>
              <w:t>，</w:t>
            </w:r>
            <w:r w:rsidR="0079709B">
              <w:rPr>
                <w:rFonts w:ascii="宋体" w:eastAsia="宋体" w:hAnsi="宋体" w:cs="Times New Roman" w:hint="eastAsia"/>
                <w:lang w:eastAsia="zh-CN"/>
              </w:rPr>
              <w:t>华勤集团</w:t>
            </w:r>
            <w:r w:rsidR="007260FD">
              <w:rPr>
                <w:rFonts w:ascii="宋体" w:eastAsia="宋体" w:hAnsi="宋体" w:cs="Times New Roman" w:hint="eastAsia"/>
                <w:lang w:eastAsia="zh-CN"/>
              </w:rPr>
              <w:t>通过通力轮胎100%</w:t>
            </w:r>
            <w:r w:rsidR="003068A5">
              <w:rPr>
                <w:rFonts w:ascii="宋体" w:eastAsia="宋体" w:hAnsi="宋体" w:cs="Times New Roman" w:hint="eastAsia"/>
                <w:lang w:eastAsia="zh-CN"/>
              </w:rPr>
              <w:t>单独控制</w:t>
            </w:r>
            <w:r w:rsidRPr="00177409">
              <w:rPr>
                <w:rFonts w:ascii="宋体" w:eastAsia="宋体" w:hAnsi="宋体" w:cs="Times New Roman" w:hint="eastAsia"/>
                <w:lang w:eastAsia="zh-CN"/>
              </w:rPr>
              <w:t>路通轮胎</w:t>
            </w:r>
            <w:r>
              <w:rPr>
                <w:rFonts w:ascii="宋体" w:eastAsia="宋体" w:hAnsi="宋体" w:cs="Times New Roman" w:hint="eastAsia"/>
                <w:lang w:eastAsia="zh-CN"/>
              </w:rPr>
              <w:t>；</w:t>
            </w:r>
            <w:r w:rsidRPr="00177409">
              <w:rPr>
                <w:rFonts w:ascii="宋体" w:eastAsia="宋体" w:hAnsi="宋体" w:cs="Times New Roman" w:hint="eastAsia"/>
                <w:lang w:eastAsia="zh-CN"/>
              </w:rPr>
              <w:t>交易后</w:t>
            </w:r>
            <w:r w:rsidR="00AC0DE1">
              <w:rPr>
                <w:rFonts w:ascii="宋体" w:eastAsia="宋体" w:hAnsi="宋体" w:cs="Times New Roman" w:hint="eastAsia"/>
                <w:lang w:eastAsia="zh-CN"/>
              </w:rPr>
              <w:t>，</w:t>
            </w:r>
            <w:r w:rsidRPr="00177409">
              <w:rPr>
                <w:rFonts w:ascii="宋体" w:eastAsia="宋体" w:hAnsi="宋体" w:cs="Times New Roman" w:hint="eastAsia"/>
                <w:lang w:eastAsia="zh-CN"/>
              </w:rPr>
              <w:t>济宁城投</w:t>
            </w:r>
            <w:r w:rsidR="00AC0DE1" w:rsidRPr="00177409">
              <w:rPr>
                <w:rFonts w:ascii="宋体" w:eastAsia="宋体" w:hAnsi="宋体" w:cs="Times New Roman" w:hint="eastAsia"/>
                <w:lang w:eastAsia="zh-CN"/>
              </w:rPr>
              <w:t>通过</w:t>
            </w:r>
            <w:r w:rsidR="00C8485C" w:rsidRPr="00C8485C">
              <w:rPr>
                <w:rFonts w:ascii="宋体" w:eastAsia="宋体" w:hAnsi="宋体" w:cs="Times New Roman" w:hint="eastAsia"/>
                <w:lang w:eastAsia="zh-CN"/>
              </w:rPr>
              <w:t>济宁城发产业管理有限公司</w:t>
            </w:r>
            <w:r w:rsidR="00AC0DE1">
              <w:rPr>
                <w:rFonts w:ascii="宋体" w:eastAsia="宋体" w:hAnsi="宋体" w:cs="Times New Roman" w:hint="eastAsia"/>
                <w:lang w:eastAsia="zh-CN"/>
              </w:rPr>
              <w:t>持股58%、</w:t>
            </w:r>
            <w:r w:rsidRPr="00177409">
              <w:rPr>
                <w:rFonts w:ascii="宋体" w:eastAsia="宋体" w:hAnsi="宋体" w:cs="Times New Roman" w:hint="eastAsia"/>
                <w:lang w:eastAsia="zh-CN"/>
              </w:rPr>
              <w:t>华勤集团</w:t>
            </w:r>
            <w:r w:rsidR="00AC0DE1">
              <w:rPr>
                <w:rFonts w:ascii="宋体" w:eastAsia="宋体" w:hAnsi="宋体" w:cs="Times New Roman" w:hint="eastAsia"/>
                <w:lang w:eastAsia="zh-CN"/>
              </w:rPr>
              <w:t>通过</w:t>
            </w:r>
            <w:r w:rsidRPr="00177409">
              <w:rPr>
                <w:rFonts w:ascii="宋体" w:eastAsia="宋体" w:hAnsi="宋体" w:cs="Times New Roman" w:hint="eastAsia"/>
                <w:lang w:eastAsia="zh-CN"/>
              </w:rPr>
              <w:t>通力轮胎</w:t>
            </w:r>
            <w:r>
              <w:rPr>
                <w:rFonts w:ascii="宋体" w:eastAsia="宋体" w:hAnsi="宋体" w:cs="Times New Roman" w:hint="eastAsia"/>
                <w:lang w:eastAsia="zh-CN"/>
              </w:rPr>
              <w:t>持股42%</w:t>
            </w:r>
            <w:r w:rsidR="003068A5">
              <w:rPr>
                <w:rFonts w:ascii="宋体" w:eastAsia="宋体" w:hAnsi="宋体" w:cs="Times New Roman" w:hint="eastAsia"/>
                <w:lang w:eastAsia="zh-CN"/>
              </w:rPr>
              <w:t>，</w:t>
            </w:r>
            <w:r w:rsidRPr="00177409">
              <w:rPr>
                <w:rFonts w:ascii="宋体" w:eastAsia="宋体" w:hAnsi="宋体" w:cs="Times New Roman" w:hint="eastAsia"/>
                <w:lang w:eastAsia="zh-CN"/>
              </w:rPr>
              <w:t>对路通轮胎实施共同控制。</w:t>
            </w:r>
          </w:p>
        </w:tc>
      </w:tr>
      <w:tr w:rsidR="00DB093F" w14:paraId="2F35C735" w14:textId="77777777" w:rsidTr="00034E0B">
        <w:trPr>
          <w:trHeight w:val="1549"/>
        </w:trPr>
        <w:tc>
          <w:tcPr>
            <w:tcW w:w="1944" w:type="dxa"/>
            <w:vMerge w:val="restart"/>
            <w:tcBorders>
              <w:bottom w:val="nil"/>
            </w:tcBorders>
            <w:shd w:val="clear" w:color="auto" w:fill="D9D9D9"/>
            <w:vAlign w:val="center"/>
          </w:tcPr>
          <w:p w14:paraId="2B2A39CF" w14:textId="77777777" w:rsidR="00DB093F" w:rsidRDefault="00000000">
            <w:pPr>
              <w:pStyle w:val="TableText"/>
              <w:kinsoku/>
              <w:wordWrap w:val="0"/>
              <w:spacing w:after="0"/>
              <w:ind w:right="107"/>
              <w:jc w:val="both"/>
              <w:rPr>
                <w:rFonts w:ascii="宋体" w:eastAsia="宋体" w:hAnsi="宋体" w:cs="Times New Roman" w:hint="eastAsia"/>
                <w:lang w:eastAsia="zh-CN"/>
              </w:rPr>
            </w:pPr>
            <w:r>
              <w:rPr>
                <w:rFonts w:ascii="宋体" w:eastAsia="宋体" w:hAnsi="宋体" w:cs="Times New Roman"/>
                <w:spacing w:val="5"/>
                <w:lang w:eastAsia="zh-CN"/>
              </w:rPr>
              <w:t>参与集中的经营</w:t>
            </w:r>
            <w:r>
              <w:rPr>
                <w:rFonts w:ascii="宋体" w:eastAsia="宋体" w:hAnsi="宋体" w:cs="Times New Roman"/>
                <w:spacing w:val="-1"/>
                <w:lang w:eastAsia="zh-CN"/>
              </w:rPr>
              <w:t>者简介（每个限</w:t>
            </w:r>
            <w:r>
              <w:rPr>
                <w:rFonts w:ascii="宋体" w:eastAsia="宋体" w:hAnsi="宋体" w:cs="Times New Roman"/>
                <w:spacing w:val="-7"/>
                <w:lang w:eastAsia="zh-CN"/>
              </w:rPr>
              <w:t>100字以内）</w:t>
            </w:r>
          </w:p>
        </w:tc>
        <w:tc>
          <w:tcPr>
            <w:tcW w:w="1484" w:type="dxa"/>
            <w:vAlign w:val="center"/>
          </w:tcPr>
          <w:p w14:paraId="0DF87938" w14:textId="08F85C54" w:rsidR="00DB093F" w:rsidRDefault="00000000">
            <w:pPr>
              <w:pStyle w:val="TableText"/>
              <w:kinsoku/>
              <w:wordWrap w:val="0"/>
              <w:spacing w:after="0"/>
              <w:rPr>
                <w:rFonts w:ascii="宋体" w:eastAsia="宋体" w:hAnsi="宋体" w:cs="Times New Roman" w:hint="eastAsia"/>
                <w:lang w:eastAsia="zh-CN"/>
              </w:rPr>
            </w:pPr>
            <w:r>
              <w:rPr>
                <w:rFonts w:ascii="宋体" w:eastAsia="宋体" w:hAnsi="宋体" w:cs="Times New Roman"/>
              </w:rPr>
              <w:t>1.</w:t>
            </w:r>
            <w:r w:rsidR="00051F0B">
              <w:rPr>
                <w:rFonts w:ascii="宋体" w:eastAsia="宋体" w:hAnsi="宋体" w:cs="Times New Roman" w:hint="eastAsia"/>
                <w:lang w:eastAsia="zh-CN"/>
              </w:rPr>
              <w:t>济宁城投</w:t>
            </w:r>
          </w:p>
        </w:tc>
        <w:tc>
          <w:tcPr>
            <w:tcW w:w="6216" w:type="dxa"/>
            <w:vAlign w:val="center"/>
          </w:tcPr>
          <w:p w14:paraId="2ACC7146" w14:textId="4EEAEC0F" w:rsidR="00DB093F" w:rsidRDefault="00051F0B" w:rsidP="00D44E8A">
            <w:pPr>
              <w:pStyle w:val="TableText"/>
              <w:kinsoku/>
              <w:spacing w:after="0"/>
              <w:ind w:left="108" w:right="106"/>
              <w:jc w:val="both"/>
              <w:rPr>
                <w:rFonts w:ascii="宋体" w:eastAsia="宋体" w:hAnsi="宋体" w:cs="Times New Roman" w:hint="eastAsia"/>
                <w:lang w:eastAsia="zh-CN"/>
              </w:rPr>
            </w:pPr>
            <w:r w:rsidRPr="00051F0B">
              <w:rPr>
                <w:rFonts w:ascii="宋体" w:eastAsia="宋体" w:hAnsi="宋体" w:cs="Times New Roman" w:hint="eastAsia"/>
                <w:lang w:eastAsia="zh-CN"/>
              </w:rPr>
              <w:t>济宁城投</w:t>
            </w:r>
            <w:r w:rsidR="0079709B">
              <w:rPr>
                <w:rFonts w:ascii="宋体" w:eastAsia="宋体" w:hAnsi="宋体" w:cs="Times New Roman" w:hint="eastAsia"/>
                <w:lang w:eastAsia="zh-CN"/>
              </w:rPr>
              <w:t>于</w:t>
            </w:r>
            <w:r>
              <w:rPr>
                <w:rFonts w:ascii="宋体" w:eastAsia="宋体" w:hAnsi="宋体" w:cs="Times New Roman" w:hint="eastAsia"/>
                <w:lang w:eastAsia="zh-CN"/>
              </w:rPr>
              <w:t>2007年</w:t>
            </w:r>
            <w:r w:rsidR="00873031" w:rsidRPr="00873031">
              <w:rPr>
                <w:rFonts w:ascii="宋体" w:eastAsia="宋体" w:hAnsi="宋体" w:cs="Times New Roman" w:hint="eastAsia"/>
                <w:lang w:eastAsia="zh-CN"/>
              </w:rPr>
              <w:t>9月25日</w:t>
            </w:r>
            <w:r w:rsidR="0079709B">
              <w:rPr>
                <w:rFonts w:ascii="宋体" w:eastAsia="宋体" w:hAnsi="宋体" w:cs="Times New Roman" w:hint="eastAsia"/>
                <w:lang w:eastAsia="zh-CN"/>
              </w:rPr>
              <w:t>成立于</w:t>
            </w:r>
            <w:r w:rsidR="003A6EA1" w:rsidRPr="003A6EA1">
              <w:rPr>
                <w:rFonts w:ascii="宋体" w:eastAsia="宋体" w:hAnsi="宋体" w:cs="Times New Roman" w:hint="eastAsia"/>
                <w:lang w:eastAsia="zh-CN"/>
              </w:rPr>
              <w:t>山东省济宁市</w:t>
            </w:r>
            <w:r w:rsidR="0079709B" w:rsidRPr="00051F0B">
              <w:rPr>
                <w:rFonts w:ascii="宋体" w:eastAsia="宋体" w:hAnsi="宋体" w:cs="Times New Roman" w:hint="eastAsia"/>
                <w:lang w:eastAsia="zh-CN"/>
              </w:rPr>
              <w:t>，</w:t>
            </w:r>
            <w:r w:rsidR="0079709B">
              <w:rPr>
                <w:rFonts w:ascii="宋体" w:eastAsia="宋体" w:hAnsi="宋体" w:cs="Times New Roman" w:hint="eastAsia"/>
                <w:lang w:eastAsia="zh-CN"/>
              </w:rPr>
              <w:t>主要业务为</w:t>
            </w:r>
            <w:r w:rsidR="0079709B" w:rsidRPr="00051F0B">
              <w:rPr>
                <w:rFonts w:ascii="宋体" w:eastAsia="宋体" w:hAnsi="宋体" w:cs="Times New Roman" w:hint="eastAsia"/>
                <w:lang w:eastAsia="zh-CN"/>
              </w:rPr>
              <w:t>城市建设运营、产业投资运营。</w:t>
            </w:r>
          </w:p>
          <w:p w14:paraId="424A15DE" w14:textId="0DF31F66" w:rsidR="006472C1" w:rsidRPr="00D44E8A" w:rsidRDefault="006472C1" w:rsidP="00D44E8A">
            <w:pPr>
              <w:pStyle w:val="TableText"/>
              <w:kinsoku/>
              <w:spacing w:after="0"/>
              <w:ind w:left="108" w:right="106"/>
              <w:jc w:val="both"/>
              <w:rPr>
                <w:rFonts w:ascii="宋体" w:eastAsia="宋体" w:hAnsi="宋体" w:cs="Times New Roman" w:hint="eastAsia"/>
                <w:lang w:eastAsia="zh-CN"/>
              </w:rPr>
            </w:pPr>
            <w:r>
              <w:rPr>
                <w:rFonts w:ascii="宋体" w:eastAsia="宋体" w:hAnsi="宋体" w:cs="Times New Roman" w:hint="eastAsia"/>
                <w:lang w:eastAsia="zh-CN"/>
              </w:rPr>
              <w:t>济宁城投</w:t>
            </w:r>
            <w:r w:rsidRPr="00051F0B">
              <w:rPr>
                <w:rFonts w:ascii="宋体" w:eastAsia="宋体" w:hAnsi="宋体" w:cs="Times New Roman" w:hint="eastAsia"/>
                <w:lang w:eastAsia="zh-CN"/>
              </w:rPr>
              <w:t>是</w:t>
            </w:r>
            <w:r w:rsidRPr="00051F0B">
              <w:rPr>
                <w:rFonts w:ascii="宋体" w:eastAsia="宋体" w:hAnsi="宋体" w:cs="Times New Roman" w:hint="eastAsia"/>
                <w:spacing w:val="2"/>
                <w:lang w:eastAsia="zh-CN"/>
              </w:rPr>
              <w:t>济宁市人民政府国有资产监督管理委员会</w:t>
            </w:r>
            <w:r>
              <w:rPr>
                <w:rFonts w:ascii="宋体" w:eastAsia="宋体" w:hAnsi="宋体" w:cs="Times New Roman" w:hint="eastAsia"/>
                <w:lang w:eastAsia="zh-CN"/>
              </w:rPr>
              <w:t>下属企业。</w:t>
            </w:r>
          </w:p>
        </w:tc>
      </w:tr>
      <w:tr w:rsidR="00DB093F" w14:paraId="0FD8F318" w14:textId="77777777" w:rsidTr="00034E0B">
        <w:trPr>
          <w:trHeight w:val="1359"/>
        </w:trPr>
        <w:tc>
          <w:tcPr>
            <w:tcW w:w="1944" w:type="dxa"/>
            <w:vMerge/>
            <w:tcBorders>
              <w:top w:val="nil"/>
            </w:tcBorders>
            <w:vAlign w:val="center"/>
          </w:tcPr>
          <w:p w14:paraId="3D2802C3" w14:textId="77777777" w:rsidR="00DB093F" w:rsidRDefault="00DB093F">
            <w:pPr>
              <w:kinsoku/>
              <w:wordWrap w:val="0"/>
              <w:spacing w:after="0"/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</w:pPr>
          </w:p>
        </w:tc>
        <w:tc>
          <w:tcPr>
            <w:tcW w:w="1484" w:type="dxa"/>
            <w:vAlign w:val="center"/>
          </w:tcPr>
          <w:p w14:paraId="42FEC9C2" w14:textId="42C354A4" w:rsidR="00DB093F" w:rsidRDefault="00000000">
            <w:pPr>
              <w:pStyle w:val="TableText"/>
              <w:kinsoku/>
              <w:wordWrap w:val="0"/>
              <w:spacing w:after="0"/>
              <w:rPr>
                <w:rFonts w:ascii="宋体" w:eastAsia="宋体" w:hAnsi="宋体" w:cs="Times New Roman" w:hint="eastAsia"/>
                <w:lang w:eastAsia="zh-CN"/>
              </w:rPr>
            </w:pPr>
            <w:r>
              <w:rPr>
                <w:rFonts w:ascii="宋体" w:eastAsia="宋体" w:hAnsi="宋体" w:cs="Times New Roman"/>
                <w:spacing w:val="-6"/>
              </w:rPr>
              <w:t>2.</w:t>
            </w:r>
            <w:r w:rsidR="00051F0B">
              <w:rPr>
                <w:rFonts w:ascii="宋体" w:eastAsia="宋体" w:hAnsi="宋体" w:cs="Times New Roman" w:hint="eastAsia"/>
                <w:spacing w:val="-6"/>
                <w:lang w:eastAsia="zh-CN"/>
              </w:rPr>
              <w:t>华勤</w:t>
            </w:r>
            <w:r>
              <w:rPr>
                <w:rFonts w:ascii="宋体" w:eastAsia="宋体" w:hAnsi="宋体" w:cs="Times New Roman" w:hint="eastAsia"/>
                <w:spacing w:val="-6"/>
                <w:lang w:eastAsia="zh-CN"/>
              </w:rPr>
              <w:t>集团</w:t>
            </w:r>
          </w:p>
        </w:tc>
        <w:tc>
          <w:tcPr>
            <w:tcW w:w="6216" w:type="dxa"/>
            <w:vAlign w:val="center"/>
          </w:tcPr>
          <w:p w14:paraId="6E4C0642" w14:textId="40DBE4F2" w:rsidR="0079709B" w:rsidRDefault="00051F0B" w:rsidP="00051F0B">
            <w:pPr>
              <w:pStyle w:val="TableText"/>
              <w:kinsoku/>
              <w:wordWrap w:val="0"/>
              <w:spacing w:after="0"/>
              <w:ind w:left="108" w:right="108"/>
              <w:jc w:val="both"/>
              <w:rPr>
                <w:rFonts w:ascii="宋体" w:eastAsia="宋体" w:hAnsi="宋体" w:cs="Times New Roman" w:hint="eastAsia"/>
                <w:spacing w:val="-9"/>
                <w:lang w:eastAsia="zh-CN"/>
              </w:rPr>
            </w:pPr>
            <w:r w:rsidRPr="00051F0B">
              <w:rPr>
                <w:rFonts w:ascii="宋体" w:eastAsia="宋体" w:hAnsi="宋体" w:cs="Times New Roman" w:hint="eastAsia"/>
                <w:spacing w:val="-9"/>
                <w:lang w:eastAsia="zh-CN"/>
              </w:rPr>
              <w:t>华勤集团</w:t>
            </w:r>
            <w:r>
              <w:rPr>
                <w:rFonts w:ascii="宋体" w:eastAsia="宋体" w:hAnsi="宋体" w:cs="Times New Roman" w:hint="eastAsia"/>
                <w:spacing w:val="-9"/>
                <w:lang w:eastAsia="zh-CN"/>
              </w:rPr>
              <w:t>于1997年</w:t>
            </w:r>
            <w:r w:rsidR="00873031" w:rsidRPr="00873031">
              <w:rPr>
                <w:rFonts w:ascii="宋体" w:eastAsia="宋体" w:hAnsi="宋体" w:cs="Times New Roman" w:hint="eastAsia"/>
                <w:spacing w:val="-9"/>
                <w:lang w:eastAsia="zh-CN"/>
              </w:rPr>
              <w:t>11月6日</w:t>
            </w:r>
            <w:r w:rsidR="0079709B">
              <w:rPr>
                <w:rFonts w:ascii="宋体" w:eastAsia="宋体" w:hAnsi="宋体" w:cs="Times New Roman" w:hint="eastAsia"/>
                <w:spacing w:val="-9"/>
                <w:lang w:eastAsia="zh-CN"/>
              </w:rPr>
              <w:t>成立</w:t>
            </w:r>
            <w:r w:rsidR="003A6EA1">
              <w:rPr>
                <w:rFonts w:ascii="宋体" w:eastAsia="宋体" w:hAnsi="宋体" w:cs="Times New Roman" w:hint="eastAsia"/>
                <w:spacing w:val="-9"/>
                <w:lang w:eastAsia="zh-CN"/>
              </w:rPr>
              <w:t>于</w:t>
            </w:r>
            <w:r w:rsidRPr="00051F0B">
              <w:rPr>
                <w:rFonts w:ascii="宋体" w:eastAsia="宋体" w:hAnsi="宋体" w:cs="Times New Roman" w:hint="eastAsia"/>
                <w:spacing w:val="-9"/>
                <w:lang w:eastAsia="zh-CN"/>
              </w:rPr>
              <w:t>山东省济宁市，</w:t>
            </w:r>
            <w:r w:rsidR="0079709B">
              <w:rPr>
                <w:rFonts w:ascii="宋体" w:eastAsia="宋体" w:hAnsi="宋体" w:cs="Times New Roman" w:hint="eastAsia"/>
                <w:spacing w:val="-9"/>
                <w:lang w:eastAsia="zh-CN"/>
              </w:rPr>
              <w:t>主要业务为</w:t>
            </w:r>
            <w:r w:rsidR="0079709B" w:rsidRPr="00051F0B">
              <w:rPr>
                <w:rFonts w:ascii="宋体" w:eastAsia="宋体" w:hAnsi="宋体" w:cs="Times New Roman" w:hint="eastAsia"/>
                <w:spacing w:val="-9"/>
                <w:lang w:eastAsia="zh-CN"/>
              </w:rPr>
              <w:t>橡胶产业</w:t>
            </w:r>
            <w:r w:rsidR="0079709B">
              <w:rPr>
                <w:rFonts w:ascii="宋体" w:eastAsia="宋体" w:hAnsi="宋体" w:cs="Times New Roman" w:hint="eastAsia"/>
                <w:spacing w:val="-9"/>
                <w:lang w:eastAsia="zh-CN"/>
              </w:rPr>
              <w:t>、</w:t>
            </w:r>
            <w:r w:rsidR="0079709B" w:rsidRPr="00051F0B">
              <w:rPr>
                <w:rFonts w:ascii="宋体" w:eastAsia="宋体" w:hAnsi="宋体" w:cs="Times New Roman" w:hint="eastAsia"/>
                <w:spacing w:val="-9"/>
                <w:lang w:eastAsia="zh-CN"/>
              </w:rPr>
              <w:t>金属制品等</w:t>
            </w:r>
            <w:r w:rsidR="0079709B">
              <w:rPr>
                <w:rFonts w:ascii="宋体" w:eastAsia="宋体" w:hAnsi="宋体" w:cs="Times New Roman" w:hint="eastAsia"/>
                <w:spacing w:val="-9"/>
                <w:lang w:eastAsia="zh-CN"/>
              </w:rPr>
              <w:t>。</w:t>
            </w:r>
          </w:p>
          <w:p w14:paraId="5C1795C1" w14:textId="79F053A7" w:rsidR="00DB093F" w:rsidRPr="00051F0B" w:rsidRDefault="0079709B" w:rsidP="00051F0B">
            <w:pPr>
              <w:pStyle w:val="TableText"/>
              <w:kinsoku/>
              <w:wordWrap w:val="0"/>
              <w:spacing w:after="0"/>
              <w:ind w:left="108" w:right="108"/>
              <w:jc w:val="both"/>
              <w:rPr>
                <w:rFonts w:ascii="宋体" w:eastAsia="宋体" w:hAnsi="宋体" w:cs="Times New Roman" w:hint="eastAsia"/>
                <w:spacing w:val="-9"/>
                <w:lang w:eastAsia="zh-CN"/>
              </w:rPr>
            </w:pPr>
            <w:r>
              <w:rPr>
                <w:rFonts w:ascii="宋体" w:eastAsia="宋体" w:hAnsi="宋体" w:cs="Times New Roman" w:hint="eastAsia"/>
                <w:spacing w:val="-5"/>
                <w:lang w:eastAsia="zh-CN"/>
              </w:rPr>
              <w:t>华勤集团最终控制人为</w:t>
            </w:r>
            <w:r w:rsidR="00D44E8A">
              <w:rPr>
                <w:rFonts w:ascii="宋体" w:eastAsia="宋体" w:hAnsi="宋体" w:cs="Times New Roman" w:hint="eastAsia"/>
                <w:spacing w:val="-5"/>
                <w:lang w:eastAsia="zh-CN"/>
              </w:rPr>
              <w:t>中国籍自然人。自然人的</w:t>
            </w:r>
            <w:r>
              <w:rPr>
                <w:rFonts w:ascii="宋体" w:eastAsia="宋体" w:hAnsi="宋体" w:cs="Times New Roman" w:hint="eastAsia"/>
                <w:spacing w:val="-9"/>
                <w:lang w:eastAsia="zh-CN"/>
              </w:rPr>
              <w:t>主要业务为</w:t>
            </w:r>
            <w:r w:rsidRPr="00051F0B">
              <w:rPr>
                <w:rFonts w:ascii="宋体" w:eastAsia="宋体" w:hAnsi="宋体" w:cs="Times New Roman" w:hint="eastAsia"/>
                <w:spacing w:val="-9"/>
                <w:lang w:eastAsia="zh-CN"/>
              </w:rPr>
              <w:t>橡胶产业</w:t>
            </w:r>
            <w:r>
              <w:rPr>
                <w:rFonts w:ascii="宋体" w:eastAsia="宋体" w:hAnsi="宋体" w:cs="Times New Roman" w:hint="eastAsia"/>
                <w:spacing w:val="-9"/>
                <w:lang w:eastAsia="zh-CN"/>
              </w:rPr>
              <w:t>、</w:t>
            </w:r>
            <w:r w:rsidRPr="00051F0B">
              <w:rPr>
                <w:rFonts w:ascii="宋体" w:eastAsia="宋体" w:hAnsi="宋体" w:cs="Times New Roman" w:hint="eastAsia"/>
                <w:spacing w:val="-9"/>
                <w:lang w:eastAsia="zh-CN"/>
              </w:rPr>
              <w:t>电力、新能源、金属制品、地产开发、资本运营、医药健康等</w:t>
            </w:r>
            <w:r w:rsidR="00051F0B">
              <w:rPr>
                <w:rFonts w:ascii="宋体" w:eastAsia="宋体" w:hAnsi="宋体" w:cs="Times New Roman" w:hint="eastAsia"/>
                <w:spacing w:val="-9"/>
                <w:lang w:eastAsia="zh-CN"/>
              </w:rPr>
              <w:t>。</w:t>
            </w:r>
          </w:p>
        </w:tc>
      </w:tr>
      <w:tr w:rsidR="00DB093F" w14:paraId="7B3F1F36" w14:textId="77777777" w:rsidTr="00034E0B">
        <w:trPr>
          <w:trHeight w:val="352"/>
        </w:trPr>
        <w:tc>
          <w:tcPr>
            <w:tcW w:w="1944" w:type="dxa"/>
            <w:vMerge w:val="restart"/>
            <w:shd w:val="clear" w:color="auto" w:fill="D9D9D9"/>
            <w:vAlign w:val="center"/>
          </w:tcPr>
          <w:p w14:paraId="10F29B5D" w14:textId="77777777" w:rsidR="00DB093F" w:rsidRDefault="00000000">
            <w:pPr>
              <w:pStyle w:val="TableText"/>
              <w:kinsoku/>
              <w:wordWrap w:val="0"/>
              <w:spacing w:after="0"/>
              <w:ind w:left="102" w:right="107"/>
              <w:jc w:val="both"/>
              <w:rPr>
                <w:rFonts w:ascii="宋体" w:eastAsia="宋体" w:hAnsi="宋体" w:cs="Times New Roman" w:hint="eastAsia"/>
                <w:lang w:eastAsia="zh-CN"/>
              </w:rPr>
            </w:pPr>
            <w:r>
              <w:rPr>
                <w:rFonts w:ascii="宋体" w:eastAsia="宋体" w:hAnsi="宋体" w:cs="Times New Roman"/>
                <w:spacing w:val="45"/>
                <w:lang w:eastAsia="zh-CN"/>
              </w:rPr>
              <w:t>简易案件理由</w:t>
            </w:r>
            <w:r>
              <w:rPr>
                <w:rFonts w:ascii="宋体" w:eastAsia="宋体" w:hAnsi="宋体" w:cs="Times New Roman"/>
                <w:spacing w:val="-1"/>
                <w:lang w:eastAsia="zh-CN"/>
              </w:rPr>
              <w:t>（可以单选，也</w:t>
            </w:r>
            <w:r>
              <w:rPr>
                <w:rFonts w:ascii="宋体" w:eastAsia="宋体" w:hAnsi="宋体" w:cs="Times New Roman"/>
                <w:spacing w:val="3"/>
                <w:lang w:eastAsia="zh-CN"/>
              </w:rPr>
              <w:t>可以多选）</w:t>
            </w:r>
          </w:p>
        </w:tc>
        <w:tc>
          <w:tcPr>
            <w:tcW w:w="7700" w:type="dxa"/>
            <w:gridSpan w:val="2"/>
            <w:vAlign w:val="center"/>
          </w:tcPr>
          <w:p w14:paraId="463F08BD" w14:textId="77777777" w:rsidR="00DB093F" w:rsidRDefault="00000000">
            <w:pPr>
              <w:pStyle w:val="TableText"/>
              <w:kinsoku/>
              <w:wordWrap w:val="0"/>
              <w:spacing w:after="0"/>
              <w:jc w:val="both"/>
              <w:rPr>
                <w:rFonts w:ascii="宋体" w:eastAsia="宋体" w:hAnsi="宋体" w:cs="Times New Roman" w:hint="eastAsia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</w:rPr>
              <w:sym w:font="Wingdings 2" w:char="00A3"/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3"/>
                <w:lang w:eastAsia="zh-CN"/>
              </w:rPr>
              <w:t xml:space="preserve"> </w:t>
            </w:r>
            <w:r>
              <w:rPr>
                <w:rFonts w:ascii="宋体" w:eastAsia="宋体" w:hAnsi="宋体" w:cs="Times New Roman"/>
                <w:spacing w:val="-2"/>
                <w:lang w:eastAsia="zh-CN"/>
              </w:rPr>
              <w:t>1.在同一相关市场，参与集中的经营者所占的市场份额</w:t>
            </w:r>
            <w:r>
              <w:rPr>
                <w:rFonts w:ascii="宋体" w:eastAsia="宋体" w:hAnsi="宋体" w:cs="Times New Roman"/>
                <w:spacing w:val="-3"/>
                <w:lang w:eastAsia="zh-CN"/>
              </w:rPr>
              <w:t>之和小于15%。</w:t>
            </w:r>
          </w:p>
        </w:tc>
      </w:tr>
      <w:tr w:rsidR="00DB093F" w14:paraId="43904EF7" w14:textId="77777777" w:rsidTr="00034E0B">
        <w:trPr>
          <w:trHeight w:val="353"/>
        </w:trPr>
        <w:tc>
          <w:tcPr>
            <w:tcW w:w="1944" w:type="dxa"/>
            <w:vMerge/>
          </w:tcPr>
          <w:p w14:paraId="3F9D51AE" w14:textId="77777777" w:rsidR="00DB093F" w:rsidRDefault="00DB093F">
            <w:pPr>
              <w:kinsoku/>
              <w:wordWrap w:val="0"/>
              <w:spacing w:after="0"/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11534BD1" w14:textId="226D14E4" w:rsidR="00DB093F" w:rsidRDefault="00051F0B">
            <w:pPr>
              <w:pStyle w:val="TableText"/>
              <w:kinsoku/>
              <w:wordWrap w:val="0"/>
              <w:spacing w:after="0"/>
              <w:jc w:val="both"/>
              <w:rPr>
                <w:rFonts w:ascii="宋体" w:eastAsia="宋体" w:hAnsi="宋体" w:cs="Times New Roman" w:hint="eastAsia"/>
                <w:lang w:eastAsia="zh-CN"/>
              </w:rPr>
            </w:pPr>
            <w:r>
              <w:rPr>
                <w:rFonts w:ascii="Times New Roman" w:hAnsi="Times New Roman" w:cs="Times New Roman"/>
                <w:spacing w:val="-3"/>
              </w:rPr>
              <w:sym w:font="Wingdings 2" w:char="00A3"/>
            </w:r>
            <w:r>
              <w:rPr>
                <w:rFonts w:ascii="Times New Roman" w:hAnsi="Times New Roman" w:cs="Times New Roman" w:hint="eastAsia"/>
                <w:spacing w:val="-3"/>
                <w:lang w:eastAsia="zh-CN"/>
              </w:rPr>
              <w:t xml:space="preserve">  </w:t>
            </w:r>
            <w:r>
              <w:rPr>
                <w:rFonts w:ascii="宋体" w:eastAsia="宋体" w:hAnsi="宋体" w:cs="Times New Roman"/>
                <w:spacing w:val="-2"/>
                <w:lang w:eastAsia="zh-CN"/>
              </w:rPr>
              <w:t>2.在上下游市场，参与集中的经营者所占的市场份额均小于25%。</w:t>
            </w:r>
          </w:p>
        </w:tc>
      </w:tr>
      <w:tr w:rsidR="00DB093F" w14:paraId="635C3633" w14:textId="77777777" w:rsidTr="00034E0B">
        <w:trPr>
          <w:trHeight w:val="703"/>
        </w:trPr>
        <w:tc>
          <w:tcPr>
            <w:tcW w:w="1944" w:type="dxa"/>
            <w:vMerge/>
          </w:tcPr>
          <w:p w14:paraId="123242DC" w14:textId="77777777" w:rsidR="00DB093F" w:rsidRDefault="00DB093F">
            <w:pPr>
              <w:kinsoku/>
              <w:wordWrap w:val="0"/>
              <w:spacing w:after="0"/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2D3B9F54" w14:textId="7777C120" w:rsidR="00DB093F" w:rsidRDefault="00051F0B">
            <w:pPr>
              <w:pStyle w:val="TableText"/>
              <w:kinsoku/>
              <w:wordWrap w:val="0"/>
              <w:spacing w:after="0"/>
              <w:ind w:right="108"/>
              <w:jc w:val="both"/>
              <w:rPr>
                <w:rFonts w:ascii="宋体" w:eastAsia="宋体" w:hAnsi="宋体" w:cs="Times New Roman" w:hint="eastAsia"/>
                <w:lang w:eastAsia="zh-CN"/>
              </w:rPr>
            </w:pPr>
            <w:r>
              <w:rPr>
                <w:rFonts w:ascii="Times New Roman" w:hAnsi="Times New Roman" w:cs="Times New Roman"/>
                <w:spacing w:val="-2"/>
              </w:rPr>
              <w:sym w:font="Wingdings 2" w:char="0052"/>
            </w:r>
            <w:r>
              <w:rPr>
                <w:rFonts w:ascii="Times New Roman" w:hAnsi="Times New Roman" w:cs="Times New Roman" w:hint="eastAsia"/>
                <w:spacing w:val="-3"/>
                <w:lang w:eastAsia="zh-CN"/>
              </w:rPr>
              <w:t xml:space="preserve"> </w:t>
            </w:r>
            <w:r>
              <w:rPr>
                <w:rFonts w:ascii="宋体" w:eastAsia="宋体" w:hAnsi="宋体" w:cs="Times New Roman"/>
                <w:spacing w:val="-1"/>
                <w:lang w:eastAsia="zh-CN"/>
              </w:rPr>
              <w:t>3.不在同一相关市场也不存在上下游关系的参与集中的经营者，在与</w:t>
            </w:r>
            <w:r>
              <w:rPr>
                <w:rFonts w:ascii="宋体" w:eastAsia="宋体" w:hAnsi="宋体" w:cs="Times New Roman"/>
                <w:spacing w:val="-2"/>
                <w:lang w:eastAsia="zh-CN"/>
              </w:rPr>
              <w:t>交易有关的每个市场所占的市场份额均小于25%。</w:t>
            </w:r>
          </w:p>
        </w:tc>
      </w:tr>
      <w:tr w:rsidR="00DB093F" w14:paraId="646E3C15" w14:textId="77777777" w:rsidTr="00034E0B">
        <w:trPr>
          <w:trHeight w:val="703"/>
        </w:trPr>
        <w:tc>
          <w:tcPr>
            <w:tcW w:w="1944" w:type="dxa"/>
            <w:vMerge/>
          </w:tcPr>
          <w:p w14:paraId="639836D0" w14:textId="77777777" w:rsidR="00DB093F" w:rsidRDefault="00DB093F">
            <w:pPr>
              <w:kinsoku/>
              <w:wordWrap w:val="0"/>
              <w:spacing w:after="0"/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617BC62B" w14:textId="77777777" w:rsidR="00DB093F" w:rsidRDefault="00000000">
            <w:pPr>
              <w:pStyle w:val="TableText"/>
              <w:kinsoku/>
              <w:wordWrap w:val="0"/>
              <w:spacing w:after="0"/>
              <w:ind w:right="108"/>
              <w:jc w:val="both"/>
              <w:rPr>
                <w:rFonts w:ascii="宋体" w:eastAsia="宋体" w:hAnsi="宋体" w:cs="Times New Roman" w:hint="eastAsia"/>
                <w:position w:val="-4"/>
                <w:lang w:eastAsia="zh-CN"/>
              </w:rPr>
            </w:pPr>
            <w:r>
              <w:rPr>
                <w:rFonts w:ascii="Times New Roman" w:hAnsi="Times New Roman" w:cs="Times New Roman"/>
                <w:spacing w:val="-3"/>
              </w:rPr>
              <w:sym w:font="Wingdings 2" w:char="00A3"/>
            </w:r>
            <w:r>
              <w:rPr>
                <w:rFonts w:ascii="Times New Roman" w:hAnsi="Times New Roman" w:cs="Times New Roman" w:hint="eastAsia"/>
                <w:spacing w:val="-3"/>
                <w:lang w:eastAsia="zh-CN"/>
              </w:rPr>
              <w:t xml:space="preserve"> </w:t>
            </w:r>
            <w:r>
              <w:rPr>
                <w:rFonts w:ascii="宋体" w:eastAsia="宋体" w:hAnsi="宋体" w:cs="Times New Roman"/>
                <w:spacing w:val="1"/>
                <w:lang w:eastAsia="zh-CN"/>
              </w:rPr>
              <w:t>4.参与集中的经营者在中国境外设立合营企业，合营企业不在中国境</w:t>
            </w:r>
            <w:r>
              <w:rPr>
                <w:rFonts w:ascii="宋体" w:eastAsia="宋体" w:hAnsi="宋体" w:cs="Times New Roman"/>
                <w:spacing w:val="-4"/>
                <w:lang w:eastAsia="zh-CN"/>
              </w:rPr>
              <w:t>内从事经济活动。</w:t>
            </w:r>
          </w:p>
        </w:tc>
      </w:tr>
      <w:tr w:rsidR="00DB093F" w14:paraId="40E98200" w14:textId="77777777" w:rsidTr="00034E0B">
        <w:trPr>
          <w:trHeight w:val="703"/>
        </w:trPr>
        <w:tc>
          <w:tcPr>
            <w:tcW w:w="1944" w:type="dxa"/>
            <w:vMerge/>
          </w:tcPr>
          <w:p w14:paraId="7403D103" w14:textId="77777777" w:rsidR="00DB093F" w:rsidRDefault="00DB093F">
            <w:pPr>
              <w:kinsoku/>
              <w:wordWrap w:val="0"/>
              <w:spacing w:after="0"/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517642B2" w14:textId="77777777" w:rsidR="00DB093F" w:rsidRDefault="00000000">
            <w:pPr>
              <w:pStyle w:val="TableText"/>
              <w:kinsoku/>
              <w:wordWrap w:val="0"/>
              <w:spacing w:after="0"/>
              <w:ind w:right="108"/>
              <w:jc w:val="both"/>
              <w:rPr>
                <w:rFonts w:ascii="宋体" w:eastAsia="宋体" w:hAnsi="宋体" w:cs="Times New Roman" w:hint="eastAsia"/>
                <w:position w:val="-4"/>
                <w:lang w:eastAsia="zh-CN"/>
              </w:rPr>
            </w:pPr>
            <w:r>
              <w:rPr>
                <w:rFonts w:ascii="Times New Roman" w:hAnsi="Times New Roman" w:cs="Times New Roman"/>
                <w:spacing w:val="-3"/>
              </w:rPr>
              <w:sym w:font="Wingdings 2" w:char="00A3"/>
            </w:r>
            <w:r>
              <w:rPr>
                <w:rFonts w:ascii="Times New Roman" w:hAnsi="Times New Roman" w:cs="Times New Roman" w:hint="eastAsia"/>
                <w:spacing w:val="-3"/>
                <w:lang w:eastAsia="zh-CN"/>
              </w:rPr>
              <w:t xml:space="preserve"> </w:t>
            </w:r>
            <w:r>
              <w:rPr>
                <w:rFonts w:ascii="宋体" w:eastAsia="宋体" w:hAnsi="宋体" w:cs="Times New Roman"/>
                <w:spacing w:val="1"/>
                <w:lang w:eastAsia="zh-CN"/>
              </w:rPr>
              <w:t>5.参与集中的经营者收购境外企业股权或资产的，该境外企业</w:t>
            </w:r>
            <w:r>
              <w:rPr>
                <w:rFonts w:ascii="宋体" w:eastAsia="宋体" w:hAnsi="宋体" w:cs="Times New Roman"/>
                <w:lang w:eastAsia="zh-CN"/>
              </w:rPr>
              <w:t>不在中</w:t>
            </w:r>
            <w:r>
              <w:rPr>
                <w:rFonts w:ascii="宋体" w:eastAsia="宋体" w:hAnsi="宋体" w:cs="Times New Roman"/>
                <w:spacing w:val="-3"/>
                <w:lang w:eastAsia="zh-CN"/>
              </w:rPr>
              <w:t>国境内从事经济活动。</w:t>
            </w:r>
          </w:p>
        </w:tc>
      </w:tr>
      <w:tr w:rsidR="00DB093F" w14:paraId="3F6ACA2D" w14:textId="77777777" w:rsidTr="00034E0B">
        <w:trPr>
          <w:trHeight w:val="703"/>
        </w:trPr>
        <w:tc>
          <w:tcPr>
            <w:tcW w:w="1944" w:type="dxa"/>
            <w:vMerge/>
          </w:tcPr>
          <w:p w14:paraId="592D23F3" w14:textId="77777777" w:rsidR="00DB093F" w:rsidRDefault="00DB093F">
            <w:pPr>
              <w:kinsoku/>
              <w:wordWrap w:val="0"/>
              <w:spacing w:after="0"/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33C8F4F9" w14:textId="57172AF8" w:rsidR="00DB093F" w:rsidRDefault="00000000">
            <w:pPr>
              <w:pStyle w:val="TableText"/>
              <w:kinsoku/>
              <w:wordWrap w:val="0"/>
              <w:spacing w:after="0"/>
              <w:ind w:right="108"/>
              <w:jc w:val="both"/>
              <w:rPr>
                <w:rFonts w:ascii="宋体" w:eastAsia="宋体" w:hAnsi="宋体" w:cs="Times New Roman" w:hint="eastAsia"/>
                <w:position w:val="-4"/>
                <w:lang w:eastAsia="zh-CN"/>
              </w:rPr>
            </w:pPr>
            <w:r>
              <w:rPr>
                <w:rFonts w:ascii="Times New Roman" w:hAnsi="Times New Roman" w:cs="Times New Roman"/>
                <w:spacing w:val="-3"/>
              </w:rPr>
              <w:sym w:font="Wingdings 2" w:char="00A3"/>
            </w:r>
            <w:r>
              <w:rPr>
                <w:rFonts w:ascii="Times New Roman" w:hAnsi="Times New Roman" w:cs="Times New Roman" w:hint="eastAsia"/>
                <w:spacing w:val="-3"/>
                <w:lang w:eastAsia="zh-CN"/>
              </w:rPr>
              <w:t xml:space="preserve"> </w:t>
            </w:r>
            <w:r>
              <w:rPr>
                <w:rFonts w:ascii="宋体" w:eastAsia="宋体" w:hAnsi="宋体" w:cs="Times New Roman"/>
                <w:spacing w:val="-2"/>
                <w:lang w:eastAsia="zh-CN"/>
              </w:rPr>
              <w:t>6.</w:t>
            </w:r>
            <w:r>
              <w:rPr>
                <w:rFonts w:ascii="宋体" w:eastAsia="宋体" w:hAnsi="宋体" w:cs="Times New Roman"/>
                <w:spacing w:val="-47"/>
                <w:lang w:eastAsia="zh-CN"/>
              </w:rPr>
              <w:t xml:space="preserve"> </w:t>
            </w:r>
            <w:r>
              <w:rPr>
                <w:rFonts w:ascii="宋体" w:eastAsia="宋体" w:hAnsi="宋体" w:cs="Times New Roman"/>
                <w:spacing w:val="-2"/>
                <w:lang w:eastAsia="zh-CN"/>
              </w:rPr>
              <w:t>由两个以上的经营者共同控制的合营企业，通过集中被其中一个或</w:t>
            </w:r>
            <w:r>
              <w:rPr>
                <w:rFonts w:ascii="宋体" w:eastAsia="宋体" w:hAnsi="宋体" w:cs="Times New Roman"/>
                <w:spacing w:val="-1"/>
                <w:lang w:eastAsia="zh-CN"/>
              </w:rPr>
              <w:t>一个以上经营者控制。</w:t>
            </w:r>
          </w:p>
        </w:tc>
      </w:tr>
      <w:tr w:rsidR="00DB093F" w14:paraId="4A899FD9" w14:textId="77777777" w:rsidTr="00587ECB">
        <w:trPr>
          <w:trHeight w:val="1874"/>
        </w:trPr>
        <w:tc>
          <w:tcPr>
            <w:tcW w:w="1944" w:type="dxa"/>
            <w:shd w:val="clear" w:color="auto" w:fill="D9D9D9" w:themeFill="background1" w:themeFillShade="D9"/>
            <w:vAlign w:val="center"/>
          </w:tcPr>
          <w:p w14:paraId="7EDAF264" w14:textId="77777777" w:rsidR="00DB093F" w:rsidRDefault="00000000">
            <w:pPr>
              <w:kinsoku/>
              <w:wordWrap w:val="0"/>
              <w:spacing w:after="0"/>
              <w:jc w:val="both"/>
              <w:rPr>
                <w:rFonts w:ascii="宋体" w:eastAsia="宋体" w:hAnsi="宋体" w:cs="Times New Roman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Times New Roman"/>
                <w:spacing w:val="-3"/>
                <w:sz w:val="24"/>
                <w:szCs w:val="24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 w14:paraId="67AD6815" w14:textId="1E4117E5" w:rsidR="00DB093F" w:rsidRDefault="00D44E8A">
            <w:pPr>
              <w:pStyle w:val="TableText"/>
              <w:kinsoku/>
              <w:wordWrap w:val="0"/>
              <w:spacing w:after="0"/>
              <w:ind w:firstLineChars="50" w:firstLine="118"/>
              <w:rPr>
                <w:rFonts w:ascii="宋体" w:eastAsia="宋体" w:hAnsi="宋体" w:cs="Times New Roman" w:hint="eastAsia"/>
                <w:b/>
                <w:bCs/>
                <w:spacing w:val="-4"/>
                <w:lang w:eastAsia="zh-CN"/>
              </w:rPr>
            </w:pPr>
            <w:r>
              <w:rPr>
                <w:rFonts w:ascii="宋体" w:eastAsia="宋体" w:hAnsi="宋体" w:cs="Times New Roman" w:hint="eastAsia"/>
                <w:b/>
                <w:bCs/>
                <w:spacing w:val="-4"/>
                <w:lang w:eastAsia="zh-CN"/>
              </w:rPr>
              <w:t>混合集中</w:t>
            </w:r>
            <w:r>
              <w:rPr>
                <w:rFonts w:ascii="宋体" w:eastAsia="宋体" w:hAnsi="宋体" w:cs="Times New Roman"/>
                <w:b/>
                <w:bCs/>
                <w:spacing w:val="-4"/>
                <w:lang w:eastAsia="zh-CN"/>
              </w:rPr>
              <w:t>：</w:t>
            </w:r>
          </w:p>
          <w:p w14:paraId="773EFDF6" w14:textId="60468F84" w:rsidR="003A6EA1" w:rsidRDefault="00D44E8A" w:rsidP="003A6EA1">
            <w:pPr>
              <w:pStyle w:val="TableText"/>
              <w:kinsoku/>
              <w:wordWrap w:val="0"/>
              <w:spacing w:after="0"/>
              <w:ind w:left="113"/>
              <w:jc w:val="both"/>
              <w:rPr>
                <w:rFonts w:ascii="宋体" w:eastAsia="宋体" w:hAnsi="宋体" w:cs="Times New Roman" w:hint="eastAsia"/>
                <w:lang w:eastAsia="zh-CN"/>
              </w:rPr>
            </w:pPr>
            <w:r>
              <w:rPr>
                <w:rFonts w:ascii="宋体" w:eastAsia="宋体" w:hAnsi="宋体" w:cs="Times New Roman" w:hint="eastAsia"/>
                <w:spacing w:val="9"/>
                <w:lang w:eastAsia="zh-CN"/>
              </w:rPr>
              <w:t>1.</w:t>
            </w:r>
            <w:r w:rsidR="003A6EA1">
              <w:rPr>
                <w:rFonts w:ascii="宋体" w:eastAsia="宋体" w:hAnsi="宋体" w:cs="Times New Roman" w:hint="eastAsia"/>
                <w:spacing w:val="9"/>
                <w:lang w:eastAsia="zh-CN"/>
              </w:rPr>
              <w:t>2025年中国境内钢帘线市场</w:t>
            </w:r>
          </w:p>
          <w:p w14:paraId="01B31B78" w14:textId="46A1B3C3" w:rsidR="003A6EA1" w:rsidRDefault="003A6EA1" w:rsidP="00D44E8A">
            <w:pPr>
              <w:pStyle w:val="TableText"/>
              <w:kinsoku/>
              <w:wordWrap w:val="0"/>
              <w:spacing w:after="0"/>
              <w:ind w:firstLineChars="150" w:firstLine="345"/>
              <w:rPr>
                <w:rFonts w:ascii="宋体" w:eastAsia="宋体" w:hAnsi="宋体" w:cs="Times New Roman" w:hint="eastAsia"/>
                <w:spacing w:val="-10"/>
                <w:lang w:eastAsia="zh-CN"/>
              </w:rPr>
            </w:pPr>
            <w:r w:rsidRPr="002F287E">
              <w:rPr>
                <w:rFonts w:ascii="宋体" w:eastAsia="宋体" w:hAnsi="宋体" w:cs="Times New Roman" w:hint="eastAsia"/>
                <w:spacing w:val="-10"/>
                <w:lang w:eastAsia="zh-CN"/>
              </w:rPr>
              <w:t>华勤集团</w:t>
            </w:r>
            <w:r>
              <w:rPr>
                <w:rFonts w:ascii="宋体" w:eastAsia="宋体" w:hAnsi="宋体" w:cs="Times New Roman" w:hint="eastAsia"/>
                <w:spacing w:val="-10"/>
                <w:lang w:eastAsia="zh-CN"/>
              </w:rPr>
              <w:t>：0-5%</w:t>
            </w:r>
          </w:p>
          <w:p w14:paraId="3369FFA5" w14:textId="01FE57A2" w:rsidR="003A6EA1" w:rsidRPr="00C06AE1" w:rsidRDefault="00D44E8A" w:rsidP="003A6EA1">
            <w:pPr>
              <w:pStyle w:val="TableText"/>
              <w:kinsoku/>
              <w:wordWrap w:val="0"/>
              <w:spacing w:after="0"/>
              <w:ind w:left="113"/>
              <w:jc w:val="both"/>
              <w:rPr>
                <w:rFonts w:ascii="宋体" w:eastAsia="宋体" w:hAnsi="宋体" w:cs="Times New Roman" w:hint="eastAsia"/>
                <w:spacing w:val="9"/>
                <w:lang w:eastAsia="zh-CN"/>
              </w:rPr>
            </w:pPr>
            <w:r>
              <w:rPr>
                <w:rFonts w:ascii="宋体" w:eastAsia="宋体" w:hAnsi="宋体" w:cs="Times New Roman" w:hint="eastAsia"/>
                <w:spacing w:val="9"/>
                <w:lang w:eastAsia="zh-CN"/>
              </w:rPr>
              <w:t>2.</w:t>
            </w:r>
            <w:r w:rsidR="003A6EA1">
              <w:rPr>
                <w:rFonts w:ascii="宋体" w:eastAsia="宋体" w:hAnsi="宋体" w:cs="Times New Roman" w:hint="eastAsia"/>
                <w:spacing w:val="9"/>
                <w:lang w:eastAsia="zh-CN"/>
              </w:rPr>
              <w:t>2025年</w:t>
            </w:r>
            <w:r w:rsidR="00873031" w:rsidRPr="00C06AE1">
              <w:rPr>
                <w:rFonts w:ascii="宋体" w:eastAsia="宋体" w:hAnsi="宋体" w:cs="Times New Roman" w:hint="eastAsia"/>
                <w:spacing w:val="9"/>
                <w:lang w:eastAsia="zh-CN"/>
              </w:rPr>
              <w:t>中国境内</w:t>
            </w:r>
            <w:r w:rsidR="003A6EA1" w:rsidRPr="00C06AE1">
              <w:rPr>
                <w:rFonts w:ascii="宋体" w:eastAsia="宋体" w:hAnsi="宋体" w:cs="Times New Roman" w:hint="eastAsia"/>
                <w:spacing w:val="9"/>
                <w:lang w:eastAsia="zh-CN"/>
              </w:rPr>
              <w:t>全钢子午线</w:t>
            </w:r>
            <w:r w:rsidR="00873031" w:rsidRPr="00C06AE1">
              <w:rPr>
                <w:rFonts w:ascii="宋体" w:eastAsia="宋体" w:hAnsi="宋体" w:cs="Times New Roman" w:hint="eastAsia"/>
                <w:spacing w:val="9"/>
                <w:lang w:eastAsia="zh-CN"/>
              </w:rPr>
              <w:t>替换</w:t>
            </w:r>
            <w:r w:rsidR="003A6EA1" w:rsidRPr="00C06AE1">
              <w:rPr>
                <w:rFonts w:ascii="宋体" w:eastAsia="宋体" w:hAnsi="宋体" w:cs="Times New Roman" w:hint="eastAsia"/>
                <w:spacing w:val="9"/>
                <w:lang w:eastAsia="zh-CN"/>
              </w:rPr>
              <w:t>轮胎市场</w:t>
            </w:r>
          </w:p>
          <w:p w14:paraId="5151CF46" w14:textId="57708440" w:rsidR="00DB093F" w:rsidRPr="003A6EA1" w:rsidRDefault="0021358D" w:rsidP="00D44E8A">
            <w:pPr>
              <w:pStyle w:val="TableText"/>
              <w:kinsoku/>
              <w:wordWrap w:val="0"/>
              <w:spacing w:after="0"/>
              <w:ind w:firstLineChars="150" w:firstLine="373"/>
              <w:rPr>
                <w:rFonts w:ascii="宋体" w:eastAsia="宋体" w:hAnsi="宋体" w:cs="Times New Roman" w:hint="eastAsia"/>
                <w:lang w:eastAsia="zh-CN"/>
              </w:rPr>
            </w:pPr>
            <w:r>
              <w:rPr>
                <w:rFonts w:ascii="宋体" w:eastAsia="宋体" w:hAnsi="宋体" w:cs="Times New Roman" w:hint="eastAsia"/>
                <w:spacing w:val="9"/>
                <w:lang w:eastAsia="zh-CN"/>
              </w:rPr>
              <w:t>华勤集团</w:t>
            </w:r>
            <w:r w:rsidR="003A6EA1" w:rsidRPr="00C06AE1">
              <w:rPr>
                <w:rFonts w:ascii="宋体" w:eastAsia="宋体" w:hAnsi="宋体" w:cs="Times New Roman" w:hint="eastAsia"/>
                <w:spacing w:val="9"/>
                <w:lang w:eastAsia="zh-CN"/>
              </w:rPr>
              <w:t>：</w:t>
            </w:r>
            <w:r w:rsidR="003A6EA1" w:rsidRPr="00C06AE1">
              <w:rPr>
                <w:rFonts w:ascii="宋体" w:eastAsia="宋体" w:hAnsi="宋体" w:cs="Times New Roman" w:hint="eastAsia"/>
                <w:spacing w:val="-10"/>
                <w:lang w:eastAsia="zh-CN"/>
              </w:rPr>
              <w:t>0-5%</w:t>
            </w:r>
          </w:p>
        </w:tc>
      </w:tr>
    </w:tbl>
    <w:p w14:paraId="1CC6257F" w14:textId="77777777" w:rsidR="00DB093F" w:rsidRDefault="00DB093F">
      <w:pPr>
        <w:spacing w:line="449" w:lineRule="auto"/>
        <w:rPr>
          <w:rFonts w:ascii="Times New Roman" w:eastAsia="宋体" w:hAnsi="Times New Roman" w:cs="Times New Roman"/>
          <w:lang w:eastAsia="zh-CN"/>
        </w:rPr>
      </w:pPr>
    </w:p>
    <w:sectPr w:rsidR="00DB093F">
      <w:pgSz w:w="11906" w:h="16838"/>
      <w:pgMar w:top="1431" w:right="1361" w:bottom="0" w:left="136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DEEE2" w14:textId="77777777" w:rsidR="00A87B4B" w:rsidRDefault="00A87B4B">
      <w:r>
        <w:separator/>
      </w:r>
    </w:p>
  </w:endnote>
  <w:endnote w:type="continuationSeparator" w:id="0">
    <w:p w14:paraId="65DA175E" w14:textId="77777777" w:rsidR="00A87B4B" w:rsidRDefault="00A8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Fang SC">
    <w:altName w:val="微软雅黑"/>
    <w:charset w:val="86"/>
    <w:family w:val="auto"/>
    <w:pitch w:val="default"/>
    <w:sig w:usb0="A00002FF" w:usb1="7ACFFDFB" w:usb2="00000017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B43C9" w14:textId="77777777" w:rsidR="00A87B4B" w:rsidRDefault="00A87B4B">
      <w:pPr>
        <w:spacing w:after="0"/>
      </w:pPr>
      <w:r>
        <w:separator/>
      </w:r>
    </w:p>
  </w:footnote>
  <w:footnote w:type="continuationSeparator" w:id="0">
    <w:p w14:paraId="14B5A2E1" w14:textId="77777777" w:rsidR="00A87B4B" w:rsidRDefault="00A87B4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72C7"/>
    <w:rsid w:val="000052A0"/>
    <w:rsid w:val="0001073E"/>
    <w:rsid w:val="00012075"/>
    <w:rsid w:val="00017B96"/>
    <w:rsid w:val="000345CF"/>
    <w:rsid w:val="00034E0B"/>
    <w:rsid w:val="00051F0B"/>
    <w:rsid w:val="000B709D"/>
    <w:rsid w:val="000C2A94"/>
    <w:rsid w:val="000D2F3D"/>
    <w:rsid w:val="000F5C56"/>
    <w:rsid w:val="0013030B"/>
    <w:rsid w:val="00131A25"/>
    <w:rsid w:val="001360CC"/>
    <w:rsid w:val="00147450"/>
    <w:rsid w:val="00156E93"/>
    <w:rsid w:val="00175018"/>
    <w:rsid w:val="00177409"/>
    <w:rsid w:val="00187C75"/>
    <w:rsid w:val="001C7D95"/>
    <w:rsid w:val="001D0D67"/>
    <w:rsid w:val="001F7B49"/>
    <w:rsid w:val="002126A0"/>
    <w:rsid w:val="0021358D"/>
    <w:rsid w:val="00245C0E"/>
    <w:rsid w:val="00273373"/>
    <w:rsid w:val="002A14FA"/>
    <w:rsid w:val="002F287E"/>
    <w:rsid w:val="002F4C42"/>
    <w:rsid w:val="003068A5"/>
    <w:rsid w:val="00314A73"/>
    <w:rsid w:val="00321478"/>
    <w:rsid w:val="003239AE"/>
    <w:rsid w:val="003625BA"/>
    <w:rsid w:val="0038403B"/>
    <w:rsid w:val="003878FC"/>
    <w:rsid w:val="003A6EA1"/>
    <w:rsid w:val="003C7E7D"/>
    <w:rsid w:val="003D7B60"/>
    <w:rsid w:val="003E7E43"/>
    <w:rsid w:val="003F3377"/>
    <w:rsid w:val="003F7077"/>
    <w:rsid w:val="004008B1"/>
    <w:rsid w:val="00427554"/>
    <w:rsid w:val="004332DC"/>
    <w:rsid w:val="004C45B2"/>
    <w:rsid w:val="004C6262"/>
    <w:rsid w:val="004D39C4"/>
    <w:rsid w:val="005057F6"/>
    <w:rsid w:val="00535B0E"/>
    <w:rsid w:val="005421FE"/>
    <w:rsid w:val="005550FF"/>
    <w:rsid w:val="00556B4E"/>
    <w:rsid w:val="00560DEA"/>
    <w:rsid w:val="00570BC3"/>
    <w:rsid w:val="00587ECB"/>
    <w:rsid w:val="005D0145"/>
    <w:rsid w:val="005E35AD"/>
    <w:rsid w:val="005E7840"/>
    <w:rsid w:val="005E7E97"/>
    <w:rsid w:val="00610565"/>
    <w:rsid w:val="00612CB6"/>
    <w:rsid w:val="00614AD4"/>
    <w:rsid w:val="00630D9F"/>
    <w:rsid w:val="0063291A"/>
    <w:rsid w:val="006472C1"/>
    <w:rsid w:val="00656402"/>
    <w:rsid w:val="006618D2"/>
    <w:rsid w:val="00665588"/>
    <w:rsid w:val="006A62D9"/>
    <w:rsid w:val="006E3F44"/>
    <w:rsid w:val="006E4416"/>
    <w:rsid w:val="006E7DB3"/>
    <w:rsid w:val="006F1DAB"/>
    <w:rsid w:val="006F2793"/>
    <w:rsid w:val="006F73A6"/>
    <w:rsid w:val="007016E5"/>
    <w:rsid w:val="00705742"/>
    <w:rsid w:val="007172C7"/>
    <w:rsid w:val="007254BB"/>
    <w:rsid w:val="007260FD"/>
    <w:rsid w:val="007265E7"/>
    <w:rsid w:val="00732D76"/>
    <w:rsid w:val="007436A3"/>
    <w:rsid w:val="0075023A"/>
    <w:rsid w:val="007578CE"/>
    <w:rsid w:val="007735FB"/>
    <w:rsid w:val="00773F44"/>
    <w:rsid w:val="007949D7"/>
    <w:rsid w:val="0079709B"/>
    <w:rsid w:val="007A4C50"/>
    <w:rsid w:val="007B15A4"/>
    <w:rsid w:val="007C7850"/>
    <w:rsid w:val="007F50E4"/>
    <w:rsid w:val="00841757"/>
    <w:rsid w:val="00847832"/>
    <w:rsid w:val="00862F6A"/>
    <w:rsid w:val="00866890"/>
    <w:rsid w:val="00873031"/>
    <w:rsid w:val="00874A90"/>
    <w:rsid w:val="00894B60"/>
    <w:rsid w:val="008A6228"/>
    <w:rsid w:val="008F01BB"/>
    <w:rsid w:val="009017DA"/>
    <w:rsid w:val="00917095"/>
    <w:rsid w:val="009626FA"/>
    <w:rsid w:val="00966B87"/>
    <w:rsid w:val="009743F1"/>
    <w:rsid w:val="009B6F95"/>
    <w:rsid w:val="009C0C3D"/>
    <w:rsid w:val="009D028F"/>
    <w:rsid w:val="009E055B"/>
    <w:rsid w:val="009E35E2"/>
    <w:rsid w:val="00A10CB5"/>
    <w:rsid w:val="00A35F04"/>
    <w:rsid w:val="00A41C54"/>
    <w:rsid w:val="00A665AE"/>
    <w:rsid w:val="00A87B4B"/>
    <w:rsid w:val="00AB22DD"/>
    <w:rsid w:val="00AB4357"/>
    <w:rsid w:val="00AC0268"/>
    <w:rsid w:val="00AC0DE1"/>
    <w:rsid w:val="00AE764F"/>
    <w:rsid w:val="00B073D3"/>
    <w:rsid w:val="00B160F5"/>
    <w:rsid w:val="00B27912"/>
    <w:rsid w:val="00B43BEE"/>
    <w:rsid w:val="00B556D1"/>
    <w:rsid w:val="00B83BFD"/>
    <w:rsid w:val="00B87209"/>
    <w:rsid w:val="00B87964"/>
    <w:rsid w:val="00BB2FFA"/>
    <w:rsid w:val="00BE31A1"/>
    <w:rsid w:val="00C063F5"/>
    <w:rsid w:val="00C06AE1"/>
    <w:rsid w:val="00C076E1"/>
    <w:rsid w:val="00C13163"/>
    <w:rsid w:val="00C519AE"/>
    <w:rsid w:val="00C70C1A"/>
    <w:rsid w:val="00C778BB"/>
    <w:rsid w:val="00C8485C"/>
    <w:rsid w:val="00C93A85"/>
    <w:rsid w:val="00CA0520"/>
    <w:rsid w:val="00CA59D1"/>
    <w:rsid w:val="00CB2D33"/>
    <w:rsid w:val="00CB31E8"/>
    <w:rsid w:val="00CD50F2"/>
    <w:rsid w:val="00D03C23"/>
    <w:rsid w:val="00D26247"/>
    <w:rsid w:val="00D2626E"/>
    <w:rsid w:val="00D44E8A"/>
    <w:rsid w:val="00D57B26"/>
    <w:rsid w:val="00D71DD4"/>
    <w:rsid w:val="00D72AE3"/>
    <w:rsid w:val="00D92A11"/>
    <w:rsid w:val="00D94D80"/>
    <w:rsid w:val="00DA2177"/>
    <w:rsid w:val="00DA73C4"/>
    <w:rsid w:val="00DB093F"/>
    <w:rsid w:val="00DC1057"/>
    <w:rsid w:val="00DF5E7B"/>
    <w:rsid w:val="00E11CD3"/>
    <w:rsid w:val="00E512FE"/>
    <w:rsid w:val="00E554CA"/>
    <w:rsid w:val="00E56996"/>
    <w:rsid w:val="00E620AC"/>
    <w:rsid w:val="00E74466"/>
    <w:rsid w:val="00E81A5A"/>
    <w:rsid w:val="00E83974"/>
    <w:rsid w:val="00E91793"/>
    <w:rsid w:val="00E93191"/>
    <w:rsid w:val="00E97BD3"/>
    <w:rsid w:val="00EB35D8"/>
    <w:rsid w:val="00EC3B80"/>
    <w:rsid w:val="00EF3E88"/>
    <w:rsid w:val="00F03775"/>
    <w:rsid w:val="00F25147"/>
    <w:rsid w:val="00F26C56"/>
    <w:rsid w:val="00F33462"/>
    <w:rsid w:val="00F35473"/>
    <w:rsid w:val="00F441D1"/>
    <w:rsid w:val="00F517BB"/>
    <w:rsid w:val="00F605A1"/>
    <w:rsid w:val="00FB22A1"/>
    <w:rsid w:val="00FC3616"/>
    <w:rsid w:val="00FE0FA9"/>
    <w:rsid w:val="1F69C806"/>
    <w:rsid w:val="1FFE0203"/>
    <w:rsid w:val="36DC54CC"/>
    <w:rsid w:val="376CC6E2"/>
    <w:rsid w:val="641C0784"/>
    <w:rsid w:val="67DF6204"/>
    <w:rsid w:val="69DF9D23"/>
    <w:rsid w:val="6DFF0DB7"/>
    <w:rsid w:val="7CEB7154"/>
    <w:rsid w:val="7DCCD7AC"/>
    <w:rsid w:val="7DF32FAE"/>
    <w:rsid w:val="7FD515DF"/>
    <w:rsid w:val="8FFB3B52"/>
    <w:rsid w:val="A97FE2BC"/>
    <w:rsid w:val="EDF7A532"/>
    <w:rsid w:val="F3FF2555"/>
    <w:rsid w:val="F5F7F177"/>
    <w:rsid w:val="FB555FF1"/>
    <w:rsid w:val="FF6B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D759F"/>
  <w15:docId w15:val="{25BADEED-2F6D-4C62-988D-E5E0CF5F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spacing w:after="160"/>
      <w:textAlignment w:val="baseline"/>
    </w:pPr>
    <w:rPr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</w:style>
  <w:style w:type="paragraph" w:styleId="a5">
    <w:name w:val="Body Text"/>
    <w:basedOn w:val="a"/>
    <w:semiHidden/>
    <w:qFormat/>
    <w:rPr>
      <w:rFonts w:ascii="PingFang SC" w:eastAsia="PingFang SC" w:hAnsi="PingFang SC" w:cs="PingFang SC"/>
      <w:sz w:val="28"/>
      <w:szCs w:val="28"/>
    </w:rPr>
  </w:style>
  <w:style w:type="paragraph" w:styleId="a6">
    <w:name w:val="annotation subject"/>
    <w:basedOn w:val="a3"/>
    <w:next w:val="a3"/>
    <w:link w:val="a7"/>
    <w:uiPriority w:val="99"/>
    <w:semiHidden/>
    <w:unhideWhenUsed/>
    <w:qFormat/>
    <w:rPr>
      <w:b/>
      <w:bCs/>
    </w:rPr>
  </w:style>
  <w:style w:type="character" w:styleId="a8">
    <w:name w:val="annotation reference"/>
    <w:basedOn w:val="a0"/>
    <w:uiPriority w:val="99"/>
    <w:semiHidden/>
    <w:unhideWhenUsed/>
    <w:rPr>
      <w:sz w:val="21"/>
      <w:szCs w:val="21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PingFang SC" w:eastAsia="PingFang SC" w:hAnsi="PingFang SC" w:cs="PingFang SC"/>
      <w:sz w:val="24"/>
      <w:szCs w:val="24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7">
    <w:name w:val="批注主题 字符"/>
    <w:basedOn w:val="a4"/>
    <w:link w:val="a6"/>
    <w:uiPriority w:val="99"/>
    <w:semiHidden/>
    <w:rPr>
      <w:b/>
      <w:bCs/>
    </w:rPr>
  </w:style>
  <w:style w:type="paragraph" w:styleId="a9">
    <w:name w:val="Revision"/>
    <w:hidden/>
    <w:uiPriority w:val="99"/>
    <w:unhideWhenUsed/>
    <w:rsid w:val="00B556D1"/>
    <w:rPr>
      <w:snapToGrid w:val="0"/>
      <w:color w:val="000000"/>
      <w:sz w:val="21"/>
      <w:szCs w:val="21"/>
      <w:lang w:eastAsia="en-US"/>
    </w:rPr>
  </w:style>
  <w:style w:type="paragraph" w:styleId="aa">
    <w:name w:val="header"/>
    <w:basedOn w:val="a"/>
    <w:link w:val="ab"/>
    <w:uiPriority w:val="99"/>
    <w:unhideWhenUsed/>
    <w:rsid w:val="003A6EA1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3A6EA1"/>
    <w:rPr>
      <w:snapToGrid w:val="0"/>
      <w:color w:val="000000"/>
      <w:sz w:val="18"/>
      <w:szCs w:val="18"/>
      <w:lang w:eastAsia="en-US"/>
    </w:rPr>
  </w:style>
  <w:style w:type="paragraph" w:styleId="ac">
    <w:name w:val="footer"/>
    <w:basedOn w:val="a"/>
    <w:link w:val="ad"/>
    <w:uiPriority w:val="99"/>
    <w:unhideWhenUsed/>
    <w:rsid w:val="003A6EA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3A6EA1"/>
    <w:rPr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creator>oa</dc:creator>
  <cp:lastModifiedBy>DC</cp:lastModifiedBy>
  <cp:revision>157</cp:revision>
  <dcterms:created xsi:type="dcterms:W3CDTF">2024-09-15T17:21:00Z</dcterms:created>
  <dcterms:modified xsi:type="dcterms:W3CDTF">2026-04-27T06:11:00Z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2025-12-17T20:32:25Z</vt:filetime>
  </property>
  <property fmtid="{D5CDD505-2E9C-101B-9397-08002B2CF9AE}" pid="4" name="KSOProductBuildVer">
    <vt:lpwstr>2052-7.5.0.8993</vt:lpwstr>
  </property>
  <property fmtid="{D5CDD505-2E9C-101B-9397-08002B2CF9AE}" pid="5" name="ICV">
    <vt:lpwstr>798BBEC7DE725762595485698F557169_43</vt:lpwstr>
  </property>
  <property fmtid="{D5CDD505-2E9C-101B-9397-08002B2CF9AE}" pid="6" name="KSOTemplateDocerSaveRecord">
    <vt:lpwstr>eyJoZGlkIjoiMzU3ZmYyYjU1NWJiNDMwOTIzY2M5ZTRlYTgyYmU0Y2QiLCJ1c2VySWQiOiIzMTUzMjE3MTAifQ==</vt:lpwstr>
  </property>
</Properties>
</file>