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240" w:line="594" w:lineRule="exact"/>
        <w:jc w:val="center"/>
        <w:rPr>
          <w:rFonts w:hint="eastAsia" w:ascii="黑体" w:hAnsi="黑体" w:eastAsia="黑体" w:cs="黑体"/>
          <w:bCs/>
          <w:kern w:val="0"/>
          <w:sz w:val="36"/>
          <w:szCs w:val="36"/>
          <w:lang w:val="en-GB" w:bidi="ar-AE"/>
        </w:rPr>
      </w:pPr>
      <w:r>
        <w:rPr>
          <w:rFonts w:hint="eastAsia" w:ascii="黑体" w:hAnsi="黑体" w:eastAsia="黑体" w:cs="黑体"/>
          <w:bCs/>
          <w:kern w:val="0"/>
          <w:sz w:val="36"/>
          <w:szCs w:val="36"/>
          <w:lang w:val="en-GB" w:bidi="ar-AE"/>
        </w:rPr>
        <w:t>经营者集中简易案件公示表</w:t>
      </w:r>
    </w:p>
    <w:tbl>
      <w:tblPr>
        <w:tblStyle w:val="1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607"/>
        <w:gridCol w:w="6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11"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案件名称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-A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-AE"/>
              </w:rPr>
              <w:t>国泰君安创新投资有限公司与君实创业投资（海南）有限公司新设合营企业案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11"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>交易概况（限200字内）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kern w:val="0"/>
                <w:sz w:val="24"/>
                <w:lang w:bidi="ar-A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-AE"/>
              </w:rPr>
              <w:t>国泰君安创新投资有限公司</w:t>
            </w:r>
            <w:r>
              <w:rPr>
                <w:rFonts w:hint="eastAsia" w:ascii="宋体" w:hAnsi="宋体" w:cs="宋体"/>
                <w:kern w:val="0"/>
                <w:sz w:val="24"/>
                <w:lang w:bidi="ar-AE"/>
              </w:rPr>
              <w:t>（“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-AE"/>
              </w:rPr>
              <w:t>国君创投</w:t>
            </w:r>
            <w:r>
              <w:rPr>
                <w:rFonts w:hint="eastAsia" w:ascii="宋体" w:hAnsi="宋体" w:cs="宋体"/>
                <w:kern w:val="0"/>
                <w:sz w:val="24"/>
                <w:lang w:bidi="ar-AE"/>
              </w:rPr>
              <w:t>”）及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-AE"/>
              </w:rPr>
              <w:t>君实创业投资（海南）有限公司</w:t>
            </w:r>
            <w:r>
              <w:rPr>
                <w:rFonts w:hint="eastAsia" w:ascii="宋体" w:hAnsi="宋体" w:cs="宋体"/>
                <w:kern w:val="0"/>
                <w:sz w:val="24"/>
                <w:lang w:bidi="ar-AE"/>
              </w:rPr>
              <w:t>（“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-AE"/>
              </w:rPr>
              <w:t>君实创投</w:t>
            </w:r>
            <w:r>
              <w:rPr>
                <w:rFonts w:hint="eastAsia" w:ascii="宋体" w:hAnsi="宋体" w:cs="宋体"/>
                <w:kern w:val="0"/>
                <w:sz w:val="24"/>
                <w:lang w:bidi="ar-AE"/>
              </w:rPr>
              <w:t>”）等经营者签署合伙协议，拟共同出资设立一家合营企业。合营企业拟主要从事中国境内私募股权投资基金业务。交易完成后国君创投、君实创投分别持有合营企业15%、1%的合伙份额，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-AE"/>
              </w:rPr>
              <w:t>均</w:t>
            </w:r>
            <w:r>
              <w:rPr>
                <w:rFonts w:hint="eastAsia" w:ascii="宋体" w:hAnsi="宋体" w:cs="宋体"/>
                <w:kern w:val="0"/>
                <w:sz w:val="24"/>
                <w:lang w:bidi="ar-AE"/>
              </w:rPr>
              <w:t>作为合营企业的普通合伙人共同控制合营企业。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>
            <w:pPr>
              <w:pStyle w:val="11"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>参与集中的经营者简介（每个限</w:t>
            </w:r>
            <w:r>
              <w:rPr>
                <w:rFonts w:ascii="宋体" w:hAnsi="宋体" w:cs="宋体"/>
                <w:bCs/>
                <w:color w:val="000000"/>
                <w:lang w:val="en-US" w:eastAsia="zh-CN"/>
              </w:rPr>
              <w:t>100</w:t>
            </w:r>
            <w:r>
              <w:rPr>
                <w:rFonts w:hint="eastAsia" w:ascii="宋体" w:hAnsi="宋体" w:cs="宋体"/>
                <w:bCs/>
                <w:color w:val="000000"/>
                <w:lang w:val="en-US" w:eastAsia="zh-CN"/>
              </w:rPr>
              <w:t>字以内</w:t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>）</w:t>
            </w:r>
          </w:p>
        </w:tc>
        <w:tc>
          <w:tcPr>
            <w:tcW w:w="1607" w:type="dxa"/>
            <w:vAlign w:val="center"/>
          </w:tcPr>
          <w:p>
            <w:pPr>
              <w:pStyle w:val="11"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 xml:space="preserve">国君创投 </w:t>
            </w:r>
          </w:p>
        </w:tc>
        <w:tc>
          <w:tcPr>
            <w:tcW w:w="6093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-A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-AE"/>
              </w:rPr>
              <w:t>国君创投于2009年5月20日成立于上海市，主要从事私募股权投资基金业务。</w:t>
            </w:r>
          </w:p>
          <w:p>
            <w:pPr>
              <w:widowControl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-A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-AE"/>
              </w:rPr>
              <w:t>国君创投的最终控制人为国泰海通证券股份有限公司，为上海证券交易所和香港联合交易所上市公司，主要业务为财富管理业务、投资银行业务、机构与交易业务、投资管理业务、国际业务等。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11"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1607" w:type="dxa"/>
            <w:vAlign w:val="center"/>
          </w:tcPr>
          <w:p>
            <w:pPr>
              <w:pStyle w:val="11"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>君实创投</w:t>
            </w:r>
          </w:p>
        </w:tc>
        <w:tc>
          <w:tcPr>
            <w:tcW w:w="6093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-A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-AE"/>
              </w:rPr>
              <w:t>君实创投于2021年6月21日成立于海南省三亚市，主要从事私募股权投资基金业务。</w:t>
            </w:r>
          </w:p>
          <w:p>
            <w:pPr>
              <w:widowControl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GB" w:bidi="ar-A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-AE"/>
              </w:rPr>
              <w:t>君实创投的最终控制人为上海君实生物医药科技股份有限公司，为上海证券交易所和香港联合交易所上市公司，主要业务为创新疗法的发现、开发和商业化，治疗领域涉及肿瘤免疫疗法，以及自身免疫系统疾病、慢性代谢类疾病、神经系统疾病、感染类疾病等方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>
            <w:pPr>
              <w:pStyle w:val="11"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pStyle w:val="11"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sym w:font="Wingdings 2" w:char="F052"/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 xml:space="preserve"> 1、在同一相关市场，参与集中的经营者所占的市场份额之和小于15%。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11"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11"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 xml:space="preserve"> 2、在上下游市场，参与集中的经营者所占的市场份额均小于25%。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11"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11"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 xml:space="preserve"> 3、不在同一相关市场也不存在上下游关系的参与集中的经营者，在与交易有关的每个市场所占的市场份额均小于25%。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11"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11"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 xml:space="preserve"> 4、参与集中的经营者在中国境外设立合营企业，合营企业不在中国境内从事经济活动。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11"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11"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 xml:space="preserve"> 5、参与集中的经营者收购境外企业股权或资产的，该境外企业不在中国境内从事经济活动。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11"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11"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 xml:space="preserve"> 6、由两个以上的经营者共同控制的合营企业，通过集中被其中一个或一个以上经营者控制。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11"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val="en-US" w:eastAsia="zh-CN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pStyle w:val="11"/>
              <w:adjustRightInd w:val="0"/>
              <w:snapToGrid w:val="0"/>
              <w:spacing w:after="0"/>
              <w:rPr>
                <w:rFonts w:hint="eastAsia" w:ascii="宋体" w:hAnsi="宋体" w:cs="宋体"/>
                <w:b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lang w:eastAsia="zh-CN"/>
              </w:rPr>
              <w:t>横向重叠：</w:t>
            </w:r>
          </w:p>
          <w:p>
            <w:pPr>
              <w:pStyle w:val="11"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val="en-US" w:eastAsia="zh-CN"/>
              </w:rPr>
              <w:t>2024年</w:t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>中国境内</w:t>
            </w:r>
            <w:r>
              <w:rPr>
                <w:rFonts w:hint="eastAsia" w:ascii="宋体" w:hAnsi="宋体" w:cs="宋体"/>
                <w:bCs/>
                <w:color w:val="000000"/>
                <w:lang w:val="en-US" w:eastAsia="zh-CN"/>
              </w:rPr>
              <w:t>私募股权投资基金市场:</w:t>
            </w:r>
          </w:p>
          <w:p>
            <w:pPr>
              <w:pStyle w:val="11"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val="en-US" w:eastAsia="zh-CN"/>
              </w:rPr>
              <w:t>国君创投：0-5%，君实创投: 0-5%，各方合计：0-5%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implified Arabic">
    <w:altName w:val="Times New Roman"/>
    <w:panose1 w:val="00000000000000000000"/>
    <w:charset w:val="B2"/>
    <w:family w:val="roman"/>
    <w:pitch w:val="default"/>
    <w:sig w:usb0="00000000" w:usb1="00000000" w:usb2="00000008" w:usb3="00000000" w:csb0="0000004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234"/>
    <w:rsid w:val="00162256"/>
    <w:rsid w:val="00303215"/>
    <w:rsid w:val="003578EC"/>
    <w:rsid w:val="003F1D4B"/>
    <w:rsid w:val="004232B9"/>
    <w:rsid w:val="005531C8"/>
    <w:rsid w:val="005820C9"/>
    <w:rsid w:val="006052E2"/>
    <w:rsid w:val="00804DCD"/>
    <w:rsid w:val="0083085E"/>
    <w:rsid w:val="009C13DE"/>
    <w:rsid w:val="00A845F6"/>
    <w:rsid w:val="00AE3ACF"/>
    <w:rsid w:val="00B96E38"/>
    <w:rsid w:val="00CA2B50"/>
    <w:rsid w:val="00D126FE"/>
    <w:rsid w:val="00DC6EB4"/>
    <w:rsid w:val="00E86234"/>
    <w:rsid w:val="00FF3722"/>
    <w:rsid w:val="2A11321B"/>
    <w:rsid w:val="FFA9A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2"/>
      <w14:ligatures w14:val="standardContextual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link w:val="38"/>
    <w:qFormat/>
    <w:uiPriority w:val="0"/>
    <w:pPr>
      <w:spacing w:after="240" w:line="240" w:lineRule="auto"/>
      <w:jc w:val="both"/>
    </w:pPr>
    <w:rPr>
      <w:rFonts w:ascii="Times New Roman" w:hAnsi="Times New Roman" w:eastAsia="宋体" w:cs="Simplified Arabic"/>
      <w:kern w:val="0"/>
      <w:sz w:val="24"/>
      <w:szCs w:val="24"/>
      <w:lang w:val="en-GB" w:eastAsia="en-GB" w:bidi="ar-AE"/>
      <w14:ligatures w14:val="none"/>
    </w:rPr>
  </w:style>
  <w:style w:type="paragraph" w:styleId="12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3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4">
    <w:name w:val="Subtitle"/>
    <w:basedOn w:val="1"/>
    <w:next w:val="1"/>
    <w:link w:val="28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14:ligatures w14:val="standardContextual"/>
    </w:r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2"/>
      <w14:ligatures w14:val="standardContextual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2"/>
    <w:qFormat/>
    <w:uiPriority w:val="99"/>
    <w:rPr>
      <w:sz w:val="18"/>
      <w:szCs w:val="18"/>
    </w:rPr>
  </w:style>
  <w:style w:type="character" w:customStyle="1" w:styleId="38">
    <w:name w:val="正文文本 字符"/>
    <w:basedOn w:val="17"/>
    <w:link w:val="11"/>
    <w:qFormat/>
    <w:uiPriority w:val="0"/>
    <w:rPr>
      <w:rFonts w:ascii="Times New Roman" w:hAnsi="Times New Roman" w:eastAsia="宋体" w:cs="Simplified Arabic"/>
      <w:kern w:val="0"/>
      <w:sz w:val="24"/>
      <w:lang w:val="en-GB" w:eastAsia="en-GB" w:bidi="ar-AE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809</Words>
  <Characters>844</Characters>
  <Lines>6</Lines>
  <Paragraphs>1</Paragraphs>
  <TotalTime>10</TotalTime>
  <ScaleCrop>false</ScaleCrop>
  <LinksUpToDate>false</LinksUpToDate>
  <CharactersWithSpaces>852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2025-08-28T10:35:00Z</dcterms:created>
  <dc:creator>ABL</dc:creator>
  <cp:lastModifiedBy>scjgj</cp:lastModifiedBy>
  <cp:lastPrinted>2025-10-14T10:49:57Z</cp:lastPrinted>
  <dcterms:modified xsi:type="dcterms:W3CDTF">2025-10-14T10:51:53Z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eyJoZGlkIjoiMzEwNTM5NzYwMDRjMzkwZTVkZjY2ODkwMGIxNGU0OTUiLCJ1c2VySWQiOiIxNzExODM4MjgxIn0=</vt:lpwstr>
  </property>
  <property fmtid="{D5CDD505-2E9C-101B-9397-08002B2CF9AE}" pid="3" name="KSOProductBuildVer">
    <vt:lpwstr>2052-11.8.2.10337</vt:lpwstr>
  </property>
  <property fmtid="{D5CDD505-2E9C-101B-9397-08002B2CF9AE}" pid="4" name="ICV">
    <vt:lpwstr>CD60EA295209424E9F8ECB696919D924_13</vt:lpwstr>
  </property>
</Properties>
</file>