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22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案件名称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default" w:eastAsia="宋体"/>
                <w:sz w:val="24"/>
                <w:szCs w:val="24"/>
              </w:rPr>
              <w:t>南通大地电气股份有限公司收购</w:t>
            </w:r>
            <w:bookmarkStart w:id="0" w:name="OLE_LINK1"/>
            <w:r>
              <w:rPr>
                <w:rFonts w:hint="default" w:eastAsia="宋体"/>
                <w:sz w:val="24"/>
                <w:szCs w:val="24"/>
              </w:rPr>
              <w:t>安徽埃易泰克电子科技有限公司</w:t>
            </w:r>
            <w:bookmarkEnd w:id="0"/>
            <w:r>
              <w:rPr>
                <w:rFonts w:hint="default" w:eastAsia="宋体"/>
                <w:sz w:val="24"/>
                <w:szCs w:val="24"/>
              </w:rPr>
              <w:t>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交易概况（限200字内）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hint="default" w:eastAsia="宋体"/>
                <w:sz w:val="24"/>
                <w:szCs w:val="24"/>
              </w:rPr>
              <w:t>南通大地电气股份有限公司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（“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大地电气”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</w:t>
            </w:r>
            <w:bookmarkStart w:id="1" w:name="OLE_LINK2"/>
            <w:r>
              <w:rPr>
                <w:rFonts w:hint="default" w:eastAsia="宋体"/>
                <w:sz w:val="24"/>
                <w:szCs w:val="24"/>
              </w:rPr>
              <w:t>安徽埃易泰克电子科技有限公司</w:t>
            </w:r>
            <w:bookmarkEnd w:id="1"/>
            <w:r>
              <w:rPr>
                <w:rFonts w:hint="eastAsia" w:eastAsia="宋体"/>
                <w:sz w:val="24"/>
                <w:szCs w:val="24"/>
                <w:lang w:eastAsia="zh-CN"/>
              </w:rPr>
              <w:t>（“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”）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芜湖奇瑞科技有限公司（“奇瑞科技”）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等签署协议，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大地电气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增资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的方式收购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47.3684%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的股权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主要从事汽车线束的生产、销售业务。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交易前，奇瑞科技持有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80%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股权，单独控制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交易后，大地电气、奇瑞科技分别持有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47.3684%、42.1053%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股权，共同控制</w:t>
            </w:r>
            <w:r>
              <w:rPr>
                <w:rFonts w:hint="default" w:eastAsia="宋体"/>
                <w:sz w:val="24"/>
                <w:szCs w:val="24"/>
              </w:rPr>
              <w:t>埃易泰克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参与集中的经营者简介</w:t>
            </w:r>
          </w:p>
        </w:tc>
        <w:tc>
          <w:tcPr>
            <w:tcW w:w="1922" w:type="dxa"/>
            <w:vAlign w:val="center"/>
          </w:tcPr>
          <w:p>
            <w:pPr>
              <w:spacing w:line="50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1、大地电气</w:t>
            </w:r>
          </w:p>
        </w:tc>
        <w:tc>
          <w:tcPr>
            <w:tcW w:w="5153" w:type="dxa"/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大地电气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于2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成立于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江苏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南通市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北京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证券交易所上市公司，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主要从事</w:t>
            </w:r>
            <w:r>
              <w:rPr>
                <w:rFonts w:hint="eastAsia" w:ascii="Times New Roman" w:hAnsi="Times New Roman"/>
                <w:sz w:val="24"/>
                <w:szCs w:val="24"/>
              </w:rPr>
              <w:t>汽车线束及相关零部件的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生产、销售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大地电气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的最终控制人为自然人，主要从事对</w:t>
            </w:r>
            <w:r>
              <w:rPr>
                <w:rFonts w:hint="eastAsia" w:ascii="Times New Roman" w:hAnsi="Times New Roman"/>
                <w:sz w:val="24"/>
                <w:szCs w:val="24"/>
              </w:rPr>
              <w:t>汽车线束及相关零部件的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生产、销售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的企业的管理和经营。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、奇瑞</w:t>
            </w:r>
            <w:r>
              <w:rPr>
                <w:rFonts w:hint="eastAsia"/>
                <w:sz w:val="24"/>
                <w:szCs w:val="24"/>
              </w:rPr>
              <w:t>科技</w:t>
            </w:r>
          </w:p>
        </w:tc>
        <w:tc>
          <w:tcPr>
            <w:tcW w:w="5153" w:type="dxa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奇瑞</w:t>
            </w:r>
            <w:r>
              <w:rPr>
                <w:rFonts w:hint="eastAsia"/>
                <w:sz w:val="24"/>
                <w:szCs w:val="24"/>
              </w:rPr>
              <w:t>科技</w:t>
            </w:r>
            <w:r>
              <w:rPr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>2001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1月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日成立于安徽省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芜湖市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/>
                <w:sz w:val="24"/>
                <w:szCs w:val="24"/>
              </w:rPr>
              <w:t>汽车零部件的生产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销售。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奇瑞科技的最终控制人为奇瑞控股集团有限公司，主要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/>
                <w:sz w:val="24"/>
                <w:szCs w:val="24"/>
              </w:rPr>
              <w:t>汽车、汽车零部件生产与销售、房地产、金融投资、服务贸易业务和其他业务。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>
              <w:rPr>
                <w:sz w:val="24"/>
                <w:szCs w:val="24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横向重叠：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年中国境内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汽车线束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市场</w:t>
            </w:r>
          </w:p>
          <w:p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大地电气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0-5%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奇瑞科技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0-5%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，各方合计：</w:t>
            </w:r>
            <w:r>
              <w:rPr>
                <w:rFonts w:ascii="Times New Roman" w:hAnsi="Times New Roman"/>
                <w:sz w:val="24"/>
                <w:szCs w:val="24"/>
              </w:rPr>
              <w:t>0-5%</w:t>
            </w:r>
          </w:p>
          <w:p>
            <w:pPr>
              <w:spacing w:line="500" w:lineRule="exact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纵向关联：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9"/>
              <w:gridCol w:w="1827"/>
              <w:gridCol w:w="311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827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9" w:type="dxa"/>
                </w:tcPr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汽车线束市场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下游：乘用车市场</w:t>
                  </w:r>
                </w:p>
              </w:tc>
              <w:tc>
                <w:tcPr>
                  <w:tcW w:w="1827" w:type="dxa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上游：中国境内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3117" w:type="dxa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上游：2023年中国境内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汽车线束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如横向重叠所述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下游：2023年中国境内乘用车市场：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奇瑞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科技</w:t>
                  </w:r>
                  <w:r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0-5%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9" w:hRule="atLeast"/>
              </w:trPr>
              <w:tc>
                <w:tcPr>
                  <w:tcW w:w="1779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sz w:val="24"/>
                      <w:szCs w:val="24"/>
                    </w:rPr>
                    <w:t>上游：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汽车线束市场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商用车</w:t>
                  </w:r>
                  <w:r>
                    <w:rPr>
                      <w:sz w:val="24"/>
                      <w:szCs w:val="24"/>
                    </w:rPr>
                    <w:t>市场</w:t>
                  </w:r>
                </w:p>
              </w:tc>
              <w:tc>
                <w:tcPr>
                  <w:tcW w:w="1827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上游：中国境内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3117" w:type="dxa"/>
                  <w:vAlign w:val="top"/>
                </w:tcPr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上游：2023年中国境内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汽车线束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如横向重叠所述</w:t>
                  </w:r>
                </w:p>
                <w:p>
                  <w:pPr>
                    <w:snapToGrid w:val="0"/>
                    <w:spacing w:line="360" w:lineRule="auto"/>
                    <w:rPr>
                      <w:sz w:val="24"/>
                      <w:szCs w:val="24"/>
                    </w:rPr>
                  </w:pPr>
                  <w:bookmarkStart w:id="2" w:name="_GoBack"/>
                  <w:bookmarkEnd w:id="2"/>
                  <w:r>
                    <w:rPr>
                      <w:sz w:val="24"/>
                      <w:szCs w:val="24"/>
                    </w:rPr>
                    <w:t>下游：2023年中国境内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商用车</w:t>
                  </w:r>
                  <w:r>
                    <w:rPr>
                      <w:sz w:val="24"/>
                      <w:szCs w:val="24"/>
                    </w:rPr>
                    <w:t>市场：</w:t>
                  </w:r>
                </w:p>
                <w:p>
                  <w:pPr>
                    <w:snapToGrid w:val="0"/>
                    <w:spacing w:line="360" w:lineRule="auto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奇瑞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科技</w:t>
                  </w:r>
                  <w:r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0-5%</w:t>
                  </w:r>
                </w:p>
              </w:tc>
            </w:tr>
          </w:tbl>
          <w:p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wNjNhMWE2ZjQ1NGMwZDk0OTMyNzczNmNkMTZlZDQifQ=="/>
    <w:docVar w:name="KSO_WPS_MARK_KEY" w:val="9038a897-ca3b-4b72-b59a-40db07644776"/>
  </w:docVars>
  <w:rsids>
    <w:rsidRoot w:val="00094095"/>
    <w:rsid w:val="00000A45"/>
    <w:rsid w:val="000144AF"/>
    <w:rsid w:val="00035AFE"/>
    <w:rsid w:val="00045197"/>
    <w:rsid w:val="00046090"/>
    <w:rsid w:val="00055FE5"/>
    <w:rsid w:val="00094095"/>
    <w:rsid w:val="00097D9D"/>
    <w:rsid w:val="000A2E32"/>
    <w:rsid w:val="000B5625"/>
    <w:rsid w:val="000C569B"/>
    <w:rsid w:val="000D26DF"/>
    <w:rsid w:val="000D4D6D"/>
    <w:rsid w:val="000E7ABB"/>
    <w:rsid w:val="00105003"/>
    <w:rsid w:val="00123F96"/>
    <w:rsid w:val="00130233"/>
    <w:rsid w:val="00164256"/>
    <w:rsid w:val="001778CC"/>
    <w:rsid w:val="00183679"/>
    <w:rsid w:val="001A622F"/>
    <w:rsid w:val="001C7239"/>
    <w:rsid w:val="001D6CDE"/>
    <w:rsid w:val="001E3E93"/>
    <w:rsid w:val="0021113B"/>
    <w:rsid w:val="00245776"/>
    <w:rsid w:val="002508F3"/>
    <w:rsid w:val="00262690"/>
    <w:rsid w:val="00264574"/>
    <w:rsid w:val="00275312"/>
    <w:rsid w:val="002C19F0"/>
    <w:rsid w:val="002C64C3"/>
    <w:rsid w:val="002E3385"/>
    <w:rsid w:val="002F2D60"/>
    <w:rsid w:val="002F335B"/>
    <w:rsid w:val="00307976"/>
    <w:rsid w:val="0032349F"/>
    <w:rsid w:val="00333660"/>
    <w:rsid w:val="00386CF1"/>
    <w:rsid w:val="00390015"/>
    <w:rsid w:val="00391546"/>
    <w:rsid w:val="00396AE7"/>
    <w:rsid w:val="003D7455"/>
    <w:rsid w:val="003E79EC"/>
    <w:rsid w:val="004456EC"/>
    <w:rsid w:val="004506FA"/>
    <w:rsid w:val="0046029B"/>
    <w:rsid w:val="00462174"/>
    <w:rsid w:val="00473E49"/>
    <w:rsid w:val="00474749"/>
    <w:rsid w:val="004B1481"/>
    <w:rsid w:val="004D48EC"/>
    <w:rsid w:val="004E4274"/>
    <w:rsid w:val="004E5555"/>
    <w:rsid w:val="004E7257"/>
    <w:rsid w:val="005100C7"/>
    <w:rsid w:val="0051185A"/>
    <w:rsid w:val="0052034C"/>
    <w:rsid w:val="00522F9B"/>
    <w:rsid w:val="00585D93"/>
    <w:rsid w:val="005A0339"/>
    <w:rsid w:val="005A051D"/>
    <w:rsid w:val="005C590C"/>
    <w:rsid w:val="005F167B"/>
    <w:rsid w:val="006327F1"/>
    <w:rsid w:val="006652F3"/>
    <w:rsid w:val="00667E69"/>
    <w:rsid w:val="00677E3A"/>
    <w:rsid w:val="00677ED4"/>
    <w:rsid w:val="00683F50"/>
    <w:rsid w:val="006914EC"/>
    <w:rsid w:val="006A39F1"/>
    <w:rsid w:val="006B2E6C"/>
    <w:rsid w:val="006F5E73"/>
    <w:rsid w:val="00712E8F"/>
    <w:rsid w:val="00731DD4"/>
    <w:rsid w:val="0074209E"/>
    <w:rsid w:val="007435D0"/>
    <w:rsid w:val="007631EF"/>
    <w:rsid w:val="00780A9E"/>
    <w:rsid w:val="007A1F10"/>
    <w:rsid w:val="007C2F08"/>
    <w:rsid w:val="007C3068"/>
    <w:rsid w:val="007D7501"/>
    <w:rsid w:val="007E2595"/>
    <w:rsid w:val="007E72E5"/>
    <w:rsid w:val="007E73E2"/>
    <w:rsid w:val="007E7D0C"/>
    <w:rsid w:val="007F13CC"/>
    <w:rsid w:val="007F16FD"/>
    <w:rsid w:val="007F562E"/>
    <w:rsid w:val="007F6247"/>
    <w:rsid w:val="00826E6B"/>
    <w:rsid w:val="00835E18"/>
    <w:rsid w:val="00837DC5"/>
    <w:rsid w:val="00840066"/>
    <w:rsid w:val="008404DF"/>
    <w:rsid w:val="008900EB"/>
    <w:rsid w:val="00897D92"/>
    <w:rsid w:val="008A6E7A"/>
    <w:rsid w:val="008B050D"/>
    <w:rsid w:val="008B6C2F"/>
    <w:rsid w:val="008C5391"/>
    <w:rsid w:val="008D18F0"/>
    <w:rsid w:val="008E469D"/>
    <w:rsid w:val="008F7C10"/>
    <w:rsid w:val="0090114C"/>
    <w:rsid w:val="00904CB7"/>
    <w:rsid w:val="0092503C"/>
    <w:rsid w:val="0094175D"/>
    <w:rsid w:val="00984130"/>
    <w:rsid w:val="00993BF4"/>
    <w:rsid w:val="00996818"/>
    <w:rsid w:val="009B2626"/>
    <w:rsid w:val="009D06A8"/>
    <w:rsid w:val="009D3D2B"/>
    <w:rsid w:val="009E5DA3"/>
    <w:rsid w:val="009F17D6"/>
    <w:rsid w:val="009F7886"/>
    <w:rsid w:val="00A04FED"/>
    <w:rsid w:val="00A230D6"/>
    <w:rsid w:val="00A25966"/>
    <w:rsid w:val="00A40F8F"/>
    <w:rsid w:val="00A520BD"/>
    <w:rsid w:val="00A90A90"/>
    <w:rsid w:val="00A914D9"/>
    <w:rsid w:val="00AB0806"/>
    <w:rsid w:val="00AB42FC"/>
    <w:rsid w:val="00AF458F"/>
    <w:rsid w:val="00B163FA"/>
    <w:rsid w:val="00B20089"/>
    <w:rsid w:val="00B2283E"/>
    <w:rsid w:val="00B23CC2"/>
    <w:rsid w:val="00B371EE"/>
    <w:rsid w:val="00B43294"/>
    <w:rsid w:val="00B521E3"/>
    <w:rsid w:val="00B54BDA"/>
    <w:rsid w:val="00B616E1"/>
    <w:rsid w:val="00B90473"/>
    <w:rsid w:val="00BA0750"/>
    <w:rsid w:val="00BB2377"/>
    <w:rsid w:val="00BE3DCD"/>
    <w:rsid w:val="00C04F5A"/>
    <w:rsid w:val="00C27460"/>
    <w:rsid w:val="00C45C3B"/>
    <w:rsid w:val="00C54EF0"/>
    <w:rsid w:val="00C574ED"/>
    <w:rsid w:val="00C77B54"/>
    <w:rsid w:val="00C84E29"/>
    <w:rsid w:val="00C9068E"/>
    <w:rsid w:val="00C93C0C"/>
    <w:rsid w:val="00C96ECA"/>
    <w:rsid w:val="00CB028D"/>
    <w:rsid w:val="00CB3BDA"/>
    <w:rsid w:val="00CB57E1"/>
    <w:rsid w:val="00CB5AF7"/>
    <w:rsid w:val="00CC6142"/>
    <w:rsid w:val="00CC6AB4"/>
    <w:rsid w:val="00CC7F54"/>
    <w:rsid w:val="00CD13A7"/>
    <w:rsid w:val="00CD4CF5"/>
    <w:rsid w:val="00CE2824"/>
    <w:rsid w:val="00CF4448"/>
    <w:rsid w:val="00D00891"/>
    <w:rsid w:val="00D05416"/>
    <w:rsid w:val="00D102B0"/>
    <w:rsid w:val="00D1202E"/>
    <w:rsid w:val="00D13FDA"/>
    <w:rsid w:val="00D21777"/>
    <w:rsid w:val="00D3751C"/>
    <w:rsid w:val="00D45456"/>
    <w:rsid w:val="00D72EA9"/>
    <w:rsid w:val="00D763AF"/>
    <w:rsid w:val="00DA58DC"/>
    <w:rsid w:val="00DB266E"/>
    <w:rsid w:val="00DC279E"/>
    <w:rsid w:val="00DC6F93"/>
    <w:rsid w:val="00DD502B"/>
    <w:rsid w:val="00DD6E73"/>
    <w:rsid w:val="00DF0023"/>
    <w:rsid w:val="00E03501"/>
    <w:rsid w:val="00E265D2"/>
    <w:rsid w:val="00E30E76"/>
    <w:rsid w:val="00E36319"/>
    <w:rsid w:val="00E53D38"/>
    <w:rsid w:val="00E569CB"/>
    <w:rsid w:val="00E66A48"/>
    <w:rsid w:val="00E7483D"/>
    <w:rsid w:val="00E80ACD"/>
    <w:rsid w:val="00E874E1"/>
    <w:rsid w:val="00E9512B"/>
    <w:rsid w:val="00EB587E"/>
    <w:rsid w:val="00EC0323"/>
    <w:rsid w:val="00ED21B1"/>
    <w:rsid w:val="00EE29F1"/>
    <w:rsid w:val="00F02194"/>
    <w:rsid w:val="00F1795C"/>
    <w:rsid w:val="00F2189E"/>
    <w:rsid w:val="00F66DCF"/>
    <w:rsid w:val="00F87C1F"/>
    <w:rsid w:val="00F96FDE"/>
    <w:rsid w:val="00FC01FE"/>
    <w:rsid w:val="00FC1ECC"/>
    <w:rsid w:val="00FC43CC"/>
    <w:rsid w:val="00FC45D5"/>
    <w:rsid w:val="00FD0407"/>
    <w:rsid w:val="00FE6606"/>
    <w:rsid w:val="00FF42CF"/>
    <w:rsid w:val="05A86320"/>
    <w:rsid w:val="06A35E92"/>
    <w:rsid w:val="087C3466"/>
    <w:rsid w:val="09702289"/>
    <w:rsid w:val="098B441E"/>
    <w:rsid w:val="099621FA"/>
    <w:rsid w:val="0AF50259"/>
    <w:rsid w:val="0B392FD5"/>
    <w:rsid w:val="0D385CC9"/>
    <w:rsid w:val="0F400671"/>
    <w:rsid w:val="10721B63"/>
    <w:rsid w:val="12022A2E"/>
    <w:rsid w:val="12326EB4"/>
    <w:rsid w:val="13223B9D"/>
    <w:rsid w:val="13925C08"/>
    <w:rsid w:val="14603C13"/>
    <w:rsid w:val="146A2B1E"/>
    <w:rsid w:val="18C13529"/>
    <w:rsid w:val="1D000A11"/>
    <w:rsid w:val="1E845A40"/>
    <w:rsid w:val="1F6C10DE"/>
    <w:rsid w:val="1FD63258"/>
    <w:rsid w:val="20125FC6"/>
    <w:rsid w:val="211F764D"/>
    <w:rsid w:val="214E201A"/>
    <w:rsid w:val="225320DE"/>
    <w:rsid w:val="249D12EE"/>
    <w:rsid w:val="26663961"/>
    <w:rsid w:val="266C5A4C"/>
    <w:rsid w:val="26BB3134"/>
    <w:rsid w:val="27AE6D6E"/>
    <w:rsid w:val="29167809"/>
    <w:rsid w:val="29514455"/>
    <w:rsid w:val="2A716687"/>
    <w:rsid w:val="2C4E0175"/>
    <w:rsid w:val="2C9E0E5C"/>
    <w:rsid w:val="2E1B3283"/>
    <w:rsid w:val="2F5B6E36"/>
    <w:rsid w:val="30986E0D"/>
    <w:rsid w:val="311B05E1"/>
    <w:rsid w:val="31291F7E"/>
    <w:rsid w:val="316E0AD0"/>
    <w:rsid w:val="318178A1"/>
    <w:rsid w:val="322A0869"/>
    <w:rsid w:val="342618D3"/>
    <w:rsid w:val="351A59B6"/>
    <w:rsid w:val="35276E71"/>
    <w:rsid w:val="35C81F43"/>
    <w:rsid w:val="36511F38"/>
    <w:rsid w:val="36886B6E"/>
    <w:rsid w:val="37B0593D"/>
    <w:rsid w:val="39C24AED"/>
    <w:rsid w:val="3A106036"/>
    <w:rsid w:val="3A2D21CD"/>
    <w:rsid w:val="3A464B75"/>
    <w:rsid w:val="3C2A5691"/>
    <w:rsid w:val="3D111306"/>
    <w:rsid w:val="3DC84CA5"/>
    <w:rsid w:val="414C1C7A"/>
    <w:rsid w:val="43011B6E"/>
    <w:rsid w:val="4320516C"/>
    <w:rsid w:val="44C47D79"/>
    <w:rsid w:val="44E04A90"/>
    <w:rsid w:val="479A0DB3"/>
    <w:rsid w:val="47DF2E42"/>
    <w:rsid w:val="483616EE"/>
    <w:rsid w:val="49753D38"/>
    <w:rsid w:val="4CA12DFC"/>
    <w:rsid w:val="4DDF747C"/>
    <w:rsid w:val="4F5B35BD"/>
    <w:rsid w:val="503475F1"/>
    <w:rsid w:val="51DF3B26"/>
    <w:rsid w:val="537806AC"/>
    <w:rsid w:val="54117B0C"/>
    <w:rsid w:val="55637382"/>
    <w:rsid w:val="59247F7B"/>
    <w:rsid w:val="597B2C23"/>
    <w:rsid w:val="5A315494"/>
    <w:rsid w:val="5A5F43DF"/>
    <w:rsid w:val="5CAC53A8"/>
    <w:rsid w:val="5D116A58"/>
    <w:rsid w:val="5D573625"/>
    <w:rsid w:val="5EA616E7"/>
    <w:rsid w:val="607C78DF"/>
    <w:rsid w:val="60C16521"/>
    <w:rsid w:val="60C67F74"/>
    <w:rsid w:val="643C6CB2"/>
    <w:rsid w:val="65115A90"/>
    <w:rsid w:val="656E1999"/>
    <w:rsid w:val="67694A84"/>
    <w:rsid w:val="688A6646"/>
    <w:rsid w:val="68F16ADF"/>
    <w:rsid w:val="698A0CE2"/>
    <w:rsid w:val="69E40317"/>
    <w:rsid w:val="6A9E229D"/>
    <w:rsid w:val="6B4532F0"/>
    <w:rsid w:val="6CB07BAC"/>
    <w:rsid w:val="6CFC2F58"/>
    <w:rsid w:val="6D5637AC"/>
    <w:rsid w:val="6DBC1950"/>
    <w:rsid w:val="6E9D5A4F"/>
    <w:rsid w:val="6F040AA7"/>
    <w:rsid w:val="6FC83E42"/>
    <w:rsid w:val="75082802"/>
    <w:rsid w:val="750A2CD7"/>
    <w:rsid w:val="75937578"/>
    <w:rsid w:val="762409E0"/>
    <w:rsid w:val="775A2C17"/>
    <w:rsid w:val="78040B07"/>
    <w:rsid w:val="7B1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2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ndnote reference"/>
    <w:unhideWhenUsed/>
    <w:qFormat/>
    <w:uiPriority w:val="99"/>
    <w:rPr>
      <w:vertAlign w:val="superscript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尾注文本 字符"/>
    <w:link w:val="2"/>
    <w:semiHidden/>
    <w:qFormat/>
    <w:uiPriority w:val="99"/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sz w:val="18"/>
      <w:szCs w:val="18"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1057</Characters>
  <Lines>5</Lines>
  <Paragraphs>1</Paragraphs>
  <TotalTime>1</TotalTime>
  <ScaleCrop>false</ScaleCrop>
  <LinksUpToDate>false</LinksUpToDate>
  <CharactersWithSpaces>1057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2024-06-27T03:48:00Z</dcterms:created>
  <dc:creator>admin</dc:creator>
  <cp:lastModifiedBy>admin</cp:lastModifiedBy>
  <cp:lastPrinted>2014-10-08T02:48:00Z</cp:lastPrinted>
  <dcterms:modified xsi:type="dcterms:W3CDTF">2024-12-04T05:38:37Z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5FD29769B59347B489E472AEEF92C3C5</vt:lpwstr>
  </property>
</Properties>
</file>