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E753" w14:textId="77777777" w:rsidR="00CF7865" w:rsidRPr="00CF7865" w:rsidRDefault="00CF7865" w:rsidP="00CF7865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CF7865">
        <w:rPr>
          <w:rFonts w:ascii="黑体" w:eastAsia="黑体" w:hAnsi="黑体" w:hint="eastAsia"/>
          <w:bCs/>
          <w:sz w:val="36"/>
          <w:szCs w:val="36"/>
        </w:rPr>
        <w:t>经营者集中简易案件公示表</w:t>
      </w:r>
    </w:p>
    <w:p w14:paraId="534FFDF1" w14:textId="77777777" w:rsidR="00CF7865" w:rsidRPr="008D3E30" w:rsidRDefault="00CF7865" w:rsidP="00CF7865">
      <w:pPr>
        <w:jc w:val="center"/>
        <w:rPr>
          <w:rFonts w:eastAsia="仿宋"/>
          <w:bCs/>
          <w:szCs w:val="21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1560"/>
        <w:gridCol w:w="5607"/>
      </w:tblGrid>
      <w:tr w:rsidR="00CF7865" w:rsidRPr="0055315C" w14:paraId="51117EA0" w14:textId="77777777" w:rsidTr="00A80943">
        <w:trPr>
          <w:trHeight w:val="535"/>
        </w:trPr>
        <w:tc>
          <w:tcPr>
            <w:tcW w:w="1305" w:type="dxa"/>
            <w:shd w:val="clear" w:color="auto" w:fill="D9D9D9"/>
            <w:vAlign w:val="center"/>
          </w:tcPr>
          <w:p w14:paraId="63AA2B2D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167" w:type="dxa"/>
            <w:gridSpan w:val="2"/>
            <w:vAlign w:val="center"/>
          </w:tcPr>
          <w:p w14:paraId="124736E4" w14:textId="5308494D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cs="宋体" w:hint="eastAsia"/>
                <w:kern w:val="0"/>
                <w:sz w:val="24"/>
              </w:rPr>
              <w:t>TPG</w:t>
            </w:r>
            <w:r w:rsidR="007A5FE5">
              <w:rPr>
                <w:rFonts w:cs="宋体" w:hint="eastAsia"/>
                <w:kern w:val="0"/>
                <w:sz w:val="24"/>
              </w:rPr>
              <w:t xml:space="preserve"> Inc.</w:t>
            </w:r>
            <w:r w:rsidRPr="00CF7865">
              <w:rPr>
                <w:rFonts w:cs="宋体" w:hint="eastAsia"/>
                <w:kern w:val="0"/>
                <w:sz w:val="24"/>
              </w:rPr>
              <w:t>收购</w:t>
            </w:r>
            <w:r w:rsidRPr="00CF7865">
              <w:rPr>
                <w:rFonts w:cs="宋体" w:hint="eastAsia"/>
                <w:kern w:val="0"/>
                <w:sz w:val="24"/>
              </w:rPr>
              <w:t>Apex Tool Ultimate Holdings, LLC</w:t>
            </w:r>
            <w:r w:rsidRPr="00CF7865">
              <w:rPr>
                <w:rFonts w:cs="宋体" w:hint="eastAsia"/>
                <w:kern w:val="0"/>
                <w:sz w:val="24"/>
              </w:rPr>
              <w:t>股权案</w:t>
            </w:r>
          </w:p>
        </w:tc>
      </w:tr>
      <w:tr w:rsidR="00CF7865" w:rsidRPr="0055315C" w14:paraId="6F90D0A6" w14:textId="77777777" w:rsidTr="00A80943">
        <w:trPr>
          <w:trHeight w:val="1391"/>
        </w:trPr>
        <w:tc>
          <w:tcPr>
            <w:tcW w:w="1305" w:type="dxa"/>
            <w:shd w:val="clear" w:color="auto" w:fill="D9D9D9"/>
            <w:vAlign w:val="center"/>
          </w:tcPr>
          <w:p w14:paraId="2733AA00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交易概况（限</w:t>
            </w:r>
            <w:r w:rsidRPr="00CF7865">
              <w:rPr>
                <w:bCs/>
                <w:color w:val="000000"/>
                <w:sz w:val="24"/>
                <w:lang w:val="en-GB"/>
              </w:rPr>
              <w:t>200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字内）</w:t>
            </w:r>
          </w:p>
        </w:tc>
        <w:tc>
          <w:tcPr>
            <w:tcW w:w="7167" w:type="dxa"/>
            <w:gridSpan w:val="2"/>
            <w:vAlign w:val="center"/>
          </w:tcPr>
          <w:p w14:paraId="040D8EBB" w14:textId="014BB7D6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cs="宋体" w:hint="eastAsia"/>
                <w:kern w:val="0"/>
                <w:sz w:val="24"/>
              </w:rPr>
              <w:t>TPG</w:t>
            </w:r>
            <w:r w:rsidR="00BB00FC">
              <w:rPr>
                <w:rFonts w:cs="宋体" w:hint="eastAsia"/>
                <w:kern w:val="0"/>
                <w:sz w:val="24"/>
              </w:rPr>
              <w:t xml:space="preserve"> Inc.</w:t>
            </w:r>
            <w:proofErr w:type="gramStart"/>
            <w:r w:rsidR="00FD25D1">
              <w:rPr>
                <w:rFonts w:cs="宋体" w:hint="eastAsia"/>
                <w:kern w:val="0"/>
                <w:sz w:val="24"/>
              </w:rPr>
              <w:t>（“</w:t>
            </w:r>
            <w:r w:rsidR="00FD25D1">
              <w:rPr>
                <w:rFonts w:cs="宋体" w:hint="eastAsia"/>
                <w:kern w:val="0"/>
                <w:sz w:val="24"/>
              </w:rPr>
              <w:t>TPG</w:t>
            </w:r>
            <w:r w:rsidR="00FD25D1">
              <w:rPr>
                <w:rFonts w:cs="宋体" w:hint="eastAsia"/>
                <w:kern w:val="0"/>
                <w:sz w:val="24"/>
              </w:rPr>
              <w:t>”）</w:t>
            </w:r>
            <w:proofErr w:type="gramEnd"/>
            <w:r w:rsidRPr="008E4370">
              <w:rPr>
                <w:rFonts w:hint="eastAsia"/>
                <w:color w:val="000000"/>
                <w:sz w:val="24"/>
              </w:rPr>
              <w:t>及其他交易方签署协议，基于该协议，</w:t>
            </w:r>
            <w:r w:rsidRPr="008E4370">
              <w:rPr>
                <w:sz w:val="24"/>
              </w:rPr>
              <w:t>TPG</w:t>
            </w:r>
            <w:r w:rsidRPr="008E4370">
              <w:rPr>
                <w:sz w:val="24"/>
              </w:rPr>
              <w:t>（通过</w:t>
            </w:r>
            <w:r w:rsidRPr="008E4370">
              <w:rPr>
                <w:sz w:val="24"/>
              </w:rPr>
              <w:t>TPG Angelo Gordon</w:t>
            </w:r>
            <w:r w:rsidRPr="008E4370">
              <w:rPr>
                <w:rFonts w:hint="eastAsia"/>
                <w:sz w:val="24"/>
              </w:rPr>
              <w:t>和</w:t>
            </w:r>
            <w:r w:rsidRPr="008E4370">
              <w:rPr>
                <w:sz w:val="24"/>
              </w:rPr>
              <w:t>其管理和</w:t>
            </w:r>
            <w:r w:rsidRPr="008E4370">
              <w:rPr>
                <w:sz w:val="24"/>
              </w:rPr>
              <w:t xml:space="preserve"> / </w:t>
            </w:r>
            <w:r w:rsidRPr="008E4370">
              <w:rPr>
                <w:sz w:val="24"/>
              </w:rPr>
              <w:t>或提供咨询服务的</w:t>
            </w:r>
            <w:r w:rsidRPr="008E4370">
              <w:rPr>
                <w:rFonts w:hint="eastAsia"/>
                <w:sz w:val="24"/>
              </w:rPr>
              <w:t>其他</w:t>
            </w:r>
            <w:r w:rsidRPr="008E4370">
              <w:rPr>
                <w:sz w:val="24"/>
              </w:rPr>
              <w:t>基金）</w:t>
            </w:r>
            <w:r w:rsidRPr="008E4370">
              <w:rPr>
                <w:rFonts w:hint="eastAsia"/>
                <w:sz w:val="24"/>
              </w:rPr>
              <w:t>预计将其</w:t>
            </w:r>
            <w:r w:rsidRPr="008E4370">
              <w:rPr>
                <w:sz w:val="24"/>
              </w:rPr>
              <w:t>对</w:t>
            </w:r>
            <w:r w:rsidRPr="008E4370">
              <w:rPr>
                <w:rFonts w:cs="宋体" w:hint="eastAsia"/>
                <w:kern w:val="0"/>
                <w:sz w:val="24"/>
              </w:rPr>
              <w:t>Apex Tool Ultimate Holdings, LLC</w:t>
            </w:r>
            <w:proofErr w:type="gramStart"/>
            <w:r w:rsidRPr="008E4370">
              <w:rPr>
                <w:rFonts w:cs="宋体" w:hint="eastAsia"/>
                <w:kern w:val="0"/>
                <w:sz w:val="24"/>
              </w:rPr>
              <w:t>（“</w:t>
            </w:r>
            <w:r w:rsidR="007A5FE5">
              <w:rPr>
                <w:rFonts w:hint="eastAsia"/>
                <w:sz w:val="24"/>
              </w:rPr>
              <w:t>Apex</w:t>
            </w:r>
            <w:r w:rsidRPr="008E4370">
              <w:rPr>
                <w:rFonts w:hint="eastAsia"/>
                <w:sz w:val="24"/>
              </w:rPr>
              <w:t>”）</w:t>
            </w:r>
            <w:proofErr w:type="gramEnd"/>
            <w:r w:rsidRPr="008E4370">
              <w:rPr>
                <w:sz w:val="24"/>
              </w:rPr>
              <w:t>的间接持股比例从约</w:t>
            </w:r>
            <w:r w:rsidRPr="008E4370">
              <w:rPr>
                <w:sz w:val="24"/>
              </w:rPr>
              <w:t xml:space="preserve"> 12% </w:t>
            </w:r>
            <w:r w:rsidRPr="008E4370">
              <w:rPr>
                <w:sz w:val="24"/>
              </w:rPr>
              <w:t>提</w:t>
            </w:r>
            <w:r w:rsidRPr="008E4370">
              <w:rPr>
                <w:rFonts w:hint="eastAsia"/>
                <w:sz w:val="24"/>
              </w:rPr>
              <w:t>高</w:t>
            </w:r>
            <w:r w:rsidRPr="008E4370">
              <w:rPr>
                <w:sz w:val="24"/>
              </w:rPr>
              <w:t>至</w:t>
            </w:r>
            <w:r w:rsidRPr="008E4370">
              <w:rPr>
                <w:sz w:val="24"/>
              </w:rPr>
              <w:t xml:space="preserve"> 40%</w:t>
            </w:r>
            <w:proofErr w:type="gramStart"/>
            <w:r w:rsidRPr="008E4370">
              <w:rPr>
                <w:rFonts w:hint="eastAsia"/>
                <w:sz w:val="24"/>
              </w:rPr>
              <w:t>（“本次交易”）</w:t>
            </w:r>
            <w:proofErr w:type="gramEnd"/>
            <w:r w:rsidRPr="008E4370">
              <w:rPr>
                <w:sz w:val="24"/>
              </w:rPr>
              <w:t>。</w:t>
            </w:r>
            <w:r w:rsidR="007A5FE5">
              <w:rPr>
                <w:rFonts w:hint="eastAsia"/>
                <w:sz w:val="24"/>
              </w:rPr>
              <w:t>Apex</w:t>
            </w:r>
            <w:r w:rsidRPr="00CF7865">
              <w:rPr>
                <w:rFonts w:hint="eastAsia"/>
                <w:sz w:val="24"/>
              </w:rPr>
              <w:t>的主要业务为在全球范围内供应手动工具和电动工具</w:t>
            </w:r>
            <w:r w:rsidRPr="00CF7865">
              <w:rPr>
                <w:sz w:val="24"/>
              </w:rPr>
              <w:t>。</w:t>
            </w:r>
          </w:p>
          <w:p w14:paraId="17294F6A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</w:p>
          <w:p w14:paraId="26D840D1" w14:textId="16A97F25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hint="eastAsia"/>
                <w:bCs/>
                <w:color w:val="000000"/>
                <w:sz w:val="24"/>
              </w:rPr>
              <w:t>本次交易前，贝</w:t>
            </w:r>
            <w:proofErr w:type="gramStart"/>
            <w:r w:rsidRPr="00CF7865">
              <w:rPr>
                <w:rFonts w:hint="eastAsia"/>
                <w:bCs/>
                <w:color w:val="000000"/>
                <w:sz w:val="24"/>
              </w:rPr>
              <w:t>恩资本</w:t>
            </w:r>
            <w:proofErr w:type="gramEnd"/>
            <w:r w:rsidRPr="00CF7865">
              <w:rPr>
                <w:rFonts w:hint="eastAsia"/>
                <w:bCs/>
                <w:color w:val="000000"/>
                <w:sz w:val="24"/>
              </w:rPr>
              <w:t>间</w:t>
            </w:r>
            <w:r w:rsidR="00404CCC">
              <w:rPr>
                <w:rFonts w:hint="eastAsia"/>
                <w:bCs/>
                <w:color w:val="000000"/>
                <w:sz w:val="24"/>
              </w:rPr>
              <w:t>接</w:t>
            </w:r>
            <w:r w:rsidRPr="00CF7865">
              <w:rPr>
                <w:rFonts w:hint="eastAsia"/>
                <w:bCs/>
                <w:color w:val="000000"/>
                <w:sz w:val="24"/>
              </w:rPr>
              <w:t>单独控制</w:t>
            </w:r>
            <w:r w:rsidR="007A5FE5">
              <w:rPr>
                <w:rFonts w:hint="eastAsia"/>
                <w:bCs/>
                <w:color w:val="000000"/>
                <w:sz w:val="24"/>
              </w:rPr>
              <w:t>Apex</w:t>
            </w:r>
            <w:r w:rsidRPr="00CF7865">
              <w:rPr>
                <w:rFonts w:hint="eastAsia"/>
                <w:bCs/>
                <w:color w:val="000000"/>
                <w:sz w:val="24"/>
              </w:rPr>
              <w:t>。本次交易后，</w:t>
            </w:r>
            <w:r w:rsidRPr="00CF7865">
              <w:rPr>
                <w:rFonts w:hint="eastAsia"/>
                <w:bCs/>
                <w:color w:val="000000"/>
                <w:sz w:val="24"/>
              </w:rPr>
              <w:t>TPG</w:t>
            </w:r>
            <w:r w:rsidRPr="00CF7865">
              <w:rPr>
                <w:rFonts w:hint="eastAsia"/>
                <w:bCs/>
                <w:color w:val="000000"/>
                <w:sz w:val="24"/>
              </w:rPr>
              <w:t>将间接持有</w:t>
            </w:r>
            <w:r w:rsidR="007A5FE5">
              <w:rPr>
                <w:rFonts w:hint="eastAsia"/>
                <w:bCs/>
                <w:color w:val="000000"/>
                <w:sz w:val="24"/>
              </w:rPr>
              <w:t xml:space="preserve">Apex </w:t>
            </w:r>
            <w:r w:rsidR="00FD25D1">
              <w:rPr>
                <w:rFonts w:hint="eastAsia"/>
                <w:bCs/>
                <w:color w:val="000000"/>
                <w:sz w:val="24"/>
              </w:rPr>
              <w:t>约</w:t>
            </w:r>
            <w:r w:rsidRPr="00CF7865">
              <w:rPr>
                <w:rFonts w:hint="eastAsia"/>
                <w:bCs/>
                <w:color w:val="000000"/>
                <w:sz w:val="24"/>
              </w:rPr>
              <w:t>40%</w:t>
            </w:r>
            <w:r w:rsidRPr="00CF7865">
              <w:rPr>
                <w:rFonts w:hint="eastAsia"/>
                <w:bCs/>
                <w:color w:val="000000"/>
                <w:sz w:val="24"/>
              </w:rPr>
              <w:t>的股权，并单独控制</w:t>
            </w:r>
            <w:r w:rsidR="007A5FE5">
              <w:rPr>
                <w:rFonts w:hint="eastAsia"/>
                <w:bCs/>
                <w:color w:val="000000"/>
                <w:sz w:val="24"/>
              </w:rPr>
              <w:t>Apex</w:t>
            </w:r>
            <w:r w:rsidRPr="00CF7865">
              <w:rPr>
                <w:rFonts w:hint="eastAsia"/>
                <w:bCs/>
                <w:color w:val="000000"/>
                <w:sz w:val="24"/>
              </w:rPr>
              <w:t>。</w:t>
            </w:r>
          </w:p>
          <w:p w14:paraId="513B6B51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</w:p>
        </w:tc>
      </w:tr>
      <w:tr w:rsidR="00CF7865" w:rsidRPr="0055315C" w14:paraId="64572A42" w14:textId="77777777" w:rsidTr="00A80943">
        <w:trPr>
          <w:trHeight w:val="942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 w14:paraId="21A1626C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参与集中的经营者简介（每个限</w:t>
            </w:r>
            <w:r w:rsidRPr="00CF7865">
              <w:rPr>
                <w:bCs/>
                <w:color w:val="000000"/>
                <w:sz w:val="24"/>
              </w:rPr>
              <w:t>100</w:t>
            </w:r>
            <w:r w:rsidRPr="00CF7865">
              <w:rPr>
                <w:rFonts w:hint="eastAsia"/>
                <w:bCs/>
                <w:color w:val="000000"/>
                <w:sz w:val="24"/>
              </w:rPr>
              <w:t>字以内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1560" w:type="dxa"/>
            <w:vAlign w:val="center"/>
          </w:tcPr>
          <w:p w14:paraId="47499549" w14:textId="77777777" w:rsidR="00CF7865" w:rsidRPr="00CF7865" w:rsidRDefault="00CF7865" w:rsidP="00CF7865">
            <w:pPr>
              <w:pStyle w:val="a9"/>
              <w:widowControl/>
              <w:numPr>
                <w:ilvl w:val="0"/>
                <w:numId w:val="2"/>
              </w:numPr>
              <w:adjustRightInd w:val="0"/>
              <w:snapToGrid w:val="0"/>
              <w:spacing w:after="240"/>
              <w:jc w:val="left"/>
              <w:rPr>
                <w:bCs/>
                <w:color w:val="000000"/>
                <w:sz w:val="24"/>
              </w:rPr>
            </w:pPr>
            <w:r w:rsidRPr="00CF7865">
              <w:rPr>
                <w:rFonts w:hint="eastAsia"/>
                <w:bCs/>
                <w:color w:val="000000"/>
                <w:sz w:val="24"/>
              </w:rPr>
              <w:t>TPG</w:t>
            </w:r>
          </w:p>
        </w:tc>
        <w:tc>
          <w:tcPr>
            <w:tcW w:w="5607" w:type="dxa"/>
            <w:vAlign w:val="center"/>
          </w:tcPr>
          <w:p w14:paraId="6CF0F95E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TPG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于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2022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年在美国成立。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TPG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是一家全球性的另类资产管理公司，旗下设有六大多产品平台，分别为：资本、成长、影响、房地产、市场解决方案及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TPG Angelo Gordon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，其投资战略由合作、创新及包容理念所驱动。</w:t>
            </w:r>
          </w:p>
          <w:p w14:paraId="739B81E8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  <w:p w14:paraId="2FD39DBD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TPG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的最终控制人为自然人，其业务与上述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TPG</w:t>
            </w: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集团的业务相同。</w:t>
            </w:r>
          </w:p>
        </w:tc>
      </w:tr>
      <w:tr w:rsidR="00CF7865" w:rsidRPr="0055315C" w14:paraId="0472FAC9" w14:textId="77777777" w:rsidTr="00A80943">
        <w:trPr>
          <w:trHeight w:val="942"/>
        </w:trPr>
        <w:tc>
          <w:tcPr>
            <w:tcW w:w="1305" w:type="dxa"/>
            <w:vMerge/>
            <w:shd w:val="clear" w:color="auto" w:fill="D9D9D9"/>
            <w:vAlign w:val="center"/>
          </w:tcPr>
          <w:p w14:paraId="7EFD1491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E0B02C6" w14:textId="2A411840" w:rsidR="00CF7865" w:rsidRPr="00CF7865" w:rsidRDefault="007A5FE5" w:rsidP="00CF7865">
            <w:pPr>
              <w:pStyle w:val="a9"/>
              <w:widowControl/>
              <w:numPr>
                <w:ilvl w:val="0"/>
                <w:numId w:val="2"/>
              </w:numPr>
              <w:adjustRightInd w:val="0"/>
              <w:snapToGrid w:val="0"/>
              <w:spacing w:after="240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Apex</w:t>
            </w:r>
          </w:p>
        </w:tc>
        <w:tc>
          <w:tcPr>
            <w:tcW w:w="5607" w:type="dxa"/>
            <w:vAlign w:val="center"/>
          </w:tcPr>
          <w:p w14:paraId="177648C3" w14:textId="1E4C2738" w:rsidR="00CF7865" w:rsidRPr="00CF7865" w:rsidRDefault="007A5FE5" w:rsidP="00A80943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Apex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于</w:t>
            </w:r>
            <w:r w:rsidR="00CF7865" w:rsidRPr="00CF7865">
              <w:rPr>
                <w:bCs/>
                <w:color w:val="000000"/>
                <w:sz w:val="24"/>
                <w:lang w:val="en-GB"/>
              </w:rPr>
              <w:t>20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12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年</w:t>
            </w:r>
            <w:r w:rsidR="00CF7865" w:rsidRPr="00CF7865">
              <w:rPr>
                <w:bCs/>
                <w:color w:val="000000"/>
                <w:sz w:val="24"/>
                <w:lang w:val="en-GB"/>
              </w:rPr>
              <w:t>1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1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月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9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日在美国成立，其</w:t>
            </w:r>
            <w:r w:rsidR="00CF7865" w:rsidRPr="00CF7865">
              <w:rPr>
                <w:rFonts w:hint="eastAsia"/>
                <w:bCs/>
                <w:color w:val="000000"/>
                <w:sz w:val="24"/>
              </w:rPr>
              <w:t>主要业务为在全球范围内供应手动工具和电动工具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。</w:t>
            </w:r>
          </w:p>
          <w:p w14:paraId="2FD22AB8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  <w:p w14:paraId="2CBDB26E" w14:textId="6A894C42" w:rsidR="00CF7865" w:rsidRPr="00CF7865" w:rsidRDefault="007A5FE5" w:rsidP="00A80943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Apex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的最终控制人为由贝</w:t>
            </w:r>
            <w:proofErr w:type="gramStart"/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恩资本</w:t>
            </w:r>
            <w:proofErr w:type="gramEnd"/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管理和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/</w:t>
            </w:r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或提供咨询服务的基金。贝</w:t>
            </w:r>
            <w:proofErr w:type="gramStart"/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恩资本</w:t>
            </w:r>
            <w:proofErr w:type="gramEnd"/>
            <w:r w:rsidR="00CF7865" w:rsidRPr="00CF7865">
              <w:rPr>
                <w:rFonts w:hint="eastAsia"/>
                <w:bCs/>
                <w:color w:val="000000"/>
                <w:sz w:val="24"/>
                <w:lang w:val="en-GB"/>
              </w:rPr>
              <w:t>为一家总部位于美国的</w:t>
            </w:r>
            <w:r w:rsidR="00CF7865" w:rsidRPr="00CF7865">
              <w:rPr>
                <w:sz w:val="24"/>
              </w:rPr>
              <w:t>私</w:t>
            </w:r>
            <w:proofErr w:type="gramStart"/>
            <w:r w:rsidR="00CF7865" w:rsidRPr="00CF7865">
              <w:rPr>
                <w:sz w:val="24"/>
              </w:rPr>
              <w:t>募股权投资</w:t>
            </w:r>
            <w:proofErr w:type="gramEnd"/>
            <w:r w:rsidR="00CF7865" w:rsidRPr="00CF7865">
              <w:rPr>
                <w:sz w:val="24"/>
              </w:rPr>
              <w:t>公司</w:t>
            </w:r>
            <w:r w:rsidR="00CF7865" w:rsidRPr="00CF7865">
              <w:rPr>
                <w:rFonts w:hint="eastAsia"/>
                <w:sz w:val="24"/>
              </w:rPr>
              <w:t>，活跃于投资</w:t>
            </w:r>
            <w:r w:rsidR="00CF7865" w:rsidRPr="00CF7865">
              <w:rPr>
                <w:sz w:val="24"/>
              </w:rPr>
              <w:t>多个行业</w:t>
            </w:r>
            <w:r w:rsidR="00CF7865" w:rsidRPr="00CF7865">
              <w:rPr>
                <w:rFonts w:hint="eastAsia"/>
                <w:sz w:val="24"/>
              </w:rPr>
              <w:t>的企业</w:t>
            </w:r>
            <w:r w:rsidR="00CF7865" w:rsidRPr="00CF7865">
              <w:rPr>
                <w:sz w:val="24"/>
              </w:rPr>
              <w:t>，包括信息技术、医疗健康、零售与消费品、通信、金融服务以及工业</w:t>
            </w:r>
            <w:r w:rsidR="00CF7865" w:rsidRPr="00CF7865">
              <w:rPr>
                <w:sz w:val="24"/>
              </w:rPr>
              <w:t xml:space="preserve"> / </w:t>
            </w:r>
            <w:r w:rsidR="00CF7865" w:rsidRPr="00CF7865">
              <w:rPr>
                <w:sz w:val="24"/>
              </w:rPr>
              <w:t>制造业</w:t>
            </w:r>
            <w:r w:rsidR="00CF7865" w:rsidRPr="00CF7865">
              <w:rPr>
                <w:rFonts w:hint="eastAsia"/>
                <w:sz w:val="24"/>
              </w:rPr>
              <w:t>等。</w:t>
            </w:r>
          </w:p>
        </w:tc>
      </w:tr>
      <w:tr w:rsidR="00CF7865" w:rsidRPr="0055315C" w14:paraId="59426504" w14:textId="77777777" w:rsidTr="00A80943">
        <w:trPr>
          <w:trHeight w:val="623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 w14:paraId="4A0B95CF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hint="eastAsia"/>
                <w:bCs/>
                <w:color w:val="00000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167" w:type="dxa"/>
            <w:gridSpan w:val="2"/>
          </w:tcPr>
          <w:p w14:paraId="397F0728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hint="eastAsia"/>
                <w:sz w:val="24"/>
              </w:rPr>
              <w:t>□</w:t>
            </w:r>
            <w:r w:rsidRPr="00CF7865">
              <w:rPr>
                <w:sz w:val="24"/>
              </w:rPr>
              <w:t>1</w:t>
            </w:r>
            <w:r w:rsidRPr="00CF7865">
              <w:rPr>
                <w:rFonts w:hint="eastAsia"/>
                <w:sz w:val="24"/>
              </w:rPr>
              <w:t>、在同一相关市场，参与集中的经营者所占的市场份额之和小于</w:t>
            </w:r>
            <w:r w:rsidRPr="00CF7865">
              <w:rPr>
                <w:sz w:val="24"/>
              </w:rPr>
              <w:t>15%</w:t>
            </w:r>
            <w:r w:rsidRPr="00CF7865">
              <w:rPr>
                <w:rFonts w:hint="eastAsia"/>
                <w:sz w:val="24"/>
              </w:rPr>
              <w:t>。</w:t>
            </w:r>
          </w:p>
        </w:tc>
      </w:tr>
      <w:tr w:rsidR="00CF7865" w:rsidRPr="0055315C" w14:paraId="15F748EB" w14:textId="77777777" w:rsidTr="00A80943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632A4256" w14:textId="77777777" w:rsidR="00CF7865" w:rsidRPr="00CF7865" w:rsidRDefault="00CF7865" w:rsidP="00CF7865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673FCF0E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hint="eastAsia"/>
                <w:sz w:val="24"/>
              </w:rPr>
              <w:t>□</w:t>
            </w:r>
            <w:r w:rsidRPr="00CF7865">
              <w:rPr>
                <w:sz w:val="24"/>
              </w:rPr>
              <w:t xml:space="preserve"> 2</w:t>
            </w:r>
            <w:r w:rsidRPr="00CF7865">
              <w:rPr>
                <w:rFonts w:hint="eastAsia"/>
                <w:sz w:val="24"/>
              </w:rPr>
              <w:t>、在上下游市场，参与集中的经营者所占的市场份额均小于</w:t>
            </w:r>
            <w:r w:rsidRPr="00CF7865">
              <w:rPr>
                <w:sz w:val="24"/>
              </w:rPr>
              <w:t>25%</w:t>
            </w:r>
            <w:r w:rsidRPr="00CF7865">
              <w:rPr>
                <w:rFonts w:hint="eastAsia"/>
                <w:sz w:val="24"/>
              </w:rPr>
              <w:t>。</w:t>
            </w:r>
          </w:p>
        </w:tc>
      </w:tr>
      <w:tr w:rsidR="00CF7865" w:rsidRPr="0055315C" w14:paraId="3C2F6FEC" w14:textId="77777777" w:rsidTr="00A80943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4AB52A60" w14:textId="77777777" w:rsidR="00CF7865" w:rsidRPr="00CF7865" w:rsidRDefault="00CF7865" w:rsidP="00CF7865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232777E6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sz w:val="24"/>
              </w:rPr>
              <w:sym w:font="Wingdings" w:char="F0FE"/>
            </w:r>
            <w:r w:rsidRPr="00CF7865">
              <w:rPr>
                <w:sz w:val="24"/>
              </w:rPr>
              <w:t xml:space="preserve"> 3</w:t>
            </w:r>
            <w:r w:rsidRPr="00CF7865">
              <w:rPr>
                <w:rFonts w:hint="eastAsia"/>
                <w:sz w:val="24"/>
              </w:rPr>
              <w:t>、不在同一相关市场、也不存在上下游关系的参与集中的经营者，在与交易有关的每个市场所占的市场份额均小于</w:t>
            </w:r>
            <w:r w:rsidRPr="00CF7865">
              <w:rPr>
                <w:sz w:val="24"/>
              </w:rPr>
              <w:t>25%</w:t>
            </w:r>
            <w:r w:rsidRPr="00CF7865">
              <w:rPr>
                <w:rFonts w:hint="eastAsia"/>
                <w:sz w:val="24"/>
              </w:rPr>
              <w:t>。</w:t>
            </w:r>
          </w:p>
        </w:tc>
      </w:tr>
      <w:tr w:rsidR="00CF7865" w:rsidRPr="0055315C" w14:paraId="36C1D486" w14:textId="77777777" w:rsidTr="00A80943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02E58183" w14:textId="77777777" w:rsidR="00CF7865" w:rsidRPr="00CF7865" w:rsidRDefault="00CF7865" w:rsidP="00CF7865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39A62AB9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hint="eastAsia"/>
                <w:sz w:val="24"/>
              </w:rPr>
              <w:t>□</w:t>
            </w:r>
            <w:r w:rsidRPr="00CF7865">
              <w:rPr>
                <w:sz w:val="24"/>
              </w:rPr>
              <w:t xml:space="preserve"> 4</w:t>
            </w:r>
            <w:r w:rsidRPr="00CF7865">
              <w:rPr>
                <w:rFonts w:hint="eastAsia"/>
                <w:sz w:val="24"/>
              </w:rPr>
              <w:t>、参与集中的经营者在中国境外设立合营企业，合营企业不在中国境内从事经济活动。</w:t>
            </w:r>
          </w:p>
        </w:tc>
      </w:tr>
      <w:tr w:rsidR="00CF7865" w:rsidRPr="0055315C" w14:paraId="26A68FDA" w14:textId="77777777" w:rsidTr="00A80943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4502F6F1" w14:textId="77777777" w:rsidR="00CF7865" w:rsidRPr="00CF7865" w:rsidRDefault="00CF7865" w:rsidP="00CF7865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1DC8425C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sz w:val="24"/>
              </w:rPr>
              <w:t>□ 5</w:t>
            </w:r>
            <w:r w:rsidRPr="00CF7865">
              <w:rPr>
                <w:rFonts w:hint="eastAsia"/>
                <w:sz w:val="24"/>
              </w:rPr>
              <w:t>、参与集中的经营者收购境外企业股权或资产的，该境外企业不在中国境内从事经济活动。</w:t>
            </w:r>
          </w:p>
        </w:tc>
      </w:tr>
      <w:tr w:rsidR="00CF7865" w:rsidRPr="0055315C" w14:paraId="3627919D" w14:textId="77777777" w:rsidTr="00A80943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5EE95C29" w14:textId="77777777" w:rsidR="00CF7865" w:rsidRPr="00CF7865" w:rsidRDefault="00CF7865" w:rsidP="00CF7865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3981730D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hint="eastAsia"/>
                <w:sz w:val="24"/>
              </w:rPr>
              <w:t>□</w:t>
            </w:r>
            <w:r w:rsidRPr="00CF7865">
              <w:rPr>
                <w:sz w:val="24"/>
              </w:rPr>
              <w:t xml:space="preserve"> 6</w:t>
            </w:r>
            <w:r w:rsidRPr="00CF7865">
              <w:rPr>
                <w:rFonts w:hint="eastAsia"/>
                <w:sz w:val="24"/>
              </w:rPr>
              <w:t>、由两个以上的经营者共同控制的合营企业，通过集中被其中一个或一个以上经营者控制。</w:t>
            </w:r>
          </w:p>
        </w:tc>
      </w:tr>
      <w:tr w:rsidR="00CF7865" w:rsidRPr="00DE7232" w14:paraId="3A212838" w14:textId="77777777" w:rsidTr="00A80943">
        <w:trPr>
          <w:trHeight w:val="906"/>
        </w:trPr>
        <w:tc>
          <w:tcPr>
            <w:tcW w:w="1305" w:type="dxa"/>
            <w:shd w:val="clear" w:color="auto" w:fill="D9D9D9"/>
            <w:vAlign w:val="center"/>
          </w:tcPr>
          <w:p w14:paraId="270A1059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F7865">
              <w:rPr>
                <w:rFonts w:hint="eastAsia"/>
                <w:bCs/>
                <w:color w:val="000000"/>
                <w:sz w:val="24"/>
              </w:rPr>
              <w:t>备注</w:t>
            </w:r>
          </w:p>
        </w:tc>
        <w:tc>
          <w:tcPr>
            <w:tcW w:w="7167" w:type="dxa"/>
            <w:gridSpan w:val="2"/>
            <w:vAlign w:val="center"/>
          </w:tcPr>
          <w:p w14:paraId="4821F7C7" w14:textId="77777777" w:rsidR="00CF7865" w:rsidRPr="00CF7865" w:rsidRDefault="00CF7865" w:rsidP="00A80943">
            <w:pPr>
              <w:adjustRightInd w:val="0"/>
              <w:snapToGrid w:val="0"/>
              <w:rPr>
                <w:b/>
                <w:color w:val="000000"/>
                <w:sz w:val="24"/>
              </w:rPr>
            </w:pPr>
            <w:r w:rsidRPr="00CF7865">
              <w:rPr>
                <w:rFonts w:hint="eastAsia"/>
                <w:b/>
                <w:color w:val="000000"/>
                <w:sz w:val="24"/>
              </w:rPr>
              <w:t>混合集中</w:t>
            </w:r>
          </w:p>
          <w:p w14:paraId="5A2B7824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  <w:u w:val="single"/>
              </w:rPr>
            </w:pPr>
          </w:p>
          <w:p w14:paraId="50ACD7AA" w14:textId="303F73AB" w:rsidR="00CF7865" w:rsidRPr="00CF7865" w:rsidRDefault="00CF7865" w:rsidP="00CF786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contextualSpacing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2024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 w:rsidRPr="00CF7865">
              <w:rPr>
                <w:rFonts w:hint="eastAsia"/>
                <w:bCs/>
                <w:color w:val="000000"/>
                <w:sz w:val="24"/>
              </w:rPr>
              <w:t>中国境内电动工具市场：</w:t>
            </w:r>
            <w:r w:rsidR="007A5FE5">
              <w:rPr>
                <w:rFonts w:hint="eastAsia"/>
                <w:bCs/>
                <w:color w:val="000000"/>
                <w:sz w:val="24"/>
              </w:rPr>
              <w:t>Apex</w:t>
            </w:r>
            <w:r w:rsidRPr="00CF7865">
              <w:rPr>
                <w:rFonts w:hint="eastAsia"/>
                <w:bCs/>
                <w:color w:val="000000"/>
                <w:sz w:val="24"/>
              </w:rPr>
              <w:t>：</w:t>
            </w:r>
            <w:r w:rsidRPr="00CF7865">
              <w:rPr>
                <w:bCs/>
                <w:color w:val="000000"/>
                <w:sz w:val="24"/>
              </w:rPr>
              <w:t>0-5%</w:t>
            </w:r>
          </w:p>
          <w:p w14:paraId="11DA85C1" w14:textId="0D452BFC" w:rsidR="00CF7865" w:rsidRPr="00CF7865" w:rsidRDefault="00CF7865" w:rsidP="00CF786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contextualSpacing w:val="0"/>
              <w:rPr>
                <w:bCs/>
                <w:color w:val="000000"/>
                <w:sz w:val="24"/>
                <w:u w:val="single"/>
              </w:rPr>
            </w:pPr>
            <w:r>
              <w:rPr>
                <w:rFonts w:hint="eastAsia"/>
                <w:bCs/>
                <w:color w:val="000000"/>
                <w:sz w:val="24"/>
              </w:rPr>
              <w:lastRenderedPageBreak/>
              <w:t>2024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 w:rsidRPr="00CF7865">
              <w:rPr>
                <w:rFonts w:hint="eastAsia"/>
                <w:bCs/>
                <w:color w:val="000000"/>
                <w:sz w:val="24"/>
              </w:rPr>
              <w:t>中国境内手动工具市场：</w:t>
            </w:r>
            <w:r w:rsidR="007A5FE5">
              <w:rPr>
                <w:rFonts w:hint="eastAsia"/>
                <w:bCs/>
                <w:color w:val="000000"/>
                <w:sz w:val="24"/>
              </w:rPr>
              <w:t>Apex</w:t>
            </w:r>
            <w:r w:rsidRPr="00CF7865">
              <w:rPr>
                <w:rFonts w:hint="eastAsia"/>
                <w:bCs/>
                <w:color w:val="000000"/>
                <w:sz w:val="24"/>
              </w:rPr>
              <w:t>：</w:t>
            </w:r>
            <w:r w:rsidRPr="00CF7865">
              <w:rPr>
                <w:bCs/>
                <w:color w:val="000000"/>
                <w:sz w:val="24"/>
              </w:rPr>
              <w:t>0-5%</w:t>
            </w:r>
          </w:p>
          <w:p w14:paraId="0749ED4C" w14:textId="77777777" w:rsidR="00CF7865" w:rsidRPr="00CF7865" w:rsidRDefault="00CF7865" w:rsidP="00A80943">
            <w:pPr>
              <w:adjustRightInd w:val="0"/>
              <w:snapToGrid w:val="0"/>
              <w:rPr>
                <w:bCs/>
                <w:color w:val="000000"/>
                <w:sz w:val="24"/>
                <w:u w:val="single"/>
              </w:rPr>
            </w:pPr>
          </w:p>
        </w:tc>
      </w:tr>
    </w:tbl>
    <w:p w14:paraId="34E2DD63" w14:textId="77777777" w:rsidR="000E40B5" w:rsidRPr="00CF7865" w:rsidRDefault="000E40B5"/>
    <w:sectPr w:rsidR="000E40B5" w:rsidRPr="00CF7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469B" w14:textId="77777777" w:rsidR="007269B8" w:rsidRDefault="007269B8" w:rsidP="007A5FE5">
      <w:r>
        <w:separator/>
      </w:r>
    </w:p>
  </w:endnote>
  <w:endnote w:type="continuationSeparator" w:id="0">
    <w:p w14:paraId="75732D70" w14:textId="77777777" w:rsidR="007269B8" w:rsidRDefault="007269B8" w:rsidP="007A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DA40" w14:textId="77777777" w:rsidR="007269B8" w:rsidRDefault="007269B8" w:rsidP="007A5FE5">
      <w:r>
        <w:separator/>
      </w:r>
    </w:p>
  </w:footnote>
  <w:footnote w:type="continuationSeparator" w:id="0">
    <w:p w14:paraId="2CC0CBC9" w14:textId="77777777" w:rsidR="007269B8" w:rsidRDefault="007269B8" w:rsidP="007A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0F46"/>
    <w:multiLevelType w:val="hybridMultilevel"/>
    <w:tmpl w:val="7C90339A"/>
    <w:lvl w:ilvl="0" w:tplc="E418206A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BC0B5C"/>
    <w:multiLevelType w:val="hybridMultilevel"/>
    <w:tmpl w:val="97447192"/>
    <w:lvl w:ilvl="0" w:tplc="7ECCD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84059930">
    <w:abstractNumId w:val="1"/>
  </w:num>
  <w:num w:numId="2" w16cid:durableId="1247618567">
    <w:abstractNumId w:val="0"/>
  </w:num>
  <w:num w:numId="3" w16cid:durableId="185534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65"/>
    <w:rsid w:val="00007FDB"/>
    <w:rsid w:val="0001236B"/>
    <w:rsid w:val="0003040E"/>
    <w:rsid w:val="000355D7"/>
    <w:rsid w:val="00052E3A"/>
    <w:rsid w:val="00070F67"/>
    <w:rsid w:val="00071914"/>
    <w:rsid w:val="000833D5"/>
    <w:rsid w:val="00093780"/>
    <w:rsid w:val="000C7249"/>
    <w:rsid w:val="000C7723"/>
    <w:rsid w:val="000E40B5"/>
    <w:rsid w:val="000F36B9"/>
    <w:rsid w:val="000F7CB2"/>
    <w:rsid w:val="00135FB7"/>
    <w:rsid w:val="00183C91"/>
    <w:rsid w:val="001B35F5"/>
    <w:rsid w:val="001B711D"/>
    <w:rsid w:val="001C6E25"/>
    <w:rsid w:val="001D7FD9"/>
    <w:rsid w:val="001E6E47"/>
    <w:rsid w:val="00223307"/>
    <w:rsid w:val="0022440A"/>
    <w:rsid w:val="002272E8"/>
    <w:rsid w:val="0023785B"/>
    <w:rsid w:val="00251C58"/>
    <w:rsid w:val="00252162"/>
    <w:rsid w:val="002745DA"/>
    <w:rsid w:val="002A1998"/>
    <w:rsid w:val="002B1734"/>
    <w:rsid w:val="002C495B"/>
    <w:rsid w:val="002D1257"/>
    <w:rsid w:val="002E3F50"/>
    <w:rsid w:val="002F0C65"/>
    <w:rsid w:val="00310F5C"/>
    <w:rsid w:val="00336BF7"/>
    <w:rsid w:val="00356913"/>
    <w:rsid w:val="00382995"/>
    <w:rsid w:val="003B0FCE"/>
    <w:rsid w:val="003C2962"/>
    <w:rsid w:val="003D08FE"/>
    <w:rsid w:val="003D60DC"/>
    <w:rsid w:val="003D6E18"/>
    <w:rsid w:val="003E3E73"/>
    <w:rsid w:val="003E4666"/>
    <w:rsid w:val="003E6F51"/>
    <w:rsid w:val="00404CCC"/>
    <w:rsid w:val="00405511"/>
    <w:rsid w:val="00415145"/>
    <w:rsid w:val="004241E4"/>
    <w:rsid w:val="004257AF"/>
    <w:rsid w:val="00430227"/>
    <w:rsid w:val="00436A44"/>
    <w:rsid w:val="00455C5B"/>
    <w:rsid w:val="004713A4"/>
    <w:rsid w:val="0047402D"/>
    <w:rsid w:val="004864C4"/>
    <w:rsid w:val="00493E18"/>
    <w:rsid w:val="004A09A2"/>
    <w:rsid w:val="004A677F"/>
    <w:rsid w:val="004B3E52"/>
    <w:rsid w:val="004E460C"/>
    <w:rsid w:val="004F2464"/>
    <w:rsid w:val="0050381D"/>
    <w:rsid w:val="00515361"/>
    <w:rsid w:val="00567341"/>
    <w:rsid w:val="005730C0"/>
    <w:rsid w:val="00581D1A"/>
    <w:rsid w:val="00583330"/>
    <w:rsid w:val="005A76CC"/>
    <w:rsid w:val="005B02F0"/>
    <w:rsid w:val="005C08CF"/>
    <w:rsid w:val="005F222A"/>
    <w:rsid w:val="00601D9F"/>
    <w:rsid w:val="00605E69"/>
    <w:rsid w:val="00617629"/>
    <w:rsid w:val="006416F9"/>
    <w:rsid w:val="00651CF3"/>
    <w:rsid w:val="0066288E"/>
    <w:rsid w:val="006657AE"/>
    <w:rsid w:val="00666197"/>
    <w:rsid w:val="00697160"/>
    <w:rsid w:val="006B36F1"/>
    <w:rsid w:val="006C3A44"/>
    <w:rsid w:val="006C56CA"/>
    <w:rsid w:val="006D4832"/>
    <w:rsid w:val="006E33CF"/>
    <w:rsid w:val="00711F94"/>
    <w:rsid w:val="00721325"/>
    <w:rsid w:val="00724455"/>
    <w:rsid w:val="007269B8"/>
    <w:rsid w:val="00731415"/>
    <w:rsid w:val="00731E69"/>
    <w:rsid w:val="007337B9"/>
    <w:rsid w:val="007342D9"/>
    <w:rsid w:val="00742435"/>
    <w:rsid w:val="00742861"/>
    <w:rsid w:val="0074790D"/>
    <w:rsid w:val="00751102"/>
    <w:rsid w:val="007A3D22"/>
    <w:rsid w:val="007A5FE5"/>
    <w:rsid w:val="007E797A"/>
    <w:rsid w:val="00824316"/>
    <w:rsid w:val="00827A0E"/>
    <w:rsid w:val="008357B4"/>
    <w:rsid w:val="008547D3"/>
    <w:rsid w:val="008622C2"/>
    <w:rsid w:val="008831EC"/>
    <w:rsid w:val="00886600"/>
    <w:rsid w:val="00895574"/>
    <w:rsid w:val="00897FAD"/>
    <w:rsid w:val="008C4109"/>
    <w:rsid w:val="008C55F1"/>
    <w:rsid w:val="008D0956"/>
    <w:rsid w:val="008D5D6D"/>
    <w:rsid w:val="008E0844"/>
    <w:rsid w:val="008E4370"/>
    <w:rsid w:val="008F16F0"/>
    <w:rsid w:val="00951BCF"/>
    <w:rsid w:val="0095362F"/>
    <w:rsid w:val="00954B14"/>
    <w:rsid w:val="00971703"/>
    <w:rsid w:val="0097279B"/>
    <w:rsid w:val="00976FAB"/>
    <w:rsid w:val="00981CFF"/>
    <w:rsid w:val="00983991"/>
    <w:rsid w:val="00984E0B"/>
    <w:rsid w:val="009877F1"/>
    <w:rsid w:val="00987E77"/>
    <w:rsid w:val="00991475"/>
    <w:rsid w:val="009B7B55"/>
    <w:rsid w:val="009C1039"/>
    <w:rsid w:val="009D0117"/>
    <w:rsid w:val="009D2F74"/>
    <w:rsid w:val="009D7D25"/>
    <w:rsid w:val="009E5C98"/>
    <w:rsid w:val="009F640C"/>
    <w:rsid w:val="00A047EC"/>
    <w:rsid w:val="00A1353D"/>
    <w:rsid w:val="00A168B5"/>
    <w:rsid w:val="00A35B1E"/>
    <w:rsid w:val="00A36A45"/>
    <w:rsid w:val="00A36AF6"/>
    <w:rsid w:val="00A4632F"/>
    <w:rsid w:val="00A53421"/>
    <w:rsid w:val="00A70EC6"/>
    <w:rsid w:val="00A76025"/>
    <w:rsid w:val="00A775F5"/>
    <w:rsid w:val="00A777D6"/>
    <w:rsid w:val="00A93A93"/>
    <w:rsid w:val="00AC0AD3"/>
    <w:rsid w:val="00AD4407"/>
    <w:rsid w:val="00B020ED"/>
    <w:rsid w:val="00B1677B"/>
    <w:rsid w:val="00B2042B"/>
    <w:rsid w:val="00B3151F"/>
    <w:rsid w:val="00B35D6A"/>
    <w:rsid w:val="00B375BE"/>
    <w:rsid w:val="00B4098F"/>
    <w:rsid w:val="00B622F7"/>
    <w:rsid w:val="00B64FE2"/>
    <w:rsid w:val="00BB00FC"/>
    <w:rsid w:val="00BC120D"/>
    <w:rsid w:val="00BC3A12"/>
    <w:rsid w:val="00BC76AB"/>
    <w:rsid w:val="00C10984"/>
    <w:rsid w:val="00C16F99"/>
    <w:rsid w:val="00C32B4D"/>
    <w:rsid w:val="00C460DE"/>
    <w:rsid w:val="00C5237F"/>
    <w:rsid w:val="00C57234"/>
    <w:rsid w:val="00C66826"/>
    <w:rsid w:val="00C73A72"/>
    <w:rsid w:val="00C9035A"/>
    <w:rsid w:val="00CB35BD"/>
    <w:rsid w:val="00CB50DD"/>
    <w:rsid w:val="00CC088F"/>
    <w:rsid w:val="00CC11B4"/>
    <w:rsid w:val="00CC5260"/>
    <w:rsid w:val="00CF7865"/>
    <w:rsid w:val="00D348D9"/>
    <w:rsid w:val="00D40E25"/>
    <w:rsid w:val="00D43438"/>
    <w:rsid w:val="00D624E3"/>
    <w:rsid w:val="00D90B4B"/>
    <w:rsid w:val="00D9237B"/>
    <w:rsid w:val="00DA04F4"/>
    <w:rsid w:val="00DA3A4B"/>
    <w:rsid w:val="00DB5DCA"/>
    <w:rsid w:val="00DF04C6"/>
    <w:rsid w:val="00DF15D4"/>
    <w:rsid w:val="00DF53B4"/>
    <w:rsid w:val="00E002B6"/>
    <w:rsid w:val="00E4213A"/>
    <w:rsid w:val="00E813A0"/>
    <w:rsid w:val="00E859F0"/>
    <w:rsid w:val="00E86AD9"/>
    <w:rsid w:val="00E94875"/>
    <w:rsid w:val="00ED0BE2"/>
    <w:rsid w:val="00F00566"/>
    <w:rsid w:val="00F33794"/>
    <w:rsid w:val="00F53E75"/>
    <w:rsid w:val="00F6512B"/>
    <w:rsid w:val="00FC3634"/>
    <w:rsid w:val="00FC4571"/>
    <w:rsid w:val="00FC617B"/>
    <w:rsid w:val="00FC7CB4"/>
    <w:rsid w:val="00FD25D1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A4181"/>
  <w15:chartTrackingRefBased/>
  <w15:docId w15:val="{16028D03-89F1-4B32-AE8B-06B0E57B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86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8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8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86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8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8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8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8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8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8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8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8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865"/>
    <w:rPr>
      <w:i/>
      <w:iCs/>
      <w:color w:val="404040" w:themeColor="text1" w:themeTint="BF"/>
    </w:rPr>
  </w:style>
  <w:style w:type="paragraph" w:styleId="a9">
    <w:name w:val="List Paragraph"/>
    <w:aliases w:val="#Listenabsatz,Bullet List,Bullet list,Bulletr List Paragraph,FooterText,List Paragraph11,List Paragraph2,List Paragraph21,Listeafsnit1,Listenabsatz1,Paragraphe de liste1,Parágrafo da Lista1,Párrafo de lista1,numbered,リスト段落1,列出段落1"/>
    <w:basedOn w:val="a"/>
    <w:link w:val="aa"/>
    <w:uiPriority w:val="99"/>
    <w:qFormat/>
    <w:rsid w:val="00CF786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F786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F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CF786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F7865"/>
    <w:rPr>
      <w:b/>
      <w:bCs/>
      <w:smallCaps/>
      <w:color w:val="0F4761" w:themeColor="accent1" w:themeShade="BF"/>
      <w:spacing w:val="5"/>
    </w:rPr>
  </w:style>
  <w:style w:type="paragraph" w:styleId="af">
    <w:name w:val="annotation text"/>
    <w:basedOn w:val="a"/>
    <w:link w:val="af0"/>
    <w:uiPriority w:val="99"/>
    <w:unhideWhenUsed/>
    <w:qFormat/>
    <w:rsid w:val="00CF7865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CF7865"/>
    <w:rPr>
      <w:rFonts w:ascii="Times New Roman" w:eastAsia="宋体" w:hAnsi="Times New Roman" w:cs="Times New Roman"/>
      <w:sz w:val="21"/>
      <w14:ligatures w14:val="none"/>
    </w:rPr>
  </w:style>
  <w:style w:type="numbering" w:customStyle="1" w:styleId="BMListNumbers">
    <w:name w:val="B&amp;M List Numbers"/>
    <w:uiPriority w:val="99"/>
    <w:rsid w:val="00CF7865"/>
    <w:pPr>
      <w:numPr>
        <w:numId w:val="1"/>
      </w:numPr>
    </w:pPr>
  </w:style>
  <w:style w:type="character" w:customStyle="1" w:styleId="aa">
    <w:name w:val="列表段落 字符"/>
    <w:aliases w:val="#Listenabsatz 字符,Bullet List 字符,Bullet list 字符,Bulletr List Paragraph 字符,FooterText 字符,List Paragraph11 字符,List Paragraph2 字符,List Paragraph21 字符,Listeafsnit1 字符,Listenabsatz1 字符,Paragraphe de liste1 字符,Parágrafo da Lista1 字符,numbered 字符"/>
    <w:link w:val="a9"/>
    <w:uiPriority w:val="99"/>
    <w:qFormat/>
    <w:rsid w:val="00CF7865"/>
  </w:style>
  <w:style w:type="character" w:styleId="af1">
    <w:name w:val="annotation reference"/>
    <w:basedOn w:val="a0"/>
    <w:rsid w:val="00CF7865"/>
    <w:rPr>
      <w:sz w:val="21"/>
      <w:szCs w:val="21"/>
    </w:rPr>
  </w:style>
  <w:style w:type="paragraph" w:styleId="af2">
    <w:name w:val="header"/>
    <w:basedOn w:val="a"/>
    <w:link w:val="af3"/>
    <w:uiPriority w:val="99"/>
    <w:unhideWhenUsed/>
    <w:rsid w:val="007A5F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7A5FE5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4">
    <w:name w:val="footer"/>
    <w:basedOn w:val="a"/>
    <w:link w:val="af5"/>
    <w:uiPriority w:val="99"/>
    <w:unhideWhenUsed/>
    <w:rsid w:val="007A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7A5FE5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6">
    <w:name w:val="Revision"/>
    <w:hidden/>
    <w:uiPriority w:val="99"/>
    <w:semiHidden/>
    <w:rsid w:val="007A5FE5"/>
    <w:pPr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452</Words>
  <Characters>549</Characters>
  <Application>Microsoft Office Word</Application>
  <DocSecurity>0</DocSecurity>
  <Lines>42</Lines>
  <Paragraphs>25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Fangda</dc:creator>
  <cp:keywords/>
  <dc:description/>
  <cp:lastModifiedBy>Fangda</cp:lastModifiedBy>
  <cp:revision>7</cp:revision>
  <dcterms:created xsi:type="dcterms:W3CDTF">2025-11-10T06:45:00Z</dcterms:created>
  <dcterms:modified xsi:type="dcterms:W3CDTF">2025-11-17T12:14:00Z</dcterms:modified>
</cp:coreProperties>
</file>