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outlineLvl w:val="0"/>
        <w:rPr>
          <w:rFonts w:ascii="仿宋_GB2312" w:hAnsi="Calibri" w:eastAsia="仿宋_GB2312" w:cs="Calibri"/>
          <w:sz w:val="28"/>
          <w:szCs w:val="28"/>
        </w:rPr>
      </w:pPr>
      <w:r>
        <w:rPr>
          <w:rFonts w:hint="eastAsia" w:ascii="仿宋_GB2312" w:hAnsi="Calibri" w:eastAsia="仿宋_GB2312" w:cs="Calibri"/>
          <w:sz w:val="28"/>
          <w:szCs w:val="28"/>
        </w:rPr>
        <w:t>编号：</w:t>
      </w:r>
      <w:r>
        <w:rPr>
          <w:rFonts w:ascii="仿宋_GB2312" w:hAnsi="Calibri" w:eastAsia="仿宋_GB2312" w:cs="Calibri"/>
          <w:sz w:val="28"/>
          <w:szCs w:val="28"/>
        </w:rPr>
        <w:t>SHSSXZJL400</w:t>
      </w:r>
      <w:r>
        <w:rPr>
          <w:rFonts w:hint="eastAsia" w:ascii="仿宋_GB2312" w:hAnsi="Calibri" w:eastAsia="仿宋_GB2312" w:cs="Calibri"/>
          <w:sz w:val="28"/>
          <w:szCs w:val="28"/>
        </w:rPr>
        <w:t>8</w:t>
      </w:r>
      <w:r>
        <w:rPr>
          <w:rFonts w:ascii="仿宋_GB2312" w:hAnsi="Calibri" w:eastAsia="仿宋_GB2312" w:cs="Calibri"/>
          <w:sz w:val="28"/>
          <w:szCs w:val="28"/>
        </w:rPr>
        <w:t>-2022</w:t>
      </w:r>
    </w:p>
    <w:p>
      <w:pPr>
        <w:snapToGrid w:val="0"/>
        <w:spacing w:line="360" w:lineRule="auto"/>
        <w:jc w:val="center"/>
        <w:outlineLvl w:val="0"/>
        <w:rPr>
          <w:rFonts w:ascii="黑体" w:hAnsi="黑体" w:eastAsia="黑体" w:cs="Calibri"/>
          <w:color w:val="000000"/>
          <w:sz w:val="32"/>
          <w:szCs w:val="32"/>
        </w:rPr>
      </w:pPr>
      <w:r>
        <w:rPr>
          <w:rFonts w:hint="eastAsia" w:ascii="黑体" w:hAnsi="黑体" w:eastAsia="黑体" w:cs="Calibri"/>
          <w:color w:val="000000"/>
          <w:sz w:val="32"/>
          <w:szCs w:val="32"/>
        </w:rPr>
        <w:t>上海市能效水效标识产品计量监督抽查实施细则</w:t>
      </w:r>
    </w:p>
    <w:p>
      <w:pPr>
        <w:snapToGrid w:val="0"/>
        <w:spacing w:line="360" w:lineRule="auto"/>
        <w:jc w:val="center"/>
        <w:outlineLvl w:val="0"/>
        <w:rPr>
          <w:rFonts w:ascii="楷体" w:hAnsi="楷体" w:eastAsia="楷体" w:cs="微软雅黑"/>
          <w:color w:val="000000"/>
          <w:sz w:val="32"/>
          <w:szCs w:val="32"/>
        </w:rPr>
      </w:pPr>
      <w:r>
        <w:rPr>
          <w:rFonts w:hint="eastAsia" w:ascii="楷体" w:hAnsi="楷体" w:eastAsia="楷体" w:cs="微软雅黑"/>
          <w:color w:val="000000"/>
          <w:sz w:val="32"/>
          <w:szCs w:val="32"/>
          <w:lang w:eastAsia="zh-CN"/>
        </w:rPr>
        <w:t>中小型</w:t>
      </w:r>
      <w:bookmarkStart w:id="0" w:name="_GoBack"/>
      <w:bookmarkEnd w:id="0"/>
      <w:r>
        <w:rPr>
          <w:rFonts w:hint="eastAsia" w:ascii="楷体" w:hAnsi="楷体" w:eastAsia="楷体" w:cs="微软雅黑"/>
          <w:color w:val="000000"/>
          <w:sz w:val="32"/>
          <w:szCs w:val="32"/>
        </w:rPr>
        <w:t>三相异步电动机</w:t>
      </w:r>
    </w:p>
    <w:p>
      <w:pPr>
        <w:snapToGrid w:val="0"/>
        <w:spacing w:line="440" w:lineRule="exact"/>
        <w:ind w:firstLine="359" w:firstLineChars="171"/>
        <w:rPr>
          <w:rFonts w:ascii="宋体"/>
          <w:color w:val="000000"/>
          <w:szCs w:val="21"/>
        </w:rPr>
      </w:pPr>
    </w:p>
    <w:p>
      <w:pPr>
        <w:snapToGrid w:val="0"/>
        <w:spacing w:line="440" w:lineRule="exact"/>
        <w:outlineLvl w:val="0"/>
        <w:rPr>
          <w:rFonts w:ascii="宋体"/>
          <w:color w:val="000000"/>
          <w:sz w:val="24"/>
          <w:szCs w:val="21"/>
        </w:rPr>
      </w:pPr>
      <w:r>
        <w:rPr>
          <w:rFonts w:ascii="黑体" w:hAnsi="宋体" w:eastAsia="黑体"/>
          <w:color w:val="000000"/>
          <w:sz w:val="24"/>
          <w:szCs w:val="21"/>
        </w:rPr>
        <w:t xml:space="preserve">1 </w:t>
      </w:r>
      <w:r>
        <w:rPr>
          <w:rFonts w:hint="eastAsia" w:ascii="黑体" w:hAnsi="宋体" w:eastAsia="黑体"/>
          <w:color w:val="000000"/>
          <w:sz w:val="24"/>
          <w:szCs w:val="21"/>
        </w:rPr>
        <w:t>抽样方法</w:t>
      </w:r>
    </w:p>
    <w:p>
      <w:pPr>
        <w:snapToGrid w:val="0"/>
        <w:spacing w:line="440" w:lineRule="exact"/>
        <w:ind w:firstLine="480" w:firstLineChars="200"/>
        <w:rPr>
          <w:rFonts w:ascii="宋体" w:cs="Calibri"/>
          <w:color w:val="000000"/>
          <w:sz w:val="24"/>
          <w:szCs w:val="21"/>
        </w:rPr>
      </w:pPr>
      <w:r>
        <w:rPr>
          <w:rFonts w:hint="eastAsia" w:ascii="宋体" w:hAnsi="宋体" w:cs="Calibri"/>
          <w:color w:val="000000"/>
          <w:sz w:val="24"/>
          <w:szCs w:val="21"/>
        </w:rPr>
        <w:t>以随机方式在被抽样生产者、销售者的待销产品中抽取样品。</w:t>
      </w:r>
    </w:p>
    <w:p>
      <w:pPr>
        <w:snapToGrid w:val="0"/>
        <w:spacing w:line="440" w:lineRule="exact"/>
        <w:ind w:firstLine="480" w:firstLineChars="200"/>
        <w:rPr>
          <w:rFonts w:ascii="宋体"/>
          <w:color w:val="000000"/>
          <w:sz w:val="24"/>
          <w:szCs w:val="21"/>
        </w:rPr>
      </w:pPr>
      <w:r>
        <w:rPr>
          <w:rFonts w:hint="eastAsia" w:ascii="宋体" w:hAnsi="宋体"/>
          <w:color w:val="000000"/>
          <w:sz w:val="24"/>
          <w:szCs w:val="21"/>
        </w:rPr>
        <w:t>每批次产品抽样数量为2台，其中1台作为检验样品，1台作为辅助样品。</w:t>
      </w:r>
    </w:p>
    <w:p>
      <w:pPr>
        <w:spacing w:line="460" w:lineRule="exact"/>
        <w:outlineLvl w:val="0"/>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snapToGrid w:val="0"/>
        <w:spacing w:line="440" w:lineRule="exact"/>
        <w:jc w:val="center"/>
        <w:outlineLvl w:val="0"/>
        <w:rPr>
          <w:rFonts w:ascii="宋体"/>
          <w:color w:val="000000"/>
          <w:sz w:val="24"/>
          <w:szCs w:val="21"/>
        </w:rPr>
      </w:pPr>
      <w:r>
        <w:rPr>
          <w:rFonts w:hint="eastAsia" w:ascii="宋体" w:hAnsi="宋体"/>
          <w:color w:val="000000"/>
          <w:sz w:val="24"/>
          <w:szCs w:val="21"/>
        </w:rPr>
        <w:t>表</w:t>
      </w:r>
      <w:r>
        <w:rPr>
          <w:rFonts w:ascii="宋体" w:hAnsi="宋体"/>
          <w:color w:val="000000"/>
          <w:sz w:val="24"/>
        </w:rPr>
        <w:t>1</w:t>
      </w:r>
      <w:r>
        <w:rPr>
          <w:rFonts w:hint="eastAsia" w:ascii="宋体" w:hAnsi="宋体"/>
          <w:color w:val="000000"/>
          <w:sz w:val="24"/>
        </w:rPr>
        <w:t>三相异步电动机产</w:t>
      </w:r>
      <w:r>
        <w:rPr>
          <w:rFonts w:hint="eastAsia" w:ascii="宋体" w:hAnsi="宋体"/>
          <w:color w:val="000000"/>
          <w:sz w:val="24"/>
          <w:szCs w:val="21"/>
        </w:rPr>
        <w:t>品检验项目</w:t>
      </w:r>
    </w:p>
    <w:tbl>
      <w:tblPr>
        <w:tblStyle w:val="5"/>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701"/>
        <w:gridCol w:w="2508"/>
        <w:gridCol w:w="217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vAlign w:val="center"/>
          </w:tcPr>
          <w:p>
            <w:pPr>
              <w:jc w:val="center"/>
              <w:rPr>
                <w:rFonts w:ascii="宋体" w:cs="Calibri"/>
                <w:color w:val="000000"/>
                <w:szCs w:val="21"/>
              </w:rPr>
            </w:pPr>
            <w:r>
              <w:rPr>
                <w:rFonts w:hint="eastAsia" w:ascii="宋体" w:hAnsi="宋体" w:cs="Calibri"/>
                <w:color w:val="000000"/>
                <w:szCs w:val="21"/>
              </w:rPr>
              <w:t>序号</w:t>
            </w:r>
          </w:p>
        </w:tc>
        <w:tc>
          <w:tcPr>
            <w:tcW w:w="1701" w:type="dxa"/>
            <w:vAlign w:val="center"/>
          </w:tcPr>
          <w:p>
            <w:pPr>
              <w:jc w:val="center"/>
              <w:rPr>
                <w:rFonts w:ascii="宋体" w:cs="Calibri"/>
                <w:color w:val="000000"/>
                <w:szCs w:val="21"/>
              </w:rPr>
            </w:pPr>
            <w:r>
              <w:rPr>
                <w:rFonts w:hint="eastAsia" w:ascii="宋体" w:hAnsi="宋体" w:cs="Calibri"/>
                <w:color w:val="000000"/>
                <w:szCs w:val="21"/>
              </w:rPr>
              <w:t>检验项目</w:t>
            </w:r>
          </w:p>
        </w:tc>
        <w:tc>
          <w:tcPr>
            <w:tcW w:w="2508" w:type="dxa"/>
            <w:vAlign w:val="center"/>
          </w:tcPr>
          <w:p>
            <w:pPr>
              <w:jc w:val="center"/>
              <w:rPr>
                <w:rFonts w:ascii="宋体" w:cs="Calibri"/>
                <w:color w:val="000000"/>
                <w:szCs w:val="21"/>
              </w:rPr>
            </w:pPr>
            <w:r>
              <w:rPr>
                <w:rFonts w:hint="eastAsia" w:ascii="宋体" w:hAnsi="宋体" w:cs="Calibri"/>
                <w:color w:val="000000"/>
                <w:szCs w:val="21"/>
              </w:rPr>
              <w:t>检验方法</w:t>
            </w:r>
          </w:p>
        </w:tc>
        <w:tc>
          <w:tcPr>
            <w:tcW w:w="2170" w:type="dxa"/>
            <w:vAlign w:val="center"/>
          </w:tcPr>
          <w:p>
            <w:pPr>
              <w:jc w:val="center"/>
              <w:rPr>
                <w:rFonts w:ascii="宋体" w:cs="Calibri"/>
                <w:color w:val="000000"/>
                <w:szCs w:val="21"/>
              </w:rPr>
            </w:pPr>
            <w:r>
              <w:rPr>
                <w:rFonts w:hint="eastAsia" w:ascii="宋体" w:hAnsi="宋体" w:cs="Calibri"/>
                <w:color w:val="000000"/>
                <w:szCs w:val="21"/>
              </w:rPr>
              <w:t>强制性质量要求</w:t>
            </w:r>
          </w:p>
        </w:tc>
        <w:tc>
          <w:tcPr>
            <w:tcW w:w="2126" w:type="dxa"/>
            <w:vAlign w:val="center"/>
          </w:tcPr>
          <w:p>
            <w:pPr>
              <w:jc w:val="center"/>
              <w:rPr>
                <w:rFonts w:asci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77" w:type="dxa"/>
            <w:vAlign w:val="center"/>
          </w:tcPr>
          <w:p>
            <w:pPr>
              <w:jc w:val="center"/>
              <w:rPr>
                <w:rFonts w:ascii="宋体" w:hAnsi="宋体" w:cs="Calibri"/>
                <w:color w:val="000000"/>
                <w:szCs w:val="21"/>
              </w:rPr>
            </w:pPr>
            <w:r>
              <w:rPr>
                <w:rFonts w:ascii="宋体" w:hAnsi="宋体" w:cs="Calibri"/>
                <w:color w:val="000000"/>
                <w:szCs w:val="21"/>
              </w:rPr>
              <w:t>1</w:t>
            </w:r>
          </w:p>
        </w:tc>
        <w:tc>
          <w:tcPr>
            <w:tcW w:w="1701" w:type="dxa"/>
            <w:vAlign w:val="center"/>
          </w:tcPr>
          <w:p>
            <w:pPr>
              <w:snapToGrid w:val="0"/>
              <w:spacing w:line="440" w:lineRule="exact"/>
              <w:jc w:val="center"/>
              <w:rPr>
                <w:rFonts w:ascii="宋体"/>
                <w:color w:val="000000"/>
                <w:szCs w:val="21"/>
              </w:rPr>
            </w:pPr>
            <w:r>
              <w:rPr>
                <w:rFonts w:hint="eastAsia" w:ascii="宋体"/>
                <w:color w:val="000000"/>
                <w:szCs w:val="21"/>
              </w:rPr>
              <w:t>效率</w:t>
            </w:r>
          </w:p>
        </w:tc>
        <w:tc>
          <w:tcPr>
            <w:tcW w:w="2508" w:type="dxa"/>
            <w:vAlign w:val="center"/>
          </w:tcPr>
          <w:p>
            <w:pPr>
              <w:snapToGrid w:val="0"/>
              <w:spacing w:line="440" w:lineRule="exact"/>
              <w:jc w:val="center"/>
              <w:rPr>
                <w:rFonts w:ascii="宋体" w:hAnsi="宋体"/>
                <w:color w:val="000000"/>
                <w:szCs w:val="21"/>
              </w:rPr>
            </w:pPr>
            <w:r>
              <w:rPr>
                <w:rFonts w:hint="eastAsia" w:ascii="宋体" w:hAnsi="宋体"/>
                <w:szCs w:val="21"/>
              </w:rPr>
              <w:t>GB/T1032-</w:t>
            </w:r>
            <w:r>
              <w:rPr>
                <w:rFonts w:ascii="宋体" w:hAnsi="宋体"/>
                <w:szCs w:val="21"/>
              </w:rPr>
              <w:t>2012</w:t>
            </w:r>
            <w:r>
              <w:rPr>
                <w:rFonts w:hint="eastAsia" w:ascii="宋体" w:hAnsi="宋体"/>
                <w:szCs w:val="21"/>
              </w:rPr>
              <w:t>/</w:t>
            </w:r>
            <w:r>
              <w:rPr>
                <w:rFonts w:ascii="宋体" w:hAnsi="宋体"/>
                <w:szCs w:val="21"/>
              </w:rPr>
              <w:t>11.3</w:t>
            </w:r>
          </w:p>
        </w:tc>
        <w:tc>
          <w:tcPr>
            <w:tcW w:w="2170" w:type="dxa"/>
            <w:vAlign w:val="center"/>
          </w:tcPr>
          <w:p>
            <w:pPr>
              <w:snapToGrid w:val="0"/>
              <w:spacing w:line="440" w:lineRule="exact"/>
              <w:jc w:val="center"/>
              <w:rPr>
                <w:rFonts w:ascii="宋体" w:hAnsi="宋体"/>
                <w:color w:val="000000"/>
                <w:szCs w:val="21"/>
              </w:rPr>
            </w:pPr>
            <w:r>
              <w:rPr>
                <w:rFonts w:hint="eastAsia" w:ascii="宋体" w:hAnsi="宋体"/>
                <w:szCs w:val="21"/>
              </w:rPr>
              <w:t>GB18613</w:t>
            </w:r>
            <w:r>
              <w:rPr>
                <w:rFonts w:ascii="宋体" w:hAnsi="宋体"/>
                <w:szCs w:val="21"/>
              </w:rPr>
              <w:t>-2020/4</w:t>
            </w:r>
          </w:p>
        </w:tc>
        <w:tc>
          <w:tcPr>
            <w:tcW w:w="2126" w:type="dxa"/>
            <w:vAlign w:val="center"/>
          </w:tcPr>
          <w:p>
            <w:pPr>
              <w:jc w:val="center"/>
              <w:rPr>
                <w:rFonts w:ascii="宋体" w:hAnsi="宋体"/>
                <w:color w:val="000000"/>
                <w:szCs w:val="21"/>
              </w:rPr>
            </w:pPr>
            <w:r>
              <w:rPr>
                <w:rFonts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vAlign w:val="center"/>
          </w:tcPr>
          <w:p>
            <w:pPr>
              <w:jc w:val="center"/>
              <w:rPr>
                <w:rFonts w:ascii="宋体" w:cs="Calibri"/>
                <w:color w:val="000000"/>
                <w:szCs w:val="21"/>
              </w:rPr>
            </w:pPr>
            <w:r>
              <w:rPr>
                <w:rFonts w:ascii="宋体" w:hAnsi="宋体" w:cs="Calibri"/>
                <w:color w:val="000000"/>
                <w:szCs w:val="21"/>
              </w:rPr>
              <w:t>2</w:t>
            </w:r>
          </w:p>
        </w:tc>
        <w:tc>
          <w:tcPr>
            <w:tcW w:w="1701" w:type="dxa"/>
            <w:vAlign w:val="center"/>
          </w:tcPr>
          <w:p>
            <w:pPr>
              <w:snapToGrid w:val="0"/>
              <w:spacing w:line="440" w:lineRule="exact"/>
              <w:jc w:val="center"/>
              <w:rPr>
                <w:rFonts w:ascii="宋体"/>
                <w:color w:val="000000"/>
                <w:szCs w:val="21"/>
              </w:rPr>
            </w:pPr>
            <w:r>
              <w:rPr>
                <w:rFonts w:hint="eastAsia" w:ascii="宋体" w:hAnsi="宋体"/>
                <w:color w:val="000000"/>
                <w:szCs w:val="21"/>
              </w:rPr>
              <w:t>能源效率标识符合性</w:t>
            </w:r>
          </w:p>
        </w:tc>
        <w:tc>
          <w:tcPr>
            <w:tcW w:w="2508" w:type="dxa"/>
            <w:vAlign w:val="center"/>
          </w:tcPr>
          <w:p>
            <w:pPr>
              <w:snapToGrid w:val="0"/>
              <w:spacing w:line="440" w:lineRule="exact"/>
              <w:jc w:val="center"/>
              <w:rPr>
                <w:rFonts w:ascii="宋体"/>
                <w:color w:val="000000"/>
                <w:szCs w:val="21"/>
              </w:rPr>
            </w:pPr>
            <w:r>
              <w:rPr>
                <w:rFonts w:hint="eastAsia" w:ascii="宋体" w:hAnsi="宋体"/>
                <w:color w:val="000000"/>
                <w:szCs w:val="21"/>
              </w:rPr>
              <w:t>视检</w:t>
            </w:r>
          </w:p>
        </w:tc>
        <w:tc>
          <w:tcPr>
            <w:tcW w:w="2170" w:type="dxa"/>
            <w:vAlign w:val="center"/>
          </w:tcPr>
          <w:p>
            <w:pPr>
              <w:snapToGrid w:val="0"/>
              <w:spacing w:line="440" w:lineRule="exact"/>
              <w:jc w:val="center"/>
            </w:pPr>
            <w:r>
              <w:rPr>
                <w:rFonts w:hint="eastAsia"/>
              </w:rPr>
              <w:t>能源效率标识管理办法</w:t>
            </w:r>
            <w:r>
              <w:t>/</w:t>
            </w:r>
            <w:r>
              <w:rPr>
                <w:rFonts w:hint="eastAsia"/>
              </w:rPr>
              <w:t>第二章</w:t>
            </w:r>
            <w:r>
              <w:rPr>
                <w:rFonts w:hint="eastAsia" w:ascii="宋体" w:hAnsi="宋体" w:cs="Calibri"/>
                <w:szCs w:val="21"/>
              </w:rPr>
              <w:t>的第六条、第七条</w:t>
            </w:r>
            <w:r>
              <w:rPr>
                <w:rFonts w:hint="eastAsia"/>
              </w:rPr>
              <w:t>；</w:t>
            </w:r>
          </w:p>
          <w:p>
            <w:pPr>
              <w:snapToGrid w:val="0"/>
              <w:spacing w:line="440" w:lineRule="exact"/>
              <w:jc w:val="center"/>
              <w:rPr>
                <w:rFonts w:ascii="宋体"/>
                <w:color w:val="000000"/>
                <w:szCs w:val="21"/>
              </w:rPr>
            </w:pPr>
            <w:r>
              <w:rPr>
                <w:rFonts w:ascii="宋体" w:hAnsi="宋体"/>
                <w:szCs w:val="21"/>
              </w:rPr>
              <w:t>CEL 007-2021</w:t>
            </w:r>
            <w:r>
              <w:rPr>
                <w:rFonts w:hint="eastAsia" w:ascii="宋体" w:hAnsi="宋体"/>
                <w:szCs w:val="21"/>
              </w:rPr>
              <w:t>中小型三相异步电动机能源效率标识实施规则/</w:t>
            </w:r>
            <w:r>
              <w:rPr>
                <w:rFonts w:ascii="宋体" w:hAnsi="宋体"/>
                <w:szCs w:val="21"/>
              </w:rPr>
              <w:t>2.2</w:t>
            </w:r>
            <w:r>
              <w:rPr>
                <w:rFonts w:hint="eastAsia" w:ascii="宋体" w:hAnsi="宋体"/>
                <w:szCs w:val="21"/>
              </w:rPr>
              <w:t>、</w:t>
            </w:r>
            <w:r>
              <w:rPr>
                <w:rFonts w:ascii="宋体" w:hAnsi="宋体"/>
                <w:szCs w:val="21"/>
              </w:rPr>
              <w:t>4.2</w:t>
            </w:r>
            <w:r>
              <w:rPr>
                <w:rFonts w:hint="eastAsia" w:ascii="宋体" w:hAnsi="宋体"/>
                <w:szCs w:val="21"/>
              </w:rPr>
              <w:t>、</w:t>
            </w:r>
            <w:r>
              <w:rPr>
                <w:rFonts w:ascii="宋体" w:hAnsi="宋体"/>
                <w:szCs w:val="21"/>
              </w:rPr>
              <w:t>4.3</w:t>
            </w:r>
            <w:r>
              <w:rPr>
                <w:rFonts w:hint="eastAsia" w:ascii="宋体" w:hAnsi="宋体"/>
                <w:szCs w:val="21"/>
              </w:rPr>
              <w:t>、</w:t>
            </w:r>
            <w:r>
              <w:rPr>
                <w:rFonts w:ascii="宋体" w:hAnsi="宋体"/>
                <w:szCs w:val="21"/>
              </w:rPr>
              <w:t>5.1</w:t>
            </w:r>
            <w:r>
              <w:rPr>
                <w:rFonts w:hint="eastAsia" w:ascii="宋体" w:hAnsi="宋体"/>
                <w:szCs w:val="21"/>
              </w:rPr>
              <w:t>、</w:t>
            </w:r>
            <w:r>
              <w:rPr>
                <w:rFonts w:ascii="宋体" w:hAnsi="宋体"/>
                <w:szCs w:val="21"/>
              </w:rPr>
              <w:t>5.4</w:t>
            </w:r>
            <w:r>
              <w:rPr>
                <w:rFonts w:hint="eastAsia" w:ascii="宋体" w:hAnsi="宋体"/>
                <w:szCs w:val="21"/>
              </w:rPr>
              <w:t>、6</w:t>
            </w:r>
            <w:r>
              <w:rPr>
                <w:rFonts w:ascii="宋体" w:hAnsi="宋体"/>
                <w:szCs w:val="21"/>
              </w:rPr>
              <w:t>.1</w:t>
            </w:r>
          </w:p>
        </w:tc>
        <w:tc>
          <w:tcPr>
            <w:tcW w:w="2126" w:type="dxa"/>
            <w:vAlign w:val="center"/>
          </w:tcPr>
          <w:p>
            <w:pPr>
              <w:snapToGrid w:val="0"/>
              <w:spacing w:line="440" w:lineRule="exact"/>
              <w:jc w:val="center"/>
              <w:rPr>
                <w:rFonts w:ascii="宋体"/>
                <w:color w:val="000000"/>
                <w:szCs w:val="21"/>
              </w:rPr>
            </w:pPr>
            <w:r>
              <w:rPr>
                <w:rFonts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8" w:hRule="atLeast"/>
        </w:trPr>
        <w:tc>
          <w:tcPr>
            <w:tcW w:w="1277" w:type="dxa"/>
            <w:vAlign w:val="center"/>
          </w:tcPr>
          <w:p>
            <w:pPr>
              <w:jc w:val="center"/>
              <w:rPr>
                <w:rFonts w:ascii="宋体" w:cs="Calibri"/>
                <w:color w:val="000000"/>
                <w:szCs w:val="21"/>
              </w:rPr>
            </w:pPr>
            <w:r>
              <w:rPr>
                <w:rFonts w:hint="eastAsia" w:ascii="宋体" w:hAnsi="宋体" w:cs="Calibri"/>
                <w:color w:val="000000"/>
                <w:szCs w:val="21"/>
              </w:rPr>
              <w:t>说明</w:t>
            </w:r>
          </w:p>
        </w:tc>
        <w:tc>
          <w:tcPr>
            <w:tcW w:w="8505" w:type="dxa"/>
            <w:gridSpan w:val="4"/>
            <w:vAlign w:val="center"/>
          </w:tcPr>
          <w:p>
            <w:pPr>
              <w:ind w:firstLine="420" w:firstLineChars="200"/>
              <w:jc w:val="left"/>
              <w:rPr>
                <w:rFonts w:ascii="宋体" w:cs="Calibri"/>
                <w:color w:val="000000"/>
                <w:szCs w:val="21"/>
              </w:rPr>
            </w:pPr>
            <w:r>
              <w:rPr>
                <w:rFonts w:ascii="宋体" w:hAnsi="宋体" w:cs="Calibri"/>
                <w:color w:val="000000"/>
                <w:szCs w:val="21"/>
              </w:rPr>
              <w:t>1.</w:t>
            </w:r>
            <w:r>
              <w:rPr>
                <w:rFonts w:hint="eastAsia" w:ascii="宋体" w:hAnsi="宋体"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jc w:val="left"/>
              <w:rPr>
                <w:rFonts w:ascii="宋体" w:cs="Calibri"/>
                <w:color w:val="000000"/>
                <w:szCs w:val="21"/>
              </w:rPr>
            </w:pPr>
            <w:r>
              <w:rPr>
                <w:rFonts w:ascii="宋体" w:hAnsi="宋体" w:cs="Calibri"/>
                <w:color w:val="000000"/>
                <w:szCs w:val="21"/>
              </w:rPr>
              <w:t>2.</w:t>
            </w:r>
            <w:r>
              <w:rPr>
                <w:rFonts w:hint="eastAsia" w:ascii="宋体" w:hAnsi="宋体" w:cs="Calibri"/>
                <w:color w:val="000000"/>
                <w:szCs w:val="21"/>
              </w:rPr>
              <w:t>凡是注日期的文件，其随后所有的修改单（不包括勘误的内容）或修订版不适用于本细则。凡是不注日期的文件，其最新版本适用于本细则。</w:t>
            </w:r>
          </w:p>
          <w:p>
            <w:pPr>
              <w:ind w:firstLine="420" w:firstLineChars="200"/>
              <w:jc w:val="left"/>
              <w:rPr>
                <w:rFonts w:ascii="宋体" w:hAnsi="宋体" w:cs="Calibri"/>
                <w:color w:val="000000"/>
                <w:szCs w:val="21"/>
              </w:rPr>
            </w:pPr>
            <w:r>
              <w:rPr>
                <w:rFonts w:hint="eastAsia" w:ascii="宋体" w:hAnsi="宋体" w:cs="Calibri"/>
                <w:szCs w:val="21"/>
              </w:rPr>
              <w:t>3.</w:t>
            </w:r>
            <w:r>
              <w:rPr>
                <w:rFonts w:hint="eastAsia" w:ascii="宋体" w:hAnsi="宋体" w:cs="Calibri"/>
                <w:color w:val="000000"/>
                <w:szCs w:val="21"/>
              </w:rPr>
              <w:t>测试效率需进行直流电阻测定、热试验、负载特性试验、空载特性试验。</w:t>
            </w:r>
          </w:p>
          <w:p>
            <w:pPr>
              <w:ind w:firstLine="420" w:firstLineChars="200"/>
              <w:jc w:val="left"/>
              <w:rPr>
                <w:rFonts w:ascii="宋体" w:hAnsi="宋体" w:cs="Calibri"/>
                <w:szCs w:val="21"/>
              </w:rPr>
            </w:pPr>
            <w:r>
              <w:rPr>
                <w:rFonts w:hint="eastAsia"/>
              </w:rPr>
              <w:t>4</w:t>
            </w:r>
            <w:r>
              <w:t>.</w:t>
            </w:r>
            <w:r>
              <w:rPr>
                <w:rFonts w:hint="eastAsia"/>
              </w:rPr>
              <w:t>效率为强制性质量要求，当效率达不到能源效率标识标注的能效等级值和效率时（以更严格的为准），该项目视为不合格；能源效率标识未张贴或未明示能效等级值和效率时，效率按照3级指标考核。</w:t>
            </w:r>
          </w:p>
        </w:tc>
      </w:tr>
    </w:tbl>
    <w:p>
      <w:pPr>
        <w:spacing w:line="460" w:lineRule="exact"/>
        <w:rPr>
          <w:rFonts w:ascii="黑体" w:hAnsi="黑体" w:eastAsia="黑体" w:cs="Calibri"/>
          <w:color w:val="000000"/>
          <w:sz w:val="24"/>
        </w:rPr>
      </w:pPr>
    </w:p>
    <w:p>
      <w:pPr>
        <w:spacing w:line="460" w:lineRule="exact"/>
        <w:rPr>
          <w:rFonts w:ascii="宋体" w:cs="Calibri"/>
          <w:color w:val="000000"/>
          <w:sz w:val="24"/>
        </w:rPr>
      </w:pPr>
      <w:r>
        <w:rPr>
          <w:rFonts w:ascii="黑体" w:hAnsi="黑体" w:eastAsia="黑体" w:cs="Calibri"/>
          <w:color w:val="000000"/>
          <w:sz w:val="24"/>
        </w:rPr>
        <w:t>3</w:t>
      </w:r>
      <w:r>
        <w:rPr>
          <w:rFonts w:hint="eastAsia" w:ascii="黑体" w:hAnsi="黑体" w:eastAsia="黑体" w:cs="Calibri"/>
          <w:color w:val="000000"/>
          <w:sz w:val="24"/>
        </w:rPr>
        <w:t>检验结果判定</w:t>
      </w:r>
    </w:p>
    <w:p>
      <w:pPr>
        <w:snapToGrid w:val="0"/>
        <w:spacing w:line="460" w:lineRule="exact"/>
        <w:outlineLvl w:val="0"/>
        <w:rPr>
          <w:rFonts w:ascii="宋体" w:cs="Calibri"/>
          <w:color w:val="000000"/>
          <w:sz w:val="24"/>
        </w:rPr>
      </w:pPr>
      <w:r>
        <w:rPr>
          <w:rFonts w:ascii="宋体" w:hAnsi="宋体" w:cs="Calibri"/>
          <w:color w:val="000000"/>
          <w:sz w:val="24"/>
        </w:rPr>
        <w:t>3.1</w:t>
      </w:r>
      <w:r>
        <w:rPr>
          <w:rFonts w:hint="eastAsia" w:ascii="宋体" w:hAnsi="宋体" w:cs="Calibri"/>
          <w:color w:val="000000"/>
          <w:sz w:val="24"/>
        </w:rPr>
        <w:t>判定规则</w:t>
      </w:r>
    </w:p>
    <w:p>
      <w:pPr>
        <w:snapToGrid w:val="0"/>
        <w:spacing w:line="460" w:lineRule="exact"/>
        <w:rPr>
          <w:rFonts w:ascii="宋体" w:cs="Calibri"/>
          <w:color w:val="000000"/>
          <w:sz w:val="24"/>
        </w:rPr>
      </w:pPr>
      <w:r>
        <w:rPr>
          <w:rFonts w:ascii="宋体" w:hAnsi="宋体" w:cs="Calibri"/>
          <w:color w:val="000000"/>
          <w:sz w:val="24"/>
        </w:rPr>
        <w:t xml:space="preserve">3.1.1 </w:t>
      </w:r>
      <w:r>
        <w:rPr>
          <w:rFonts w:hint="eastAsia" w:ascii="宋体" w:hAnsi="宋体" w:cs="Calibri"/>
          <w:color w:val="000000"/>
          <w:sz w:val="24"/>
        </w:rPr>
        <w:t>若被抽查产品明示质量状况高于本细则中检验项目对应的质量要求时，按照被抽查产品明示的质量要求判定。</w:t>
      </w:r>
    </w:p>
    <w:p>
      <w:pPr>
        <w:snapToGrid w:val="0"/>
        <w:spacing w:line="460" w:lineRule="exact"/>
        <w:rPr>
          <w:rFonts w:ascii="宋体" w:cs="Calibri"/>
          <w:color w:val="000000"/>
          <w:sz w:val="24"/>
        </w:rPr>
      </w:pPr>
      <w:r>
        <w:rPr>
          <w:rFonts w:ascii="宋体" w:hAnsi="宋体" w:cs="Calibri"/>
          <w:color w:val="000000"/>
          <w:sz w:val="24"/>
        </w:rPr>
        <w:t>3.1.2</w:t>
      </w:r>
      <w:r>
        <w:rPr>
          <w:rFonts w:hint="eastAsia" w:ascii="宋体" w:hAnsi="宋体" w:cs="Calibri"/>
          <w:color w:val="000000"/>
          <w:sz w:val="24"/>
        </w:rPr>
        <w:t>若被抽查产品明示质量状况缺少、低于或包含本细则中检验项目对应的强制性质量要求时，按照强制性质量要求判定。</w:t>
      </w:r>
    </w:p>
    <w:p>
      <w:pPr>
        <w:snapToGrid w:val="0"/>
        <w:spacing w:line="460" w:lineRule="exact"/>
        <w:rPr>
          <w:rFonts w:ascii="宋体" w:cs="Calibri"/>
          <w:color w:val="000000"/>
          <w:sz w:val="24"/>
        </w:rPr>
      </w:pPr>
      <w:r>
        <w:rPr>
          <w:rFonts w:ascii="宋体" w:hAnsi="宋体" w:cs="Calibri"/>
          <w:color w:val="000000"/>
          <w:sz w:val="24"/>
        </w:rPr>
        <w:t>3.1.3</w:t>
      </w:r>
      <w:r>
        <w:rPr>
          <w:rFonts w:hint="eastAsia" w:ascii="宋体" w:hAnsi="宋体" w:cs="Calibri"/>
          <w:color w:val="000000"/>
          <w:sz w:val="24"/>
        </w:rPr>
        <w:t>若被抽查产品明示质量状况低于或包含本细则中检验项目对应的推荐性质量要求时，按照被抽查产品明示的质量要求判定。</w:t>
      </w:r>
    </w:p>
    <w:p>
      <w:pPr>
        <w:snapToGrid w:val="0"/>
        <w:spacing w:line="460" w:lineRule="exact"/>
        <w:rPr>
          <w:rFonts w:ascii="宋体" w:cs="Calibri"/>
          <w:color w:val="000000"/>
          <w:sz w:val="24"/>
        </w:rPr>
      </w:pPr>
      <w:r>
        <w:rPr>
          <w:rFonts w:ascii="宋体" w:hAnsi="宋体" w:cs="Calibri"/>
          <w:color w:val="000000"/>
          <w:sz w:val="24"/>
        </w:rPr>
        <w:t>3.1.4</w:t>
      </w:r>
      <w:r>
        <w:rPr>
          <w:rFonts w:hint="eastAsia" w:ascii="宋体" w:hAnsi="宋体" w:cs="Calibri"/>
          <w:color w:val="000000"/>
          <w:sz w:val="24"/>
        </w:rPr>
        <w:t>若被抽查产品明示质量状况缺少本细则中检验项目对应的推荐性标准要求时，该项目不参与判定。</w:t>
      </w:r>
    </w:p>
    <w:p>
      <w:pPr>
        <w:snapToGrid w:val="0"/>
        <w:spacing w:line="460" w:lineRule="exact"/>
        <w:outlineLvl w:val="0"/>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hint="eastAsia" w:ascii="宋体" w:hAnsi="宋体" w:cs="Calibri"/>
          <w:color w:val="000000"/>
          <w:sz w:val="24"/>
        </w:rPr>
        <w:t>结果判定</w:t>
      </w:r>
    </w:p>
    <w:p>
      <w:pPr>
        <w:snapToGrid w:val="0"/>
        <w:spacing w:line="460" w:lineRule="exact"/>
        <w:rPr>
          <w:rFonts w:ascii="宋体" w:cs="Calibri"/>
          <w:color w:val="000000"/>
          <w:sz w:val="24"/>
        </w:rPr>
      </w:pPr>
      <w:r>
        <w:rPr>
          <w:rFonts w:ascii="宋体" w:hAnsi="宋体" w:cs="Calibri"/>
          <w:color w:val="000000"/>
          <w:sz w:val="24"/>
        </w:rPr>
        <w:t>3.2.1</w:t>
      </w:r>
      <w:r>
        <w:rPr>
          <w:rFonts w:hint="eastAsia" w:ascii="宋体" w:hAnsi="宋体" w:cs="Calibri"/>
          <w:color w:val="000000"/>
          <w:sz w:val="24"/>
        </w:rPr>
        <w:t>参与判定的检验项目中任一项或一项以上不符合对应的质量要求，判定为被抽查产品不合格。</w:t>
      </w:r>
    </w:p>
    <w:p>
      <w:pPr>
        <w:snapToGrid w:val="0"/>
        <w:spacing w:line="440" w:lineRule="exact"/>
        <w:rPr>
          <w:rFonts w:ascii="宋体"/>
          <w:color w:val="FF0000"/>
          <w:sz w:val="24"/>
        </w:rPr>
      </w:pPr>
      <w:r>
        <w:rPr>
          <w:rFonts w:ascii="宋体" w:hAnsi="宋体" w:cs="Calibri"/>
          <w:color w:val="000000"/>
          <w:sz w:val="24"/>
        </w:rPr>
        <w:t>3.2.2</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adjustLineHeightInTable/>
    <w:useFELayout/>
    <w:compatSetting w:name="compatibilityMode" w:uri="http://schemas.microsoft.com/office/word" w:val="12"/>
  </w:compat>
  <w:rsids>
    <w:rsidRoot w:val="00B525EF"/>
    <w:rsid w:val="000045C4"/>
    <w:rsid w:val="0001493C"/>
    <w:rsid w:val="000335AC"/>
    <w:rsid w:val="00052216"/>
    <w:rsid w:val="00061F3C"/>
    <w:rsid w:val="0006342A"/>
    <w:rsid w:val="00074373"/>
    <w:rsid w:val="000802A1"/>
    <w:rsid w:val="000827A6"/>
    <w:rsid w:val="000B2D0E"/>
    <w:rsid w:val="000C5FB2"/>
    <w:rsid w:val="000F3B94"/>
    <w:rsid w:val="00100AE3"/>
    <w:rsid w:val="0012655C"/>
    <w:rsid w:val="00172AE7"/>
    <w:rsid w:val="001A1209"/>
    <w:rsid w:val="001A36E5"/>
    <w:rsid w:val="001B2093"/>
    <w:rsid w:val="001B23F2"/>
    <w:rsid w:val="001E0942"/>
    <w:rsid w:val="001E1D5F"/>
    <w:rsid w:val="001F748F"/>
    <w:rsid w:val="002432A9"/>
    <w:rsid w:val="0025799D"/>
    <w:rsid w:val="00287C7A"/>
    <w:rsid w:val="002B5BAA"/>
    <w:rsid w:val="002C3CDA"/>
    <w:rsid w:val="00372F24"/>
    <w:rsid w:val="003A4E56"/>
    <w:rsid w:val="003F6315"/>
    <w:rsid w:val="004471E8"/>
    <w:rsid w:val="00474325"/>
    <w:rsid w:val="0047527C"/>
    <w:rsid w:val="004754B8"/>
    <w:rsid w:val="00481AD7"/>
    <w:rsid w:val="00494F44"/>
    <w:rsid w:val="004B598F"/>
    <w:rsid w:val="00503DFA"/>
    <w:rsid w:val="00504404"/>
    <w:rsid w:val="00516DB8"/>
    <w:rsid w:val="00520B15"/>
    <w:rsid w:val="00522A8A"/>
    <w:rsid w:val="00532B56"/>
    <w:rsid w:val="00536C05"/>
    <w:rsid w:val="00545330"/>
    <w:rsid w:val="0057050B"/>
    <w:rsid w:val="005B0A4F"/>
    <w:rsid w:val="005C5EA1"/>
    <w:rsid w:val="006053C8"/>
    <w:rsid w:val="006142B3"/>
    <w:rsid w:val="00621FC0"/>
    <w:rsid w:val="0063307B"/>
    <w:rsid w:val="00634372"/>
    <w:rsid w:val="00637CB0"/>
    <w:rsid w:val="00640C75"/>
    <w:rsid w:val="006864C2"/>
    <w:rsid w:val="00730C62"/>
    <w:rsid w:val="00776E65"/>
    <w:rsid w:val="007869C0"/>
    <w:rsid w:val="007A0699"/>
    <w:rsid w:val="007A7638"/>
    <w:rsid w:val="007B18E7"/>
    <w:rsid w:val="007B2AF8"/>
    <w:rsid w:val="007C5CB0"/>
    <w:rsid w:val="007D6922"/>
    <w:rsid w:val="007E60B1"/>
    <w:rsid w:val="007F3434"/>
    <w:rsid w:val="00803E73"/>
    <w:rsid w:val="00830F86"/>
    <w:rsid w:val="008350B1"/>
    <w:rsid w:val="008443AD"/>
    <w:rsid w:val="00850896"/>
    <w:rsid w:val="00855DAB"/>
    <w:rsid w:val="008914CE"/>
    <w:rsid w:val="008C08DD"/>
    <w:rsid w:val="008D7451"/>
    <w:rsid w:val="008F11EB"/>
    <w:rsid w:val="008F7D99"/>
    <w:rsid w:val="009074D8"/>
    <w:rsid w:val="00912469"/>
    <w:rsid w:val="0092583E"/>
    <w:rsid w:val="0093348D"/>
    <w:rsid w:val="00941F49"/>
    <w:rsid w:val="00971925"/>
    <w:rsid w:val="009841F1"/>
    <w:rsid w:val="009844E8"/>
    <w:rsid w:val="00A34D94"/>
    <w:rsid w:val="00A5676E"/>
    <w:rsid w:val="00A656CB"/>
    <w:rsid w:val="00AA667E"/>
    <w:rsid w:val="00AB0483"/>
    <w:rsid w:val="00AC0658"/>
    <w:rsid w:val="00AF107E"/>
    <w:rsid w:val="00B001DE"/>
    <w:rsid w:val="00B04FC5"/>
    <w:rsid w:val="00B33E7F"/>
    <w:rsid w:val="00B525EF"/>
    <w:rsid w:val="00B6518C"/>
    <w:rsid w:val="00B71D10"/>
    <w:rsid w:val="00B73E5B"/>
    <w:rsid w:val="00BB4F4B"/>
    <w:rsid w:val="00BC33BF"/>
    <w:rsid w:val="00BC38A4"/>
    <w:rsid w:val="00BC3BDC"/>
    <w:rsid w:val="00BD74F7"/>
    <w:rsid w:val="00C16AF4"/>
    <w:rsid w:val="00C20B0D"/>
    <w:rsid w:val="00C23101"/>
    <w:rsid w:val="00C50453"/>
    <w:rsid w:val="00C53409"/>
    <w:rsid w:val="00CB7284"/>
    <w:rsid w:val="00CC7DFB"/>
    <w:rsid w:val="00CD0836"/>
    <w:rsid w:val="00CF096B"/>
    <w:rsid w:val="00D268ED"/>
    <w:rsid w:val="00D51484"/>
    <w:rsid w:val="00D541D1"/>
    <w:rsid w:val="00D913BE"/>
    <w:rsid w:val="00DE0DE3"/>
    <w:rsid w:val="00DE2355"/>
    <w:rsid w:val="00E373AD"/>
    <w:rsid w:val="00E56073"/>
    <w:rsid w:val="00E6220A"/>
    <w:rsid w:val="00E96045"/>
    <w:rsid w:val="00ED4C88"/>
    <w:rsid w:val="00F00969"/>
    <w:rsid w:val="00F02810"/>
    <w:rsid w:val="00F1679A"/>
    <w:rsid w:val="00F24743"/>
    <w:rsid w:val="00F332CA"/>
    <w:rsid w:val="00F37C6C"/>
    <w:rsid w:val="00F56B6B"/>
    <w:rsid w:val="00F57ACD"/>
    <w:rsid w:val="00F8540C"/>
    <w:rsid w:val="00FA0F4B"/>
    <w:rsid w:val="00FE007E"/>
    <w:rsid w:val="24947968"/>
    <w:rsid w:val="72F239C7"/>
    <w:rsid w:val="9D3F44C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character" w:customStyle="1" w:styleId="8">
    <w:name w:val="批注框文本 Char"/>
    <w:link w:val="2"/>
    <w:semiHidden/>
    <w:qFormat/>
    <w:locked/>
    <w:uiPriority w:val="99"/>
    <w:rPr>
      <w:rFonts w:cs="Times New Roman"/>
      <w:kern w:val="2"/>
      <w:sz w:val="18"/>
      <w:szCs w:val="18"/>
    </w:rPr>
  </w:style>
  <w:style w:type="character" w:customStyle="1" w:styleId="9">
    <w:name w:val="页脚 Char"/>
    <w:link w:val="3"/>
    <w:qFormat/>
    <w:locked/>
    <w:uiPriority w:val="99"/>
    <w:rPr>
      <w:rFonts w:cs="Times New Roman"/>
      <w:kern w:val="2"/>
      <w:sz w:val="18"/>
      <w:szCs w:val="18"/>
    </w:rPr>
  </w:style>
  <w:style w:type="character" w:customStyle="1" w:styleId="10">
    <w:name w:val="页眉 Char"/>
    <w:link w:val="4"/>
    <w:semiHidden/>
    <w:qFormat/>
    <w:locked/>
    <w:uiPriority w:val="99"/>
    <w:rPr>
      <w:rFonts w:cs="Times New Roman"/>
      <w:kern w:val="2"/>
      <w:sz w:val="18"/>
      <w:szCs w:val="18"/>
    </w:rPr>
  </w:style>
  <w:style w:type="paragraph" w:customStyle="1" w:styleId="11">
    <w:name w:val="列出段落1"/>
    <w:basedOn w:val="1"/>
    <w:qFormat/>
    <w:uiPriority w:val="99"/>
    <w:pPr>
      <w:ind w:firstLine="420" w:firstLineChars="200"/>
    </w:pPr>
    <w:rPr>
      <w:rFonts w:ascii="Calibri" w:hAnsi="Calibri"/>
      <w:szCs w:val="22"/>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142</Words>
  <Characters>810</Characters>
  <Lines>6</Lines>
  <Paragraphs>1</Paragraphs>
  <TotalTime>5</TotalTime>
  <ScaleCrop>false</ScaleCrop>
  <LinksUpToDate>false</LinksUpToDate>
  <CharactersWithSpaces>951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2022-07-26T16:50:00Z</dcterms:created>
  <dc:creator>Legend User</dc:creator>
  <cp:lastModifiedBy>scjuser</cp:lastModifiedBy>
  <cp:lastPrinted>2021-06-21T14:49:00Z</cp:lastPrinted>
  <dcterms:modified xsi:type="dcterms:W3CDTF">2022-08-04T11:27:17Z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B3DFA926948F4DDD88CB0FC9018DAEA4</vt:lpwstr>
  </property>
</Properties>
</file>