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FEB" w:rsidRDefault="00F26423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715FEB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:rsidR="00715FEB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1E0628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海丰物流（泰国）有限公司与安得智</w:t>
            </w:r>
            <w:proofErr w:type="gramStart"/>
            <w:r w:rsidRPr="001E062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联供应链科技</w:t>
            </w:r>
            <w:proofErr w:type="gramEnd"/>
            <w:r w:rsidRPr="001E062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股份有限公司新设合营企业案</w:t>
            </w:r>
          </w:p>
        </w:tc>
      </w:tr>
      <w:tr w:rsidR="00715FEB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:rsidR="00715FEB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1E0628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海丰物流（泰国）有限公司（“海丰物流泰国公司”）与安得智</w:t>
            </w:r>
            <w:proofErr w:type="gramStart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联供应链科技</w:t>
            </w:r>
            <w:proofErr w:type="gramEnd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股份有限公司（“安得智联”）关联方签署协议，拟在泰国境内设立两家合营企业，主要在泰国从事第三方物流和国际货运代理业务。交易后，海丰物流泰国公司与安得智联（通过关联方）将分别</w:t>
            </w:r>
            <w:proofErr w:type="gramStart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持有第</w:t>
            </w:r>
            <w:proofErr w:type="gramEnd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一家合营企业51%和49%股份，第一家合营企业与安得智联（通过关联方）将分别持有第二家合营企业51%和49%股份。海丰物流泰国公司、安得智联共</w:t>
            </w:r>
            <w:proofErr w:type="gramStart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同控制</w:t>
            </w:r>
            <w:proofErr w:type="gramEnd"/>
            <w:r w:rsidRPr="001E0628">
              <w:rPr>
                <w:rFonts w:ascii="宋体" w:hAnsi="宋体" w:cs="宋体" w:hint="eastAsia"/>
                <w:kern w:val="0"/>
                <w:sz w:val="24"/>
                <w:lang w:bidi="ar-AE"/>
              </w:rPr>
              <w:t>两家合营企业。</w:t>
            </w:r>
          </w:p>
        </w:tc>
      </w:tr>
      <w:tr w:rsidR="00715FEB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715FEB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:rsidR="00715FEB" w:rsidRPr="001E0628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1E0628" w:rsidRPr="001E0628">
              <w:rPr>
                <w:rFonts w:ascii="宋体" w:hAnsi="宋体" w:hint="eastAsia"/>
              </w:rPr>
              <w:t xml:space="preserve"> </w:t>
            </w:r>
            <w:r w:rsidR="001E0628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海丰物流泰国公司</w:t>
            </w:r>
          </w:p>
        </w:tc>
        <w:tc>
          <w:tcPr>
            <w:tcW w:w="6093" w:type="dxa"/>
            <w:vAlign w:val="center"/>
          </w:tcPr>
          <w:p w:rsidR="001E0628" w:rsidRPr="001E0628" w:rsidRDefault="001E0628" w:rsidP="001E0628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海丰物流泰国公司于2017年5月19日成立于泰国，主要业务为第三方物流。</w:t>
            </w:r>
          </w:p>
          <w:p w:rsidR="00715FEB" w:rsidRPr="001E0628" w:rsidRDefault="001E0628" w:rsidP="001E062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海丰物流泰国公司最终控制人为海丰国际控股有限公司</w:t>
            </w:r>
            <w:r w:rsidR="00146C04">
              <w:rPr>
                <w:rFonts w:ascii="宋体" w:hAnsi="宋体" w:cs="宋体" w:hint="eastAsia"/>
                <w:bCs/>
                <w:color w:val="000000"/>
                <w:lang w:eastAsia="zh-CN"/>
              </w:rPr>
              <w:t>（“海丰</w:t>
            </w:r>
            <w:r w:rsidR="00056FAA">
              <w:rPr>
                <w:rFonts w:ascii="宋体" w:hAnsi="宋体" w:cs="宋体" w:hint="eastAsia"/>
                <w:bCs/>
                <w:color w:val="000000"/>
                <w:lang w:eastAsia="zh-CN"/>
              </w:rPr>
              <w:t>国际</w:t>
            </w:r>
            <w:r w:rsidR="00146C04">
              <w:rPr>
                <w:rFonts w:ascii="宋体" w:hAnsi="宋体" w:cs="宋体" w:hint="eastAsia"/>
                <w:bCs/>
                <w:color w:val="000000"/>
                <w:lang w:eastAsia="zh-CN"/>
              </w:rPr>
              <w:t>”）</w:t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，主要业务为集装箱班轮运输、船舶管理、船舶经纪、国际货运代理等综合运输及物流解决方案业务。</w:t>
            </w:r>
          </w:p>
        </w:tc>
      </w:tr>
      <w:tr w:rsidR="00715FEB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:rsidR="00715FEB" w:rsidRPr="001E0628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="001E0628" w:rsidRPr="001E0628">
              <w:rPr>
                <w:rFonts w:ascii="宋体" w:hAnsi="宋体" w:hint="eastAsia"/>
              </w:rPr>
              <w:t xml:space="preserve"> </w:t>
            </w:r>
            <w:r w:rsidR="001E0628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安得智联</w:t>
            </w:r>
          </w:p>
        </w:tc>
        <w:tc>
          <w:tcPr>
            <w:tcW w:w="6093" w:type="dxa"/>
            <w:vAlign w:val="center"/>
          </w:tcPr>
          <w:p w:rsidR="001E0628" w:rsidRPr="001E0628" w:rsidRDefault="001E0628" w:rsidP="001E062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安得智联于2011年2月24日成立于安徽省芜湖市，主要业务为物流、配送解决方案。</w:t>
            </w:r>
          </w:p>
          <w:p w:rsidR="00715FEB" w:rsidRPr="001E0628" w:rsidRDefault="001E0628" w:rsidP="001E0628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sz w:val="24"/>
              </w:rPr>
              <w:t>安得智</w:t>
            </w:r>
            <w:proofErr w:type="gramStart"/>
            <w:r w:rsidRPr="001E0628">
              <w:rPr>
                <w:rFonts w:ascii="宋体" w:hAnsi="宋体" w:cs="宋体" w:hint="eastAsia"/>
                <w:bCs/>
                <w:color w:val="000000"/>
                <w:sz w:val="24"/>
              </w:rPr>
              <w:t>联最终</w:t>
            </w:r>
            <w:proofErr w:type="gramEnd"/>
            <w:r w:rsidRPr="001E0628">
              <w:rPr>
                <w:rFonts w:ascii="宋体" w:hAnsi="宋体" w:cs="宋体" w:hint="eastAsia"/>
                <w:bCs/>
                <w:color w:val="000000"/>
                <w:sz w:val="24"/>
              </w:rPr>
              <w:t>控制人为自然人，主要通过美的集团从事智能家居、新能源及工业技术、智能建筑科技、机器人与自动化、健康医疗、智慧物流等业务。</w:t>
            </w:r>
          </w:p>
        </w:tc>
      </w:tr>
      <w:tr w:rsidR="00715FEB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715FEB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1E062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在同一相关市场，参与集中的经营者所占的市场份额之和小于15%。</w:t>
            </w:r>
          </w:p>
        </w:tc>
      </w:tr>
      <w:tr w:rsidR="00715FEB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1E062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在上下游市场，参与集中的经营者所占的市场份额均小于25%。</w:t>
            </w:r>
          </w:p>
        </w:tc>
      </w:tr>
      <w:tr w:rsidR="00715FEB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1E062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F26423"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715FEB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</w:t>
            </w: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715FEB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</w:t>
            </w: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715FEB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715FEB" w:rsidRDefault="00715FE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715FEB" w:rsidRPr="001E0628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</w:t>
            </w:r>
            <w:r w:rsidRPr="001E0628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1E0628">
              <w:rPr>
                <w:rFonts w:ascii="宋体" w:hAnsi="宋体"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715FEB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:rsidR="00715FEB" w:rsidRDefault="00F26423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:rsidR="001E0628" w:rsidRPr="001E0628" w:rsidRDefault="001E0628" w:rsidP="001E0628">
            <w:pPr>
              <w:rPr>
                <w:rFonts w:ascii="宋体" w:hAnsi="宋体"/>
                <w:b/>
                <w:kern w:val="0"/>
                <w:sz w:val="24"/>
              </w:rPr>
            </w:pPr>
            <w:r w:rsidRPr="001E0628">
              <w:rPr>
                <w:rFonts w:ascii="宋体" w:hAnsi="宋体" w:hint="eastAsia"/>
                <w:b/>
                <w:kern w:val="0"/>
                <w:sz w:val="24"/>
              </w:rPr>
              <w:t>混合集中：</w:t>
            </w:r>
          </w:p>
          <w:p w:rsidR="001E0628" w:rsidRPr="001E0628" w:rsidRDefault="001E0628" w:rsidP="001E0628">
            <w:pPr>
              <w:rPr>
                <w:rFonts w:ascii="宋体" w:hAnsi="宋体"/>
                <w:kern w:val="0"/>
                <w:sz w:val="24"/>
              </w:rPr>
            </w:pPr>
            <w:r w:rsidRPr="001E0628">
              <w:rPr>
                <w:rFonts w:ascii="宋体" w:hAnsi="宋体" w:hint="eastAsia"/>
                <w:kern w:val="0"/>
                <w:sz w:val="24"/>
              </w:rPr>
              <w:t>2</w:t>
            </w:r>
            <w:r w:rsidRPr="001E0628">
              <w:rPr>
                <w:rFonts w:ascii="宋体" w:hAnsi="宋体"/>
                <w:kern w:val="0"/>
                <w:sz w:val="24"/>
              </w:rPr>
              <w:t>024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年泰国至中国航线集装箱班轮运输服务市场：</w:t>
            </w:r>
          </w:p>
          <w:p w:rsidR="001E0628" w:rsidRPr="001E0628" w:rsidRDefault="001E0628" w:rsidP="001E0628">
            <w:pPr>
              <w:rPr>
                <w:rFonts w:ascii="宋体" w:hAnsi="宋体"/>
                <w:kern w:val="0"/>
                <w:sz w:val="24"/>
              </w:rPr>
            </w:pPr>
            <w:r w:rsidRPr="001E0628">
              <w:rPr>
                <w:rFonts w:ascii="宋体" w:hAnsi="宋体" w:hint="eastAsia"/>
                <w:kern w:val="0"/>
                <w:sz w:val="24"/>
              </w:rPr>
              <w:t>海丰</w:t>
            </w:r>
            <w:r w:rsidR="00056FAA">
              <w:rPr>
                <w:rFonts w:ascii="宋体" w:hAnsi="宋体" w:hint="eastAsia"/>
                <w:kern w:val="0"/>
                <w:sz w:val="24"/>
              </w:rPr>
              <w:t>国际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：5</w:t>
            </w:r>
            <w:r w:rsidRPr="001E0628">
              <w:rPr>
                <w:rFonts w:ascii="宋体" w:hAnsi="宋体"/>
                <w:kern w:val="0"/>
                <w:sz w:val="24"/>
              </w:rPr>
              <w:t>%-10%</w:t>
            </w:r>
            <w:bookmarkStart w:id="0" w:name="_GoBack"/>
            <w:bookmarkEnd w:id="0"/>
          </w:p>
          <w:p w:rsidR="001E0628" w:rsidRPr="001E0628" w:rsidRDefault="001E0628" w:rsidP="001E0628">
            <w:pPr>
              <w:rPr>
                <w:rFonts w:ascii="宋体" w:hAnsi="宋体"/>
                <w:kern w:val="0"/>
                <w:sz w:val="24"/>
              </w:rPr>
            </w:pPr>
            <w:r w:rsidRPr="001E0628">
              <w:rPr>
                <w:rFonts w:ascii="宋体" w:hAnsi="宋体" w:hint="eastAsia"/>
                <w:kern w:val="0"/>
                <w:sz w:val="24"/>
              </w:rPr>
              <w:t>2</w:t>
            </w:r>
            <w:r w:rsidRPr="001E0628">
              <w:rPr>
                <w:rFonts w:ascii="宋体" w:hAnsi="宋体"/>
                <w:kern w:val="0"/>
                <w:sz w:val="24"/>
              </w:rPr>
              <w:t>024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年泰国境内国际海上货运代理服务市场：</w:t>
            </w:r>
          </w:p>
          <w:p w:rsidR="001E0628" w:rsidRPr="001E0628" w:rsidRDefault="001E0628" w:rsidP="001E0628">
            <w:pPr>
              <w:rPr>
                <w:rFonts w:ascii="宋体" w:hAnsi="宋体"/>
                <w:kern w:val="0"/>
                <w:sz w:val="24"/>
              </w:rPr>
            </w:pPr>
            <w:r w:rsidRPr="001E0628">
              <w:rPr>
                <w:rFonts w:ascii="宋体" w:hAnsi="宋体" w:hint="eastAsia"/>
                <w:kern w:val="0"/>
                <w:sz w:val="24"/>
              </w:rPr>
              <w:t>海丰</w:t>
            </w:r>
            <w:r w:rsidR="00056FAA">
              <w:rPr>
                <w:rFonts w:ascii="宋体" w:hAnsi="宋体" w:hint="eastAsia"/>
                <w:kern w:val="0"/>
                <w:sz w:val="24"/>
              </w:rPr>
              <w:t>国际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：0</w:t>
            </w:r>
            <w:r w:rsidRPr="001E0628">
              <w:rPr>
                <w:rFonts w:ascii="宋体" w:hAnsi="宋体"/>
                <w:kern w:val="0"/>
                <w:sz w:val="24"/>
              </w:rPr>
              <w:t>-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5</w:t>
            </w:r>
            <w:r w:rsidRPr="001E0628">
              <w:rPr>
                <w:rFonts w:ascii="宋体" w:hAnsi="宋体"/>
                <w:kern w:val="0"/>
                <w:sz w:val="24"/>
              </w:rPr>
              <w:t>%</w:t>
            </w:r>
          </w:p>
          <w:p w:rsidR="001E0628" w:rsidRPr="001E0628" w:rsidRDefault="001E0628" w:rsidP="001E0628">
            <w:pPr>
              <w:rPr>
                <w:rFonts w:ascii="宋体" w:hAnsi="宋体"/>
                <w:kern w:val="0"/>
                <w:sz w:val="24"/>
              </w:rPr>
            </w:pPr>
            <w:r w:rsidRPr="001E0628">
              <w:rPr>
                <w:rFonts w:ascii="宋体" w:hAnsi="宋体" w:hint="eastAsia"/>
                <w:kern w:val="0"/>
                <w:sz w:val="24"/>
              </w:rPr>
              <w:t>2</w:t>
            </w:r>
            <w:r w:rsidRPr="001E0628">
              <w:rPr>
                <w:rFonts w:ascii="宋体" w:hAnsi="宋体"/>
                <w:kern w:val="0"/>
                <w:sz w:val="24"/>
              </w:rPr>
              <w:t>024</w:t>
            </w:r>
            <w:r w:rsidRPr="001E0628">
              <w:rPr>
                <w:rFonts w:ascii="宋体" w:hAnsi="宋体" w:hint="eastAsia"/>
                <w:kern w:val="0"/>
                <w:sz w:val="24"/>
              </w:rPr>
              <w:t>年泰国境内第三方物流市场：</w:t>
            </w:r>
          </w:p>
          <w:p w:rsidR="00715FEB" w:rsidRDefault="001E0628" w:rsidP="001E0628">
            <w:pPr>
              <w:pStyle w:val="a4"/>
              <w:adjustRightInd w:val="0"/>
              <w:snapToGrid w:val="0"/>
              <w:spacing w:after="0"/>
              <w:rPr>
                <w:rFonts w:ascii="宋体" w:hAnsi="宋体"/>
                <w:lang w:eastAsia="zh-CN"/>
              </w:rPr>
            </w:pPr>
            <w:r w:rsidRPr="001E0628">
              <w:rPr>
                <w:rFonts w:ascii="宋体" w:hAnsi="宋体" w:hint="eastAsia"/>
                <w:lang w:eastAsia="zh-CN"/>
              </w:rPr>
              <w:t>海丰</w:t>
            </w:r>
            <w:r w:rsidR="00056FAA">
              <w:rPr>
                <w:rFonts w:ascii="宋体" w:hAnsi="宋体" w:hint="eastAsia"/>
                <w:lang w:eastAsia="zh-CN"/>
              </w:rPr>
              <w:t>国际</w:t>
            </w:r>
            <w:r w:rsidRPr="001E0628">
              <w:rPr>
                <w:rFonts w:ascii="宋体" w:hAnsi="宋体" w:hint="eastAsia"/>
                <w:lang w:eastAsia="zh-CN"/>
              </w:rPr>
              <w:t>：0</w:t>
            </w:r>
            <w:r w:rsidRPr="001E0628">
              <w:rPr>
                <w:rFonts w:ascii="宋体" w:hAnsi="宋体"/>
                <w:lang w:eastAsia="zh-CN"/>
              </w:rPr>
              <w:t>-5%</w:t>
            </w:r>
          </w:p>
          <w:p w:rsidR="008116B5" w:rsidRDefault="008116B5" w:rsidP="001E0628">
            <w:pPr>
              <w:pStyle w:val="a4"/>
              <w:adjustRightInd w:val="0"/>
              <w:snapToGrid w:val="0"/>
              <w:spacing w:after="0"/>
              <w:rPr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lastRenderedPageBreak/>
              <w:t>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024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年中国</w:t>
            </w:r>
            <w:r>
              <w:rPr>
                <w:rFonts w:hint="eastAsia"/>
                <w:lang w:eastAsia="zh-CN"/>
              </w:rPr>
              <w:t>境内国际海上货运代理服务市场：</w:t>
            </w:r>
          </w:p>
          <w:p w:rsidR="008116B5" w:rsidRPr="008116B5" w:rsidRDefault="008116B5" w:rsidP="001E0628">
            <w:pPr>
              <w:pStyle w:val="a4"/>
              <w:adjustRightInd w:val="0"/>
              <w:snapToGrid w:val="0"/>
              <w:spacing w:after="0"/>
              <w:rPr>
                <w:rFonts w:ascii="宋体" w:hAnsi="宋体"/>
                <w:lang w:eastAsia="zh-CN"/>
              </w:rPr>
            </w:pPr>
            <w:r w:rsidRPr="001E0628">
              <w:rPr>
                <w:rFonts w:ascii="宋体" w:hAnsi="宋体" w:hint="eastAsia"/>
                <w:lang w:eastAsia="zh-CN"/>
              </w:rPr>
              <w:t>海丰</w:t>
            </w:r>
            <w:r w:rsidR="00056FAA">
              <w:rPr>
                <w:rFonts w:ascii="宋体" w:hAnsi="宋体" w:hint="eastAsia"/>
                <w:lang w:eastAsia="zh-CN"/>
              </w:rPr>
              <w:t>国际</w:t>
            </w:r>
            <w:r w:rsidRPr="001E0628">
              <w:rPr>
                <w:rFonts w:ascii="宋体" w:hAnsi="宋体" w:hint="eastAsia"/>
                <w:lang w:eastAsia="zh-CN"/>
              </w:rPr>
              <w:t>：0</w:t>
            </w:r>
            <w:r w:rsidRPr="001E0628">
              <w:rPr>
                <w:rFonts w:ascii="宋体" w:hAnsi="宋体"/>
                <w:lang w:eastAsia="zh-CN"/>
              </w:rPr>
              <w:t>-5%</w:t>
            </w:r>
          </w:p>
        </w:tc>
      </w:tr>
    </w:tbl>
    <w:p w:rsidR="00F26423" w:rsidRDefault="00F26423" w:rsidP="001E0628">
      <w:pPr>
        <w:pStyle w:val="a4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F26423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楷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33A5F"/>
    <w:multiLevelType w:val="multilevel"/>
    <w:tmpl w:val="4B733A5F"/>
    <w:lvl w:ilvl="0">
      <w:start w:val="1"/>
      <w:numFmt w:val="decimal"/>
      <w:pStyle w:val="a"/>
      <w:suff w:val="nothing"/>
      <w:lvlText w:val="示例%1："/>
      <w:lvlJc w:val="left"/>
      <w:pPr>
        <w:ind w:left="0" w:firstLine="363"/>
      </w:pPr>
      <w:rPr>
        <w:rFonts w:ascii="黑体" w:eastAsia="黑体" w:hint="default"/>
        <w:b w:val="0"/>
        <w:i w:val="0"/>
        <w:sz w:val="20"/>
        <w:szCs w:val="21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6FBDD792"/>
    <w:rsid w:val="6FBDD792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  <w:rsid w:val="00056FAA"/>
    <w:rsid w:val="00146C04"/>
    <w:rsid w:val="001E0628"/>
    <w:rsid w:val="00715FEB"/>
    <w:rsid w:val="008116B5"/>
    <w:rsid w:val="00F26423"/>
    <w:rsid w:val="028840AF"/>
    <w:rsid w:val="04C66C1A"/>
    <w:rsid w:val="08E158A2"/>
    <w:rsid w:val="1224631A"/>
    <w:rsid w:val="13F15F6F"/>
    <w:rsid w:val="19DD25E4"/>
    <w:rsid w:val="1D6F6EFE"/>
    <w:rsid w:val="1F7C72D8"/>
    <w:rsid w:val="297D67B3"/>
    <w:rsid w:val="2D246E2C"/>
    <w:rsid w:val="33A9646D"/>
    <w:rsid w:val="3EFED501"/>
    <w:rsid w:val="3F7F152F"/>
    <w:rsid w:val="3FFB76BA"/>
    <w:rsid w:val="43CC3C6E"/>
    <w:rsid w:val="46DFCD99"/>
    <w:rsid w:val="49659447"/>
    <w:rsid w:val="4C0F3FD0"/>
    <w:rsid w:val="511432B7"/>
    <w:rsid w:val="5596691C"/>
    <w:rsid w:val="59FAB6B4"/>
    <w:rsid w:val="5C6AC506"/>
    <w:rsid w:val="5DBB2A74"/>
    <w:rsid w:val="5E224037"/>
    <w:rsid w:val="5F09CE98"/>
    <w:rsid w:val="622B7232"/>
    <w:rsid w:val="65351DA4"/>
    <w:rsid w:val="6AFC31C5"/>
    <w:rsid w:val="6B8148C3"/>
    <w:rsid w:val="6E9FB973"/>
    <w:rsid w:val="6FBDD792"/>
    <w:rsid w:val="70A1528F"/>
    <w:rsid w:val="73F532D8"/>
    <w:rsid w:val="74D42207"/>
    <w:rsid w:val="76D76867"/>
    <w:rsid w:val="76FE3A0F"/>
    <w:rsid w:val="7A8C48BA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072F4"/>
  <w15:chartTrackingRefBased/>
  <w15:docId w15:val="{E04D4437-A8BF-46F8-827D-F43E4ACA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0"/>
    <w:next w:val="a0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0"/>
    <w:next w:val="a0"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0"/>
    <w:next w:val="a0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styleId="a4">
    <w:name w:val="Body Text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a5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标题五"/>
    <w:basedOn w:val="5"/>
    <w:next w:val="a0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customStyle="1" w:styleId="a7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">
    <w:name w:val="标准文件_示例×："/>
    <w:basedOn w:val="a0"/>
    <w:next w:val="a8"/>
    <w:qFormat/>
    <w:pPr>
      <w:widowControl/>
      <w:numPr>
        <w:numId w:val="1"/>
      </w:numPr>
    </w:pPr>
    <w:rPr>
      <w:rFonts w:ascii="宋体"/>
      <w:kern w:val="0"/>
      <w:sz w:val="18"/>
      <w:szCs w:val="18"/>
    </w:rPr>
  </w:style>
  <w:style w:type="paragraph" w:customStyle="1" w:styleId="a8">
    <w:name w:val="标准文件_示例内容"/>
    <w:basedOn w:val="a7"/>
    <w:qFormat/>
    <w:rPr>
      <w:sz w:val="18"/>
    </w:rPr>
  </w:style>
  <w:style w:type="paragraph" w:styleId="a9">
    <w:name w:val="Balloon Text"/>
    <w:basedOn w:val="a0"/>
    <w:link w:val="aa"/>
    <w:uiPriority w:val="99"/>
    <w:unhideWhenUsed/>
    <w:rsid w:val="001E0628"/>
    <w:rPr>
      <w:rFonts w:ascii="Calibri" w:hAnsi="Calibri"/>
      <w:sz w:val="18"/>
      <w:szCs w:val="18"/>
    </w:rPr>
  </w:style>
  <w:style w:type="character" w:customStyle="1" w:styleId="aa">
    <w:name w:val="批注框文本 字符"/>
    <w:link w:val="a9"/>
    <w:uiPriority w:val="99"/>
    <w:rsid w:val="001E06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oa</dc:creator>
  <cp:keywords/>
  <cp:lastModifiedBy>King &amp; Wood Mallesons</cp:lastModifiedBy>
  <cp:revision>5</cp:revision>
  <dcterms:created xsi:type="dcterms:W3CDTF">2026-01-08T04:11:00Z</dcterms:created>
  <dcterms:modified xsi:type="dcterms:W3CDTF">2026-01-08T06:43:00Z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D8680CD3A85E461D813FF634F907EA05_12</vt:lpwstr>
  </property>
  <property fmtid="{D5CDD505-2E9C-101B-9397-08002B2CF9AE}" pid="4" name="KSOTemplateDocerSaveRecord">
    <vt:lpwstr>eyJoZGlkIjoiZjlkZmJjMzA1Y2Y0NTgwNjBkOTU3MmYwNzNhY2UwOGUiLCJ1c2VySWQiOiI0NjIwNjIzNDYifQ==</vt:lpwstr>
  </property>
</Properties>
</file>