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897" w:rsidRPr="00365D90" w:rsidRDefault="00795897" w:rsidP="00E419C9">
      <w:pPr>
        <w:widowControl/>
        <w:adjustRightInd/>
        <w:snapToGrid/>
        <w:jc w:val="center"/>
        <w:rPr>
          <w:rFonts w:ascii="黑体" w:eastAsia="黑体" w:hAnsi="黑体" w:cs="Times New Roman"/>
          <w:kern w:val="0"/>
          <w:sz w:val="36"/>
          <w:szCs w:val="36"/>
          <w:lang w:val="en-GB" w:bidi="ar-AE"/>
        </w:rPr>
      </w:pPr>
      <w:r w:rsidRPr="00365D90">
        <w:rPr>
          <w:rFonts w:ascii="黑体" w:eastAsia="黑体" w:hAnsi="黑体" w:cs="Times New Roman"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172"/>
        <w:gridCol w:w="5528"/>
      </w:tblGrid>
      <w:tr w:rsidR="00795897" w:rsidRPr="0025400D" w:rsidTr="005C0C59">
        <w:trPr>
          <w:trHeight w:val="723"/>
        </w:trPr>
        <w:tc>
          <w:tcPr>
            <w:tcW w:w="1940" w:type="dxa"/>
            <w:shd w:val="clear" w:color="auto" w:fill="D9D9D9"/>
            <w:vAlign w:val="center"/>
          </w:tcPr>
          <w:p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eastAsia="en-GB"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GB" w:bidi="ar-AE"/>
              </w:rPr>
              <w:t>案件名称</w:t>
            </w:r>
          </w:p>
        </w:tc>
        <w:tc>
          <w:tcPr>
            <w:tcW w:w="7700" w:type="dxa"/>
            <w:gridSpan w:val="2"/>
            <w:shd w:val="clear" w:color="auto" w:fill="auto"/>
          </w:tcPr>
          <w:p w:rsidR="00795897" w:rsidRPr="0025400D" w:rsidRDefault="00E419C9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E419C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山东正方高新产业控股集团有限公司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与</w:t>
            </w:r>
            <w:r w:rsidR="00795897"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特来电新能源股份有限公司新设合营企业案</w:t>
            </w:r>
          </w:p>
        </w:tc>
      </w:tr>
      <w:tr w:rsidR="00795897" w:rsidRPr="0025400D" w:rsidTr="005C0C59">
        <w:trPr>
          <w:trHeight w:val="993"/>
        </w:trPr>
        <w:tc>
          <w:tcPr>
            <w:tcW w:w="1940" w:type="dxa"/>
            <w:shd w:val="clear" w:color="auto" w:fill="D9D9D9"/>
            <w:vAlign w:val="center"/>
          </w:tcPr>
          <w:p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700" w:type="dxa"/>
            <w:gridSpan w:val="2"/>
            <w:shd w:val="clear" w:color="auto" w:fill="auto"/>
          </w:tcPr>
          <w:p w:rsidR="00795897" w:rsidRPr="0025400D" w:rsidRDefault="00E419C9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</w:pPr>
            <w:r w:rsidRPr="00E419C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山东正方高新产业控股集团有限公司</w:t>
            </w:r>
            <w:r w:rsidR="00890A2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（“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山东正方</w:t>
            </w:r>
            <w:r w:rsidR="00890A2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”）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与</w:t>
            </w:r>
            <w:r w:rsidR="00795897"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特来电新能源股份有限公司（“特来电”）签署协议，拟共同新设合营企业。合营企业将主要从事电动汽车充电服务业务。</w:t>
            </w:r>
          </w:p>
          <w:p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交易后，</w:t>
            </w:r>
            <w:r w:rsidR="00E419C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山东正方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将持有合营企业</w:t>
            </w:r>
            <w:r w:rsidR="00E419C9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  <w:t>60</w:t>
            </w:r>
            <w:r w:rsidR="0018481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  <w:t>%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的股权，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特来电将持有合营企业</w:t>
            </w:r>
            <w:r w:rsidR="00E419C9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  <w:t>40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bidi="ar-AE"/>
              </w:rPr>
              <w:t>%的股权，双方将对合营企业实施共同控制。</w:t>
            </w:r>
          </w:p>
        </w:tc>
      </w:tr>
      <w:tr w:rsidR="00184814" w:rsidRPr="0025400D" w:rsidTr="005C0C59">
        <w:trPr>
          <w:trHeight w:val="468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:rsidR="00184814" w:rsidRPr="0025400D" w:rsidRDefault="00184814" w:rsidP="005C0C59">
            <w:pPr>
              <w:jc w:val="center"/>
              <w:rPr>
                <w:rFonts w:ascii="宋体" w:eastAsia="宋体" w:hAnsi="宋体" w:cs="Times"/>
                <w:kern w:val="0"/>
                <w:sz w:val="24"/>
                <w:szCs w:val="24"/>
                <w:lang w:val="x-none" w:bidi="ar-AE"/>
              </w:rPr>
            </w:pPr>
            <w:r w:rsidRPr="0025400D">
              <w:rPr>
                <w:rFonts w:ascii="宋体" w:eastAsia="宋体" w:hAnsi="宋体" w:cs="Times" w:hint="eastAsia"/>
                <w:kern w:val="0"/>
                <w:sz w:val="24"/>
                <w:szCs w:val="24"/>
                <w:lang w:val="x-none" w:bidi="ar-AE"/>
              </w:rPr>
              <w:t>参与集中的经营者简介</w:t>
            </w:r>
            <w:r w:rsidRPr="0025400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val="x-none" w:bidi="ar-AE"/>
              </w:rPr>
              <w:t>（每个限</w:t>
            </w:r>
            <w:r w:rsidRPr="0025400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100字以内</w:t>
            </w:r>
            <w:r w:rsidRPr="0025400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val="x-none" w:bidi="ar-AE"/>
              </w:rPr>
              <w:t>）</w:t>
            </w:r>
          </w:p>
        </w:tc>
        <w:tc>
          <w:tcPr>
            <w:tcW w:w="2172" w:type="dxa"/>
            <w:shd w:val="clear" w:color="auto" w:fill="auto"/>
          </w:tcPr>
          <w:p w:rsidR="00184814" w:rsidRPr="00365D90" w:rsidRDefault="00E419C9" w:rsidP="00365D90">
            <w:pPr>
              <w:pStyle w:val="ad"/>
              <w:widowControl/>
              <w:numPr>
                <w:ilvl w:val="0"/>
                <w:numId w:val="23"/>
              </w:numPr>
              <w:adjustRightInd/>
              <w:snapToGrid/>
              <w:ind w:firstLineChars="0"/>
              <w:jc w:val="left"/>
              <w:rPr>
                <w:rFonts w:ascii="宋体" w:eastAsia="宋体" w:hAnsi="宋体" w:cs="Arial"/>
                <w:color w:val="000000"/>
                <w:kern w:val="0"/>
                <w:szCs w:val="24"/>
                <w:lang w:bidi="ar-A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4"/>
                <w:lang w:bidi="ar-AE"/>
              </w:rPr>
              <w:t>山东正方</w:t>
            </w:r>
          </w:p>
        </w:tc>
        <w:tc>
          <w:tcPr>
            <w:tcW w:w="5528" w:type="dxa"/>
            <w:shd w:val="clear" w:color="auto" w:fill="auto"/>
          </w:tcPr>
          <w:p w:rsidR="00184814" w:rsidRDefault="00E419C9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山东正方于2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019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年1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月6日设立于山东省济宁市，其主要业务为</w:t>
            </w:r>
            <w:r w:rsidRPr="00E419C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企业管理、财务咨询、销售代理、物业管理、住房租赁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。</w:t>
            </w:r>
          </w:p>
          <w:p w:rsidR="00184814" w:rsidRPr="0025400D" w:rsidRDefault="00E419C9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山东正方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的最终控制人是</w:t>
            </w:r>
            <w:r w:rsidR="00141BD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山东正方控股集团有限公司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，其主要业务为</w:t>
            </w:r>
            <w:r w:rsidRPr="00E419C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资本运营、国有资产运营管理、土地综合开发治理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等</w:t>
            </w:r>
            <w:r w:rsidR="001848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184814" w:rsidRPr="0025400D" w:rsidTr="005C0C59">
        <w:trPr>
          <w:trHeight w:val="468"/>
        </w:trPr>
        <w:tc>
          <w:tcPr>
            <w:tcW w:w="1940" w:type="dxa"/>
            <w:vMerge/>
            <w:shd w:val="clear" w:color="auto" w:fill="D9D9D9"/>
            <w:vAlign w:val="center"/>
          </w:tcPr>
          <w:p w:rsidR="00184814" w:rsidRPr="0025400D" w:rsidRDefault="00184814" w:rsidP="005C0C59">
            <w:pPr>
              <w:widowControl/>
              <w:adjustRightInd/>
              <w:snapToGrid/>
              <w:jc w:val="center"/>
              <w:rPr>
                <w:rFonts w:ascii="宋体" w:eastAsia="宋体" w:hAnsi="宋体" w:cs="Times"/>
                <w:kern w:val="0"/>
                <w:sz w:val="24"/>
                <w:szCs w:val="24"/>
                <w:lang w:val="x-none" w:bidi="ar-AE"/>
              </w:rPr>
            </w:pPr>
          </w:p>
        </w:tc>
        <w:tc>
          <w:tcPr>
            <w:tcW w:w="2172" w:type="dxa"/>
            <w:shd w:val="clear" w:color="auto" w:fill="auto"/>
          </w:tcPr>
          <w:p w:rsidR="00184814" w:rsidRPr="0025400D" w:rsidRDefault="00184814" w:rsidP="005C0C59">
            <w:pPr>
              <w:widowControl/>
              <w:adjustRightInd/>
              <w:snapToGrid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x-none" w:bidi="ar-AE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  <w:t>2</w:t>
            </w:r>
            <w:r w:rsidRPr="0025400D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bidi="ar-AE"/>
              </w:rPr>
              <w:t xml:space="preserve">. 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eastAsia="en-GB" w:bidi="ar-AE"/>
              </w:rPr>
              <w:t>特来电</w:t>
            </w:r>
          </w:p>
        </w:tc>
        <w:tc>
          <w:tcPr>
            <w:tcW w:w="5528" w:type="dxa"/>
            <w:shd w:val="clear" w:color="auto" w:fill="auto"/>
          </w:tcPr>
          <w:p w:rsidR="00184814" w:rsidRPr="0025400D" w:rsidRDefault="00184814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特来电于20</w:t>
            </w:r>
            <w:r w:rsidRPr="0025400D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14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年</w:t>
            </w:r>
            <w:r w:rsidRPr="0025400D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9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月</w:t>
            </w:r>
            <w:r w:rsidRPr="0025400D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4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日成立于</w:t>
            </w:r>
            <w:r w:rsidRPr="0025400D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  <w:t>山东省青岛市</w:t>
            </w: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，其主要业务为生产及销售电动汽车充电桩，以及基于充电桩网络提供电动汽车充电服务。</w:t>
            </w:r>
          </w:p>
          <w:p w:rsidR="00184814" w:rsidRPr="0025400D" w:rsidRDefault="00184814" w:rsidP="005C0C59">
            <w:pPr>
              <w:widowControl/>
              <w:adjustRightInd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lang w:val="en-GB" w:bidi="ar-AE"/>
              </w:rPr>
              <w:t>特来电是青岛特锐德电气股份有限公司的子公司，其最终控制人是自然人，主要业务为电力设备制造、汽车充电生态网、新能源微网三大领域的业务。</w:t>
            </w:r>
          </w:p>
        </w:tc>
      </w:tr>
      <w:tr w:rsidR="00795897" w:rsidRPr="0025400D" w:rsidTr="005C0C59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shd w:val="clear" w:color="auto" w:fill="auto"/>
          </w:tcPr>
          <w:p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□</w:t>
            </w:r>
            <w:r w:rsidRPr="0025400D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  <w:lang w:val="en-GB" w:bidi="ar-AE"/>
              </w:rPr>
              <w:t xml:space="preserve"> </w:t>
            </w: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1、在同一相关市场，所有参与集中的经营者所占市场份额之和小于</w:t>
            </w:r>
            <w:r w:rsidRPr="0025400D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lang w:val="en-GB" w:bidi="ar-AE"/>
              </w:rPr>
              <w:t>15%</w:t>
            </w: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795897" w:rsidRPr="0025400D" w:rsidTr="005C0C59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shd w:val="clear" w:color="auto" w:fill="auto"/>
          </w:tcPr>
          <w:p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□ 2、存在上下游关系的参与集中的经营者，在上下游市场所占的市场份额均小于</w:t>
            </w:r>
            <w:r w:rsidRPr="0025400D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  <w:lang w:val="en-GB" w:bidi="ar-AE"/>
              </w:rPr>
              <w:t>25%</w:t>
            </w: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。</w:t>
            </w:r>
          </w:p>
        </w:tc>
      </w:tr>
      <w:tr w:rsidR="00795897" w:rsidRPr="0025400D" w:rsidTr="005C0C59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shd w:val="clear" w:color="auto" w:fill="auto"/>
          </w:tcPr>
          <w:p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sym w:font="Wingdings" w:char="F0FE"/>
            </w: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795897" w:rsidRPr="0025400D" w:rsidTr="005C0C59">
        <w:trPr>
          <w:trHeight w:val="593"/>
        </w:trPr>
        <w:tc>
          <w:tcPr>
            <w:tcW w:w="1940" w:type="dxa"/>
            <w:vMerge/>
            <w:shd w:val="clear" w:color="auto" w:fill="D9D9D9"/>
            <w:vAlign w:val="center"/>
          </w:tcPr>
          <w:p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shd w:val="clear" w:color="auto" w:fill="auto"/>
          </w:tcPr>
          <w:p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□ 4、参与集中的经营者在中国境外设立合营企业，合营企业不在中国境内从事经济活动。</w:t>
            </w:r>
          </w:p>
        </w:tc>
      </w:tr>
      <w:tr w:rsidR="00795897" w:rsidRPr="0025400D" w:rsidTr="005C0C59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shd w:val="clear" w:color="auto" w:fill="auto"/>
          </w:tcPr>
          <w:p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□ 5、参与集中的经营者收购境外企业股权或资产的，该境外企业不在中国境内从事经济活动。</w:t>
            </w:r>
          </w:p>
        </w:tc>
      </w:tr>
      <w:tr w:rsidR="00795897" w:rsidRPr="0025400D" w:rsidTr="005C0C59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shd w:val="clear" w:color="auto" w:fill="auto"/>
          </w:tcPr>
          <w:p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□ 6、由两个以上的经营者共同控制的合营企业，通过集中被其中一个或一个以上经营者控制。</w:t>
            </w:r>
          </w:p>
        </w:tc>
      </w:tr>
      <w:tr w:rsidR="00795897" w:rsidRPr="0025400D" w:rsidTr="005C0C59">
        <w:trPr>
          <w:trHeight w:val="1833"/>
        </w:trPr>
        <w:tc>
          <w:tcPr>
            <w:tcW w:w="1940" w:type="dxa"/>
            <w:shd w:val="clear" w:color="auto" w:fill="D9D9D9"/>
            <w:vAlign w:val="center"/>
          </w:tcPr>
          <w:p w:rsidR="00795897" w:rsidRPr="0025400D" w:rsidRDefault="00795897" w:rsidP="005C0C59">
            <w:pPr>
              <w:widowControl/>
              <w:adjustRightInd/>
              <w:snapToGrid/>
              <w:spacing w:after="24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备注</w:t>
            </w:r>
          </w:p>
        </w:tc>
        <w:tc>
          <w:tcPr>
            <w:tcW w:w="7700" w:type="dxa"/>
            <w:gridSpan w:val="2"/>
            <w:shd w:val="clear" w:color="auto" w:fill="auto"/>
          </w:tcPr>
          <w:p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val="en-GB" w:bidi="ar-AE"/>
              </w:rPr>
              <w:t>混合集中：</w:t>
            </w:r>
          </w:p>
          <w:p w:rsidR="00795897" w:rsidRPr="0025400D" w:rsidRDefault="00795897" w:rsidP="00795897">
            <w:pPr>
              <w:widowControl/>
              <w:numPr>
                <w:ilvl w:val="0"/>
                <w:numId w:val="21"/>
              </w:numPr>
              <w:adjustRightInd/>
              <w:ind w:left="0"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1. 202</w:t>
            </w:r>
            <w:r w:rsidR="00472E6B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3</w:t>
            </w: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年</w:t>
            </w:r>
            <w:r w:rsidR="00E419C9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济宁市</w:t>
            </w: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电动汽车充电服务市场</w:t>
            </w:r>
          </w:p>
          <w:p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特来电（及其关联实体）：</w:t>
            </w:r>
            <w:r w:rsidR="00E419C9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5%-10%</w:t>
            </w:r>
          </w:p>
          <w:p w:rsidR="00795897" w:rsidRPr="0025400D" w:rsidRDefault="00795897" w:rsidP="00795897">
            <w:pPr>
              <w:widowControl/>
              <w:numPr>
                <w:ilvl w:val="0"/>
                <w:numId w:val="22"/>
              </w:numPr>
              <w:adjustRightInd/>
              <w:ind w:left="0"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 xml:space="preserve">2. </w:t>
            </w: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2</w:t>
            </w:r>
            <w:r w:rsidRPr="0025400D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02</w:t>
            </w:r>
            <w:r w:rsidR="00472E6B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3</w:t>
            </w: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年中国境内电动汽车充电桩设备市场</w:t>
            </w:r>
          </w:p>
          <w:p w:rsidR="00795897" w:rsidRPr="0025400D" w:rsidRDefault="00795897" w:rsidP="005C0C59">
            <w:pPr>
              <w:widowControl/>
              <w:adjustRightInd/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</w:pPr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特来电（及其关联实体）：</w:t>
            </w:r>
            <w:r w:rsidR="00472E6B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15</w:t>
            </w:r>
            <w:r w:rsidR="00027810">
              <w:rPr>
                <w:rFonts w:ascii="宋体" w:eastAsia="宋体" w:hAnsi="宋体" w:cs="Times New Roman"/>
                <w:kern w:val="0"/>
                <w:sz w:val="24"/>
                <w:szCs w:val="24"/>
                <w:lang w:val="en-GB" w:bidi="ar-AE"/>
              </w:rPr>
              <w:t>-20</w:t>
            </w:r>
            <w:bookmarkStart w:id="0" w:name="_GoBack"/>
            <w:bookmarkEnd w:id="0"/>
            <w:r w:rsidRPr="0025400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bidi="ar-AE"/>
              </w:rPr>
              <w:t>%</w:t>
            </w:r>
          </w:p>
        </w:tc>
      </w:tr>
    </w:tbl>
    <w:p w:rsidR="00185967" w:rsidRPr="00795897" w:rsidRDefault="00185967" w:rsidP="00BC3DC6">
      <w:pPr>
        <w:pStyle w:val="KWMCN-f0"/>
      </w:pPr>
    </w:p>
    <w:sectPr w:rsidR="00185967" w:rsidRPr="00795897" w:rsidSect="009B4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63" w:rsidRDefault="00885163">
      <w:pPr>
        <w:ind w:firstLine="480"/>
      </w:pPr>
      <w:r>
        <w:separator/>
      </w:r>
    </w:p>
  </w:endnote>
  <w:endnote w:type="continuationSeparator" w:id="0">
    <w:p w:rsidR="00885163" w:rsidRDefault="0088516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7F" w:rsidRDefault="00A92B7F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8A45CF" w:rsidRPr="00185967" w:rsidTr="008A45CF">
      <w:tc>
        <w:tcPr>
          <w:tcW w:w="4114" w:type="pct"/>
        </w:tcPr>
        <w:p w:rsidR="008A45CF" w:rsidRPr="00185967" w:rsidRDefault="00C175F0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instrText xml:space="preserve"> FILENAME  \* Upper  \* MERGEFORMAT </w:instrTex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separate"/>
          </w:r>
          <w:r w:rsidR="00BC3DC6">
            <w:rPr>
              <w:rFonts w:ascii="Arial" w:eastAsia="楷体_GB2312" w:hAnsi="Arial" w:cs="Arial" w:hint="eastAsia"/>
              <w:noProof/>
              <w:sz w:val="18"/>
              <w:szCs w:val="18"/>
            </w:rPr>
            <w:t>文档</w:t>
          </w:r>
          <w:r w:rsidR="00BC3DC6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886" w:type="pct"/>
        </w:tcPr>
        <w:p w:rsidR="008A45CF" w:rsidRPr="00185967" w:rsidRDefault="008A45CF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 w:rsidR="00185967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:rsidR="00A0721A" w:rsidRPr="008A45CF" w:rsidRDefault="00A0721A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7F" w:rsidRPr="009A68FE" w:rsidRDefault="00A92B7F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63" w:rsidRDefault="00885163">
      <w:pPr>
        <w:ind w:firstLine="480"/>
      </w:pPr>
      <w:r>
        <w:separator/>
      </w:r>
    </w:p>
  </w:footnote>
  <w:footnote w:type="continuationSeparator" w:id="0">
    <w:p w:rsidR="00885163" w:rsidRDefault="0088516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7F" w:rsidRDefault="00A92B7F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7F" w:rsidRDefault="00A92B7F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7F" w:rsidRDefault="00A92B7F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5DF"/>
    <w:multiLevelType w:val="hybridMultilevel"/>
    <w:tmpl w:val="347AA6A4"/>
    <w:lvl w:ilvl="0" w:tplc="8CC04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F32AA"/>
    <w:multiLevelType w:val="hybridMultilevel"/>
    <w:tmpl w:val="C29EAE0C"/>
    <w:lvl w:ilvl="0" w:tplc="8A4604D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6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9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0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3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4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5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7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8" w15:restartNumberingAfterBreak="0">
    <w:nsid w:val="586A34B3"/>
    <w:multiLevelType w:val="hybridMultilevel"/>
    <w:tmpl w:val="049E9724"/>
    <w:lvl w:ilvl="0" w:tplc="CBC4978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21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abstractNum w:abstractNumId="22" w15:restartNumberingAfterBreak="0">
    <w:nsid w:val="799D452D"/>
    <w:multiLevelType w:val="hybridMultilevel"/>
    <w:tmpl w:val="61380FBA"/>
    <w:lvl w:ilvl="0" w:tplc="A4ACD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7"/>
  </w:num>
  <w:num w:numId="5">
    <w:abstractNumId w:val="20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19"/>
  </w:num>
  <w:num w:numId="14">
    <w:abstractNumId w:val="4"/>
  </w:num>
  <w:num w:numId="15">
    <w:abstractNumId w:val="8"/>
  </w:num>
  <w:num w:numId="16">
    <w:abstractNumId w:val="9"/>
  </w:num>
  <w:num w:numId="17">
    <w:abstractNumId w:val="21"/>
  </w:num>
  <w:num w:numId="18">
    <w:abstractNumId w:val="10"/>
  </w:num>
  <w:num w:numId="19">
    <w:abstractNumId w:val="1"/>
  </w:num>
  <w:num w:numId="20">
    <w:abstractNumId w:val="2"/>
  </w:num>
  <w:num w:numId="21">
    <w:abstractNumId w:val="0"/>
  </w:num>
  <w:num w:numId="22">
    <w:abstractNumId w:val="18"/>
  </w:num>
  <w:num w:numId="23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97"/>
    <w:rsid w:val="000074D6"/>
    <w:rsid w:val="000232B6"/>
    <w:rsid w:val="0002630D"/>
    <w:rsid w:val="00027810"/>
    <w:rsid w:val="00035C85"/>
    <w:rsid w:val="0004601F"/>
    <w:rsid w:val="00047C37"/>
    <w:rsid w:val="00060FF4"/>
    <w:rsid w:val="00061448"/>
    <w:rsid w:val="0006493F"/>
    <w:rsid w:val="00065232"/>
    <w:rsid w:val="00073FF0"/>
    <w:rsid w:val="00076E13"/>
    <w:rsid w:val="00080FF8"/>
    <w:rsid w:val="000A19FE"/>
    <w:rsid w:val="000A2606"/>
    <w:rsid w:val="000A63D6"/>
    <w:rsid w:val="000B326B"/>
    <w:rsid w:val="000C3E88"/>
    <w:rsid w:val="000C6614"/>
    <w:rsid w:val="000D4119"/>
    <w:rsid w:val="000D4457"/>
    <w:rsid w:val="000E1DE7"/>
    <w:rsid w:val="000F6244"/>
    <w:rsid w:val="00100F24"/>
    <w:rsid w:val="00103CE6"/>
    <w:rsid w:val="001076B2"/>
    <w:rsid w:val="0011570E"/>
    <w:rsid w:val="00116C9C"/>
    <w:rsid w:val="00117108"/>
    <w:rsid w:val="001205C5"/>
    <w:rsid w:val="00132018"/>
    <w:rsid w:val="001339DC"/>
    <w:rsid w:val="001365F7"/>
    <w:rsid w:val="00141BD3"/>
    <w:rsid w:val="001420FD"/>
    <w:rsid w:val="00145990"/>
    <w:rsid w:val="00184814"/>
    <w:rsid w:val="00185967"/>
    <w:rsid w:val="001920FA"/>
    <w:rsid w:val="0019713F"/>
    <w:rsid w:val="001A58C4"/>
    <w:rsid w:val="001B03FE"/>
    <w:rsid w:val="001B75C3"/>
    <w:rsid w:val="001C166E"/>
    <w:rsid w:val="001C560F"/>
    <w:rsid w:val="001E0583"/>
    <w:rsid w:val="001E254B"/>
    <w:rsid w:val="001F344E"/>
    <w:rsid w:val="0021557D"/>
    <w:rsid w:val="00217647"/>
    <w:rsid w:val="00220941"/>
    <w:rsid w:val="00220FEF"/>
    <w:rsid w:val="0022614A"/>
    <w:rsid w:val="00240481"/>
    <w:rsid w:val="00243B6F"/>
    <w:rsid w:val="00246349"/>
    <w:rsid w:val="002617A5"/>
    <w:rsid w:val="00267643"/>
    <w:rsid w:val="00281F96"/>
    <w:rsid w:val="00294355"/>
    <w:rsid w:val="002A0A9D"/>
    <w:rsid w:val="002A6A9F"/>
    <w:rsid w:val="002B6E81"/>
    <w:rsid w:val="002C1783"/>
    <w:rsid w:val="002C7D84"/>
    <w:rsid w:val="002D2D0A"/>
    <w:rsid w:val="002D3F29"/>
    <w:rsid w:val="002E7F58"/>
    <w:rsid w:val="002F7F7A"/>
    <w:rsid w:val="00303A74"/>
    <w:rsid w:val="00304B85"/>
    <w:rsid w:val="00304CED"/>
    <w:rsid w:val="00317C2C"/>
    <w:rsid w:val="00330A7A"/>
    <w:rsid w:val="0033284E"/>
    <w:rsid w:val="00332F1D"/>
    <w:rsid w:val="0033575C"/>
    <w:rsid w:val="00335FF9"/>
    <w:rsid w:val="00337398"/>
    <w:rsid w:val="0034634D"/>
    <w:rsid w:val="00346F0C"/>
    <w:rsid w:val="003534C5"/>
    <w:rsid w:val="00356D88"/>
    <w:rsid w:val="00365D90"/>
    <w:rsid w:val="00374CA0"/>
    <w:rsid w:val="00382836"/>
    <w:rsid w:val="003A0A50"/>
    <w:rsid w:val="003B46FF"/>
    <w:rsid w:val="003C0DCE"/>
    <w:rsid w:val="003C2831"/>
    <w:rsid w:val="003C429B"/>
    <w:rsid w:val="003D6857"/>
    <w:rsid w:val="003E1337"/>
    <w:rsid w:val="003E72FD"/>
    <w:rsid w:val="004027A6"/>
    <w:rsid w:val="00406544"/>
    <w:rsid w:val="00411F7F"/>
    <w:rsid w:val="00422D81"/>
    <w:rsid w:val="00424345"/>
    <w:rsid w:val="00427530"/>
    <w:rsid w:val="0043086F"/>
    <w:rsid w:val="004328E8"/>
    <w:rsid w:val="00454EDE"/>
    <w:rsid w:val="00457FE5"/>
    <w:rsid w:val="00472E6B"/>
    <w:rsid w:val="00474A76"/>
    <w:rsid w:val="00496C70"/>
    <w:rsid w:val="004A1A00"/>
    <w:rsid w:val="004A6241"/>
    <w:rsid w:val="004B0A5D"/>
    <w:rsid w:val="004B7844"/>
    <w:rsid w:val="004D5509"/>
    <w:rsid w:val="004D6353"/>
    <w:rsid w:val="004E0E7A"/>
    <w:rsid w:val="004F4BBC"/>
    <w:rsid w:val="004F673B"/>
    <w:rsid w:val="00517BBF"/>
    <w:rsid w:val="00522481"/>
    <w:rsid w:val="00523083"/>
    <w:rsid w:val="00542643"/>
    <w:rsid w:val="00556E19"/>
    <w:rsid w:val="00557D61"/>
    <w:rsid w:val="005670CF"/>
    <w:rsid w:val="005702C3"/>
    <w:rsid w:val="005A6504"/>
    <w:rsid w:val="005C594B"/>
    <w:rsid w:val="005D20D8"/>
    <w:rsid w:val="005D28BF"/>
    <w:rsid w:val="005D4113"/>
    <w:rsid w:val="005D76A3"/>
    <w:rsid w:val="005E0B75"/>
    <w:rsid w:val="005E0B80"/>
    <w:rsid w:val="005E2222"/>
    <w:rsid w:val="005E4498"/>
    <w:rsid w:val="005E5C12"/>
    <w:rsid w:val="005F2307"/>
    <w:rsid w:val="005F3065"/>
    <w:rsid w:val="005F3C9E"/>
    <w:rsid w:val="00613054"/>
    <w:rsid w:val="00617682"/>
    <w:rsid w:val="00640C19"/>
    <w:rsid w:val="00641909"/>
    <w:rsid w:val="00644B45"/>
    <w:rsid w:val="006460FC"/>
    <w:rsid w:val="00646B5C"/>
    <w:rsid w:val="006470A4"/>
    <w:rsid w:val="0065672C"/>
    <w:rsid w:val="006616D6"/>
    <w:rsid w:val="00661D37"/>
    <w:rsid w:val="0066378A"/>
    <w:rsid w:val="0067075D"/>
    <w:rsid w:val="00671930"/>
    <w:rsid w:val="006759E9"/>
    <w:rsid w:val="00683DC6"/>
    <w:rsid w:val="006956D9"/>
    <w:rsid w:val="006A0613"/>
    <w:rsid w:val="006A3BAA"/>
    <w:rsid w:val="006A48BB"/>
    <w:rsid w:val="006B7858"/>
    <w:rsid w:val="006C36A7"/>
    <w:rsid w:val="006E0D56"/>
    <w:rsid w:val="007024A0"/>
    <w:rsid w:val="00705E29"/>
    <w:rsid w:val="00714AA1"/>
    <w:rsid w:val="00745B26"/>
    <w:rsid w:val="0076132B"/>
    <w:rsid w:val="00795897"/>
    <w:rsid w:val="00795DB8"/>
    <w:rsid w:val="007A518C"/>
    <w:rsid w:val="007B1590"/>
    <w:rsid w:val="007B5FE3"/>
    <w:rsid w:val="007C6641"/>
    <w:rsid w:val="007C6F0D"/>
    <w:rsid w:val="007D3992"/>
    <w:rsid w:val="007D69CB"/>
    <w:rsid w:val="00812033"/>
    <w:rsid w:val="00817126"/>
    <w:rsid w:val="00844A81"/>
    <w:rsid w:val="008541C1"/>
    <w:rsid w:val="008622E3"/>
    <w:rsid w:val="0087071F"/>
    <w:rsid w:val="00876707"/>
    <w:rsid w:val="008819A3"/>
    <w:rsid w:val="00885163"/>
    <w:rsid w:val="00886565"/>
    <w:rsid w:val="00890A24"/>
    <w:rsid w:val="00896E91"/>
    <w:rsid w:val="008A45CF"/>
    <w:rsid w:val="008C2F6B"/>
    <w:rsid w:val="008C5828"/>
    <w:rsid w:val="008C58F0"/>
    <w:rsid w:val="008C6BB1"/>
    <w:rsid w:val="008F0586"/>
    <w:rsid w:val="008F2B7E"/>
    <w:rsid w:val="008F52AE"/>
    <w:rsid w:val="008F52F2"/>
    <w:rsid w:val="008F7812"/>
    <w:rsid w:val="0091219C"/>
    <w:rsid w:val="0091690D"/>
    <w:rsid w:val="00922FDD"/>
    <w:rsid w:val="009252A7"/>
    <w:rsid w:val="00934013"/>
    <w:rsid w:val="009419B7"/>
    <w:rsid w:val="00941C3F"/>
    <w:rsid w:val="00943698"/>
    <w:rsid w:val="0095472F"/>
    <w:rsid w:val="009560F7"/>
    <w:rsid w:val="009A68FE"/>
    <w:rsid w:val="009B06C2"/>
    <w:rsid w:val="009B48D9"/>
    <w:rsid w:val="009C0665"/>
    <w:rsid w:val="009C2CF0"/>
    <w:rsid w:val="009E3EDC"/>
    <w:rsid w:val="009E50CC"/>
    <w:rsid w:val="009E6860"/>
    <w:rsid w:val="009F3881"/>
    <w:rsid w:val="009F4EA0"/>
    <w:rsid w:val="009F5EF8"/>
    <w:rsid w:val="009F7C00"/>
    <w:rsid w:val="00A0028C"/>
    <w:rsid w:val="00A00550"/>
    <w:rsid w:val="00A0111E"/>
    <w:rsid w:val="00A06B7E"/>
    <w:rsid w:val="00A0721A"/>
    <w:rsid w:val="00A10D1C"/>
    <w:rsid w:val="00A3476D"/>
    <w:rsid w:val="00A4448E"/>
    <w:rsid w:val="00A46A40"/>
    <w:rsid w:val="00A479D7"/>
    <w:rsid w:val="00A61043"/>
    <w:rsid w:val="00A81C12"/>
    <w:rsid w:val="00A87F29"/>
    <w:rsid w:val="00A92B7F"/>
    <w:rsid w:val="00AB2C94"/>
    <w:rsid w:val="00AB74D5"/>
    <w:rsid w:val="00AC3677"/>
    <w:rsid w:val="00AC4B3E"/>
    <w:rsid w:val="00AC6704"/>
    <w:rsid w:val="00AD6352"/>
    <w:rsid w:val="00AF56AD"/>
    <w:rsid w:val="00B000C2"/>
    <w:rsid w:val="00B0724D"/>
    <w:rsid w:val="00B1403A"/>
    <w:rsid w:val="00B16501"/>
    <w:rsid w:val="00B321F1"/>
    <w:rsid w:val="00B33956"/>
    <w:rsid w:val="00B36F87"/>
    <w:rsid w:val="00B42636"/>
    <w:rsid w:val="00B44E9A"/>
    <w:rsid w:val="00B51FF2"/>
    <w:rsid w:val="00B574CD"/>
    <w:rsid w:val="00B652F5"/>
    <w:rsid w:val="00B80CCE"/>
    <w:rsid w:val="00B82A6C"/>
    <w:rsid w:val="00B85251"/>
    <w:rsid w:val="00BB7B1E"/>
    <w:rsid w:val="00BC0693"/>
    <w:rsid w:val="00BC27FC"/>
    <w:rsid w:val="00BC3DC6"/>
    <w:rsid w:val="00BF3A06"/>
    <w:rsid w:val="00C0088A"/>
    <w:rsid w:val="00C00BD4"/>
    <w:rsid w:val="00C01C94"/>
    <w:rsid w:val="00C13BAF"/>
    <w:rsid w:val="00C14E5E"/>
    <w:rsid w:val="00C16071"/>
    <w:rsid w:val="00C175F0"/>
    <w:rsid w:val="00C17E48"/>
    <w:rsid w:val="00C205C7"/>
    <w:rsid w:val="00C250F1"/>
    <w:rsid w:val="00C300D1"/>
    <w:rsid w:val="00C410EB"/>
    <w:rsid w:val="00C422C5"/>
    <w:rsid w:val="00C4296D"/>
    <w:rsid w:val="00C5060F"/>
    <w:rsid w:val="00C52A9F"/>
    <w:rsid w:val="00C57D52"/>
    <w:rsid w:val="00C645F6"/>
    <w:rsid w:val="00C66480"/>
    <w:rsid w:val="00C87CE4"/>
    <w:rsid w:val="00C90164"/>
    <w:rsid w:val="00CA247F"/>
    <w:rsid w:val="00CA50D6"/>
    <w:rsid w:val="00CB2C43"/>
    <w:rsid w:val="00CB3B76"/>
    <w:rsid w:val="00CC1235"/>
    <w:rsid w:val="00CD3273"/>
    <w:rsid w:val="00CE0670"/>
    <w:rsid w:val="00CF2F15"/>
    <w:rsid w:val="00D02B43"/>
    <w:rsid w:val="00D2423F"/>
    <w:rsid w:val="00D26041"/>
    <w:rsid w:val="00D33C82"/>
    <w:rsid w:val="00D4017C"/>
    <w:rsid w:val="00D468B0"/>
    <w:rsid w:val="00D54DCF"/>
    <w:rsid w:val="00D55381"/>
    <w:rsid w:val="00D62EAF"/>
    <w:rsid w:val="00D636C2"/>
    <w:rsid w:val="00D639FC"/>
    <w:rsid w:val="00D6798C"/>
    <w:rsid w:val="00D90ADE"/>
    <w:rsid w:val="00DA2847"/>
    <w:rsid w:val="00DA60DB"/>
    <w:rsid w:val="00DA6727"/>
    <w:rsid w:val="00DB2881"/>
    <w:rsid w:val="00DB6778"/>
    <w:rsid w:val="00DC2A2C"/>
    <w:rsid w:val="00E05321"/>
    <w:rsid w:val="00E24CCA"/>
    <w:rsid w:val="00E3417C"/>
    <w:rsid w:val="00E419C9"/>
    <w:rsid w:val="00E4323F"/>
    <w:rsid w:val="00E67791"/>
    <w:rsid w:val="00E90FCF"/>
    <w:rsid w:val="00E95BDB"/>
    <w:rsid w:val="00E968E0"/>
    <w:rsid w:val="00EA0045"/>
    <w:rsid w:val="00EA247B"/>
    <w:rsid w:val="00EB4F1B"/>
    <w:rsid w:val="00EB5949"/>
    <w:rsid w:val="00EB5960"/>
    <w:rsid w:val="00EC0165"/>
    <w:rsid w:val="00ED0DD9"/>
    <w:rsid w:val="00EF32C9"/>
    <w:rsid w:val="00EF61BA"/>
    <w:rsid w:val="00F0543D"/>
    <w:rsid w:val="00F07C7D"/>
    <w:rsid w:val="00F1219A"/>
    <w:rsid w:val="00F12784"/>
    <w:rsid w:val="00F148CE"/>
    <w:rsid w:val="00F247CA"/>
    <w:rsid w:val="00F266D8"/>
    <w:rsid w:val="00F5076C"/>
    <w:rsid w:val="00F5418B"/>
    <w:rsid w:val="00F60C76"/>
    <w:rsid w:val="00F623B7"/>
    <w:rsid w:val="00F65A63"/>
    <w:rsid w:val="00F731C7"/>
    <w:rsid w:val="00F73A5E"/>
    <w:rsid w:val="00F743F2"/>
    <w:rsid w:val="00F82B9A"/>
    <w:rsid w:val="00F84440"/>
    <w:rsid w:val="00F9062E"/>
    <w:rsid w:val="00F941B5"/>
    <w:rsid w:val="00F96C5A"/>
    <w:rsid w:val="00FA0389"/>
    <w:rsid w:val="00FB145A"/>
    <w:rsid w:val="00FB4424"/>
    <w:rsid w:val="00FB6783"/>
    <w:rsid w:val="00FC0DCC"/>
    <w:rsid w:val="00FC7737"/>
    <w:rsid w:val="00FC79E2"/>
    <w:rsid w:val="00FD1FE2"/>
    <w:rsid w:val="00FD3F9B"/>
    <w:rsid w:val="00FE100A"/>
    <w:rsid w:val="00FE6155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96A1F"/>
  <w15:chartTrackingRefBased/>
  <w15:docId w15:val="{F0D5C82F-2436-47D8-B6FE-518678B3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5897"/>
    <w:pPr>
      <w:widowControl w:val="0"/>
      <w:adjustRightInd w:val="0"/>
      <w:snapToGrid w:val="0"/>
      <w:jc w:val="both"/>
    </w:pPr>
    <w:rPr>
      <w:rFonts w:ascii="等线" w:eastAsia="等线" w:hAnsi="等线"/>
      <w:szCs w:val="22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iPriority w:val="99"/>
    <w:semiHidden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  <w:sz w:val="24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  <w:sz w:val="24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  <w:sz w:val="24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TOC1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TOC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TOC3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TOC4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TOC5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TOC6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TOC7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TOC8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TOC9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  <w:style w:type="paragraph" w:styleId="af2">
    <w:name w:val="Balloon Text"/>
    <w:basedOn w:val="a"/>
    <w:link w:val="af3"/>
    <w:semiHidden/>
    <w:unhideWhenUsed/>
    <w:rsid w:val="00184814"/>
    <w:rPr>
      <w:sz w:val="18"/>
      <w:szCs w:val="18"/>
    </w:rPr>
  </w:style>
  <w:style w:type="character" w:customStyle="1" w:styleId="af3">
    <w:name w:val="批注框文本 字符"/>
    <w:basedOn w:val="a1"/>
    <w:link w:val="af2"/>
    <w:semiHidden/>
    <w:rsid w:val="00184814"/>
    <w:rPr>
      <w:rFonts w:ascii="等线" w:eastAsia="等线" w:hAnsi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51C008-8736-4A47-9BFA-4E4567B7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Jiang, Hanxue</dc:creator>
  <cp:keywords>blank</cp:keywords>
  <dc:description/>
  <cp:lastModifiedBy>Jiang, Hanxue</cp:lastModifiedBy>
  <cp:revision>6</cp:revision>
  <cp:lastPrinted>1996-04-16T03:47:00Z</cp:lastPrinted>
  <dcterms:created xsi:type="dcterms:W3CDTF">2024-09-24T09:15:00Z</dcterms:created>
  <dcterms:modified xsi:type="dcterms:W3CDTF">2024-09-26T01:38:00Z</dcterms:modified>
</cp:coreProperties>
</file>