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240" w:line="594" w:lineRule="exact"/>
        <w:jc w:val="center"/>
        <w:rPr>
          <w:rFonts w:ascii="黑体" w:hAnsi="黑体" w:eastAsia="黑体" w:cs="黑体"/>
          <w:bCs/>
          <w:kern w:val="0"/>
          <w:sz w:val="36"/>
          <w:szCs w:val="36"/>
          <w:lang w:val="en-GB" w:bidi="ar-AE"/>
        </w:rPr>
      </w:pPr>
      <w:r>
        <w:rPr>
          <w:rFonts w:hint="eastAsia" w:ascii="黑体" w:hAnsi="黑体" w:eastAsia="黑体" w:cs="黑体"/>
          <w:bCs/>
          <w:kern w:val="0"/>
          <w:sz w:val="36"/>
          <w:szCs w:val="36"/>
          <w:lang w:val="en-GB" w:bidi="ar-AE"/>
        </w:rPr>
        <w:t>经营者集中简易案件公示表</w:t>
      </w:r>
    </w:p>
    <w:tbl>
      <w:tblPr>
        <w:tblStyle w:val="4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607"/>
        <w:gridCol w:w="6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940" w:type="dxa"/>
            <w:shd w:val="clear" w:color="auto" w:fill="D9D9D9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  <w:lang w:eastAsia="en-GB" w:bidi="ar-A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GB" w:eastAsia="en-GB" w:bidi="ar-AE"/>
              </w:rPr>
              <w:t>案件名称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名气家信息服务有限公司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安徽省天然气开发股份有限公司新设合营企业案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1940" w:type="dxa"/>
            <w:shd w:val="clear" w:color="auto" w:fill="D9D9D9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GB" w:bidi="ar-AE"/>
              </w:rPr>
              <w:t>交易概况（限200字内）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名气家信息服务有限公司（“名气家信息”）和安徽省天然气开发股份有限公司（“安徽天然气”）签署合资协议，拟共同出资新设一家合营企业。合营企业主要在芜湖市从事家用燃气灶、抽油烟机、热水器等产品的销售。交易后，名气家信息、安徽天然气各持有合营企业5</w:t>
            </w:r>
            <w:r>
              <w:rPr>
                <w:rFonts w:ascii="宋体" w:hAnsi="宋体" w:cs="宋体"/>
                <w:sz w:val="24"/>
                <w:szCs w:val="24"/>
              </w:rPr>
              <w:t>0%</w:t>
            </w:r>
            <w:r>
              <w:rPr>
                <w:rFonts w:hint="eastAsia" w:ascii="宋体" w:hAnsi="宋体" w:cs="宋体"/>
                <w:sz w:val="24"/>
                <w:szCs w:val="24"/>
              </w:rPr>
              <w:t>股权，</w:t>
            </w:r>
            <w:r>
              <w:rPr>
                <w:rFonts w:ascii="宋体" w:hAnsi="宋体" w:cs="宋体"/>
                <w:sz w:val="24"/>
                <w:szCs w:val="24"/>
              </w:rPr>
              <w:t>共同控制合营企业</w:t>
            </w:r>
            <w:r>
              <w:rPr>
                <w:rFonts w:hint="eastAsia" w:ascii="宋体" w:hAnsi="宋体" w:cs="宋体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GB" w:bidi="ar-AE"/>
              </w:rPr>
              <w:t>参与集中的经营者简介（每个限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100字以内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GB" w:bidi="ar-AE"/>
              </w:rPr>
              <w:t>）</w:t>
            </w:r>
          </w:p>
        </w:tc>
        <w:tc>
          <w:tcPr>
            <w:tcW w:w="1607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  <w:lang w:val="en-GB" w:bidi="ar-A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1.</w:t>
            </w:r>
            <w:r>
              <w:rPr>
                <w:rFonts w:hint="eastAsia" w:ascii="Times New Roman" w:hAnsi="Times New Roman" w:cs="Simplified Arabic"/>
                <w:kern w:val="0"/>
                <w:sz w:val="24"/>
                <w:szCs w:val="24"/>
                <w:lang w:val="en-GB" w:eastAsia="en-GB" w:bidi="ar-AE"/>
              </w:rPr>
              <w:t xml:space="preserve"> 名气家信息</w:t>
            </w:r>
          </w:p>
        </w:tc>
        <w:tc>
          <w:tcPr>
            <w:tcW w:w="6093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名气家信息于201</w:t>
            </w:r>
            <w:r>
              <w:rPr>
                <w:rFonts w:ascii="宋体" w:hAnsi="宋体" w:cs="宋体"/>
                <w:sz w:val="24"/>
                <w:szCs w:val="24"/>
              </w:rPr>
              <w:t>5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>7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>22</w:t>
            </w:r>
            <w:r>
              <w:rPr>
                <w:rFonts w:hint="eastAsia" w:ascii="宋体" w:hAnsi="宋体" w:cs="宋体"/>
                <w:sz w:val="24"/>
                <w:szCs w:val="24"/>
              </w:rPr>
              <w:t>日成立于广东省深圳市，主要从事厨房用品等商品的销售等业务。</w:t>
            </w:r>
          </w:p>
          <w:p>
            <w:pPr>
              <w:adjustRightInd w:val="0"/>
              <w:snapToGrid w:val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名气家信息最终控制人为香港中华煤气有限公司，主要在香港及内地从事燃气生产、输送与销售等。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  <w:lang w:val="en-GB" w:bidi="ar-AE"/>
              </w:rPr>
            </w:pPr>
          </w:p>
        </w:tc>
        <w:tc>
          <w:tcPr>
            <w:tcW w:w="1607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2．安徽天然气</w:t>
            </w:r>
          </w:p>
        </w:tc>
        <w:tc>
          <w:tcPr>
            <w:tcW w:w="6093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安徽天然气于20</w:t>
            </w:r>
            <w:r>
              <w:rPr>
                <w:rFonts w:ascii="宋体" w:hAnsi="宋体" w:cs="宋体"/>
                <w:sz w:val="24"/>
                <w:szCs w:val="24"/>
              </w:rPr>
              <w:t>03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>14</w:t>
            </w:r>
            <w:r>
              <w:rPr>
                <w:rFonts w:hint="eastAsia" w:ascii="宋体" w:hAnsi="宋体" w:cs="宋体"/>
                <w:sz w:val="24"/>
                <w:szCs w:val="24"/>
              </w:rPr>
              <w:t>日成立于安徽省合肥市，主要从事建设、经营和管理安徽全省天然气支干线管网，参与城市天然气管网开发建设和经营管理。</w:t>
            </w:r>
          </w:p>
          <w:p>
            <w:pPr>
              <w:adjustRightInd w:val="0"/>
              <w:snapToGrid w:val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安徽天然气最终控制人为安徽省能源集团有限公司，其业务涵盖火力发电、天然气运输和销售、新能源发电、煤炭物流、电力服务、金融投资等。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GB" w:bidi="ar-AE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GB" w:bidi="ar-AE"/>
              </w:rPr>
              <w:sym w:font="Wingdings" w:char="00A8"/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  <w:lang w:val="en-GB" w:bidi="ar-AE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GB" w:bidi="ar-AE"/>
              </w:rPr>
              <w:t>1、在同一相关市场，所有参与集中的经营者所占市场份额之和小于15%。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</w:p>
        </w:tc>
        <w:tc>
          <w:tcPr>
            <w:tcW w:w="770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GB" w:bidi="ar-AE"/>
              </w:rPr>
              <w:sym w:font="Wingdings" w:char="00A8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GB" w:bidi="ar-AE"/>
              </w:rPr>
              <w:t xml:space="preserve"> 2、存在上下游关系的参与集中的经营者，在上下游市场所占的市场份额均小于25%。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</w:p>
        </w:tc>
        <w:tc>
          <w:tcPr>
            <w:tcW w:w="770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GB" w:bidi="ar-AE"/>
              </w:rPr>
              <w:sym w:font="Wingdings" w:char="00FE"/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  <w:lang w:val="en-GB" w:bidi="ar-AE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GB" w:bidi="ar-AE"/>
              </w:rPr>
              <w:t>3、不在同一相关市场、也不存在上下游关系的参与集中的经营者，在与交易有关的每个市场所占的份额均小于25%。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GB" w:bidi="ar-AE"/>
              </w:rPr>
              <w:sym w:font="Wingdings" w:char="00A8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GB" w:bidi="ar-AE"/>
              </w:rPr>
              <w:t xml:space="preserve"> 4、参与集中的经营者在中国境外设立合营企业，合营企业不在中国境内从事经济活动。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GB" w:bidi="ar-AE"/>
              </w:rPr>
              <w:sym w:font="Wingdings" w:char="00A8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GB" w:bidi="ar-AE"/>
              </w:rPr>
              <w:t xml:space="preserve"> 5、参与集中的经营者收购境外企业股权或资产的，该境外企业不在中国境内从事经济活动。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GB" w:bidi="ar-AE"/>
              </w:rPr>
              <w:sym w:font="Wingdings" w:char="00A8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GB" w:bidi="ar-AE"/>
              </w:rPr>
              <w:t xml:space="preserve"> 6、由两个以上的经营者共同控制的合营企业，通过集中被其中一个或一个以上经营者控制。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4" w:hRule="atLeast"/>
          <w:jc w:val="center"/>
        </w:trPr>
        <w:tc>
          <w:tcPr>
            <w:tcW w:w="1940" w:type="dxa"/>
            <w:shd w:val="clear" w:color="auto" w:fill="D9D9D9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-AE"/>
              </w:rPr>
              <w:t>混合集中</w:t>
            </w:r>
          </w:p>
          <w:p>
            <w:pPr>
              <w:adjustRightInd w:val="0"/>
              <w:snapToGrid w:val="0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2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023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年中国境内家用燃气灶市场：</w:t>
            </w:r>
          </w:p>
          <w:p>
            <w:pPr>
              <w:adjustRightInd w:val="0"/>
              <w:snapToGrid w:val="0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名气家信息：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0-5%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；</w:t>
            </w:r>
          </w:p>
          <w:p>
            <w:pPr>
              <w:adjustRightInd w:val="0"/>
              <w:snapToGrid w:val="0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202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3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年中国境内家用抽油烟机市场：</w:t>
            </w:r>
          </w:p>
          <w:p>
            <w:pPr>
              <w:adjustRightInd w:val="0"/>
              <w:snapToGrid w:val="0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名气家信息：0-5%；</w:t>
            </w:r>
          </w:p>
          <w:p>
            <w:pPr>
              <w:adjustRightInd w:val="0"/>
              <w:snapToGrid w:val="0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202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3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年中国境内家用热水器市场：</w:t>
            </w:r>
          </w:p>
          <w:p>
            <w:pPr>
              <w:adjustRightInd w:val="0"/>
              <w:snapToGrid w:val="0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名气家信息：0-5%</w:t>
            </w:r>
          </w:p>
        </w:tc>
      </w:tr>
    </w:tbl>
    <w:p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plified Arabic">
    <w:altName w:val="DejaVu Sans"/>
    <w:panose1 w:val="00000000000000000000"/>
    <w:charset w:val="B2"/>
    <w:family w:val="roman"/>
    <w:pitch w:val="default"/>
    <w:sig w:usb0="00000000" w:usb1="00000000" w:usb2="00000008" w:usb3="00000000" w:csb0="00000041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䡡湄楮札䍓ⵆ潮瑳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2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651"/>
    <w:rsid w:val="002D4CC8"/>
    <w:rsid w:val="0033401A"/>
    <w:rsid w:val="003F7CA4"/>
    <w:rsid w:val="004D268E"/>
    <w:rsid w:val="0062477D"/>
    <w:rsid w:val="00645538"/>
    <w:rsid w:val="008356E0"/>
    <w:rsid w:val="00897E98"/>
    <w:rsid w:val="008C5651"/>
    <w:rsid w:val="008D79CD"/>
    <w:rsid w:val="008F6039"/>
    <w:rsid w:val="00997A15"/>
    <w:rsid w:val="00A47903"/>
    <w:rsid w:val="00AF15A0"/>
    <w:rsid w:val="00BC1663"/>
    <w:rsid w:val="00DE1A27"/>
    <w:rsid w:val="00EB49FF"/>
    <w:rsid w:val="78E6C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129</Words>
  <Characters>739</Characters>
  <Lines>6</Lines>
  <Paragraphs>1</Paragraphs>
  <TotalTime>18</TotalTime>
  <ScaleCrop>false</ScaleCrop>
  <LinksUpToDate>false</LinksUpToDate>
  <CharactersWithSpaces>867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2025-03-07T09:56:00Z</dcterms:created>
  <dc:creator>JT</dc:creator>
  <cp:lastModifiedBy>scjuser</cp:lastModifiedBy>
  <dcterms:modified xsi:type="dcterms:W3CDTF">2025-03-07T14:47:06Z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