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C833">
      <w:pPr>
        <w:spacing w:line="440" w:lineRule="exact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ascii="黑体" w:hAnsi="黑体" w:eastAsia="黑体"/>
          <w:b/>
          <w:sz w:val="36"/>
          <w:szCs w:val="32"/>
        </w:rPr>
        <w:t>经营者集中简易案件公示表</w:t>
      </w:r>
    </w:p>
    <w:p w14:paraId="30DD8089">
      <w:pPr>
        <w:snapToGrid w:val="0"/>
        <w:spacing w:after="0" w:afterLines="-2147483648"/>
        <w:jc w:val="center"/>
        <w:rPr>
          <w:rFonts w:ascii="Times New Roman Italic" w:hAnsi="Times New Roman Italic" w:cs="Times New Roman Italic"/>
          <w:bCs/>
          <w:i/>
          <w:iCs/>
          <w:sz w:val="24"/>
          <w:szCs w:val="24"/>
          <w:highlight w:val="yellow"/>
        </w:rPr>
      </w:pPr>
    </w:p>
    <w:tbl>
      <w:tblPr>
        <w:tblStyle w:val="13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26"/>
        <w:gridCol w:w="5812"/>
      </w:tblGrid>
      <w:tr w14:paraId="3E7F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02" w:type="dxa"/>
            <w:shd w:val="clear" w:color="auto" w:fill="D9D9D9"/>
            <w:vAlign w:val="center"/>
          </w:tcPr>
          <w:p w14:paraId="6F52D1DB">
            <w:pPr>
              <w:snapToGrid w:val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</w:rPr>
              <w:t>案件名称</w:t>
            </w:r>
          </w:p>
        </w:tc>
        <w:tc>
          <w:tcPr>
            <w:tcW w:w="7938" w:type="dxa"/>
            <w:gridSpan w:val="2"/>
            <w:vAlign w:val="center"/>
          </w:tcPr>
          <w:p w14:paraId="57499FAA">
            <w:pPr>
              <w:widowControl/>
              <w:snapToGrid w:val="0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苏州东山精密制造股份有限公司收购Source Photonics Holding (Cayman) Limited股权案</w:t>
            </w:r>
          </w:p>
        </w:tc>
      </w:tr>
      <w:tr w14:paraId="526C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702" w:type="dxa"/>
            <w:shd w:val="clear" w:color="auto" w:fill="D9D9D9"/>
            <w:vAlign w:val="center"/>
          </w:tcPr>
          <w:p w14:paraId="2EE8A25B">
            <w:pPr>
              <w:snapToGrid w:val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</w:rPr>
              <w:t>交易概况（限200字内）</w:t>
            </w:r>
          </w:p>
        </w:tc>
        <w:tc>
          <w:tcPr>
            <w:tcW w:w="7938" w:type="dxa"/>
            <w:gridSpan w:val="2"/>
          </w:tcPr>
          <w:p w14:paraId="42C09031">
            <w:pPr>
              <w:widowControl/>
              <w:snapToGrid w:val="0"/>
              <w:rPr>
                <w:rFonts w:hint="eastAsia"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日，</w:t>
            </w:r>
            <w:bookmarkStart w:id="0" w:name="_Hlk194070964"/>
            <w:r>
              <w:rPr>
                <w:rFonts w:hint="eastAsia"/>
                <w:sz w:val="24"/>
                <w:szCs w:val="24"/>
              </w:rPr>
              <w:t>苏州东山精密制造股份有限公司（“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东山精密</w:t>
            </w:r>
            <w:r>
              <w:rPr>
                <w:rFonts w:hint="eastAsia"/>
                <w:sz w:val="24"/>
                <w:szCs w:val="24"/>
              </w:rPr>
              <w:t>”）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及其控制的关联实体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与</w:t>
            </w:r>
            <w:r>
              <w:rPr>
                <w:rFonts w:ascii="Arial" w:hAnsi="Arial" w:cs="Arial"/>
                <w:sz w:val="24"/>
                <w:szCs w:val="24"/>
              </w:rPr>
              <w:t>Source Photonics Holding (Cayman) Limited</w:t>
            </w:r>
            <w:r>
              <w:rPr>
                <w:rFonts w:hint="eastAsia"/>
                <w:sz w:val="24"/>
                <w:szCs w:val="24"/>
              </w:rPr>
              <w:t>（“</w:t>
            </w:r>
            <w:r>
              <w:rPr>
                <w:rFonts w:hint="eastAsia"/>
                <w:b/>
                <w:bCs/>
                <w:sz w:val="24"/>
                <w:szCs w:val="24"/>
              </w:rPr>
              <w:t>索尔思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开曼</w:t>
            </w:r>
            <w:r>
              <w:rPr>
                <w:rFonts w:hint="eastAsia"/>
                <w:sz w:val="24"/>
                <w:szCs w:val="24"/>
              </w:rPr>
              <w:t>”）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的现有股东签署协议，东山精密拟收购索尔思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开曼100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%股份。</w:t>
            </w:r>
            <w:bookmarkEnd w:id="0"/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索尔思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开曼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主要从事光收发模块的研发、生产和销售。本次交易前，索尔思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开曼无最终控制人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。本次交易后，东山精密将持有索尔思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开曼100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%股份，单独控制索尔思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开曼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。</w:t>
            </w:r>
          </w:p>
        </w:tc>
      </w:tr>
      <w:tr w14:paraId="0BA0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02FE2579">
            <w:pPr>
              <w:snapToGrid w:val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</w:rPr>
              <w:t>参与集中的经营者简介</w:t>
            </w:r>
          </w:p>
        </w:tc>
        <w:tc>
          <w:tcPr>
            <w:tcW w:w="2126" w:type="dxa"/>
          </w:tcPr>
          <w:p w14:paraId="583CCD90">
            <w:pPr>
              <w:pStyle w:val="30"/>
              <w:numPr>
                <w:ilvl w:val="0"/>
                <w:numId w:val="2"/>
              </w:numPr>
              <w:snapToGrid w:val="0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东山精密</w:t>
            </w:r>
          </w:p>
        </w:tc>
        <w:tc>
          <w:tcPr>
            <w:tcW w:w="5812" w:type="dxa"/>
          </w:tcPr>
          <w:p w14:paraId="6E533E2E">
            <w:pPr>
              <w:snapToGrid w:val="0"/>
              <w:jc w:val="left"/>
              <w:rPr>
                <w:rFonts w:ascii="Arial" w:hAnsi="Arial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东山精密于1998年10月28日成立于江苏省苏州市，主要从事电子电路产品、精密组件产品、触控显示模组和LED显示器件的生产销售业务。</w:t>
            </w:r>
          </w:p>
          <w:p w14:paraId="59323E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东山精密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的最终控制人为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自然人</w:t>
            </w:r>
            <w:r>
              <w:rPr>
                <w:rFonts w:ascii="Arial" w:hAnsi="Arial" w:eastAsia="宋体" w:cs="Arial"/>
                <w:bCs/>
                <w:kern w:val="0"/>
                <w:sz w:val="24"/>
                <w:szCs w:val="24"/>
                <w:lang w:val="en-GB"/>
              </w:rPr>
              <w:t>，</w:t>
            </w:r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</w:rPr>
              <w:t>主要通过其控制实体在电子器件、</w:t>
            </w:r>
            <w:bookmarkStart w:id="1" w:name="_GoBack"/>
            <w:bookmarkEnd w:id="1"/>
            <w:r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</w:rPr>
              <w:t>测量仪器、新材料等领域从事业务。</w:t>
            </w:r>
          </w:p>
        </w:tc>
      </w:tr>
      <w:tr w14:paraId="59A7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702" w:type="dxa"/>
            <w:vMerge w:val="continue"/>
            <w:shd w:val="clear" w:color="auto" w:fill="D9D9D9"/>
            <w:vAlign w:val="center"/>
          </w:tcPr>
          <w:p w14:paraId="2AF60A34">
            <w:pPr>
              <w:snapToGrid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F233A0">
            <w:pPr>
              <w:pStyle w:val="30"/>
              <w:numPr>
                <w:ilvl w:val="0"/>
                <w:numId w:val="2"/>
              </w:numPr>
              <w:snapToGrid w:val="0"/>
              <w:ind w:firstLine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索尔思开曼</w:t>
            </w:r>
          </w:p>
        </w:tc>
        <w:tc>
          <w:tcPr>
            <w:tcW w:w="5812" w:type="dxa"/>
            <w:shd w:val="clear" w:color="auto" w:fill="auto"/>
          </w:tcPr>
          <w:p w14:paraId="568600E2">
            <w:pPr>
              <w:widowControl/>
              <w:snapToGrid w:val="0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索尔思开曼于2010年11月17日成立于开曼群岛，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索尔思开曼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主要从事光收发模块的研发、生产与销售业务。</w:t>
            </w:r>
          </w:p>
          <w:p w14:paraId="55B34695">
            <w:pPr>
              <w:widowControl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索尔思开曼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最终控制人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。</w:t>
            </w:r>
          </w:p>
        </w:tc>
      </w:tr>
      <w:tr w14:paraId="470D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shd w:val="clear" w:color="auto" w:fill="D9D9D9"/>
            <w:vAlign w:val="center"/>
          </w:tcPr>
          <w:p w14:paraId="26009C39">
            <w:pPr>
              <w:snapToGrid w:val="0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938" w:type="dxa"/>
            <w:gridSpan w:val="2"/>
          </w:tcPr>
          <w:p w14:paraId="0075ECE2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0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1、在同一相关市场，参与集中的经营者所占的市场份额之和小于15%。</w:t>
            </w:r>
          </w:p>
        </w:tc>
      </w:tr>
      <w:tr w14:paraId="2787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  <w:vAlign w:val="center"/>
          </w:tcPr>
          <w:p w14:paraId="664602D7">
            <w:pPr>
              <w:snapToGrid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6E7D949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00FE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2、在上下游市场，参与集中的经营者所占的市场份额均小于25%。</w:t>
            </w:r>
          </w:p>
        </w:tc>
      </w:tr>
      <w:tr w14:paraId="69B5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  <w:vAlign w:val="center"/>
          </w:tcPr>
          <w:p w14:paraId="13E8F86C">
            <w:pPr>
              <w:snapToGrid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B8F0B6B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3、不在同一相关市场也不存在上下游关系的参与集中的经营者，在与交易有关的每个市场所占的市场份额均小于25%。</w:t>
            </w:r>
          </w:p>
        </w:tc>
      </w:tr>
      <w:tr w14:paraId="6D10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  <w:vAlign w:val="center"/>
          </w:tcPr>
          <w:p w14:paraId="03500178">
            <w:pPr>
              <w:snapToGrid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F550E3E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>4、参与集中的经营者在中国境外设立合营企业，合营企业不在中国境内从事经济活动。</w:t>
            </w:r>
          </w:p>
        </w:tc>
      </w:tr>
      <w:tr w14:paraId="368A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  <w:vAlign w:val="center"/>
          </w:tcPr>
          <w:p w14:paraId="22EC66D7">
            <w:pPr>
              <w:snapToGrid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2321634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5、参与集中的经营者收购境外企业股权或资产的，该境外企业不在中国境内从事经济活动。</w:t>
            </w:r>
          </w:p>
        </w:tc>
      </w:tr>
      <w:tr w14:paraId="3FAD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  <w:vAlign w:val="center"/>
          </w:tcPr>
          <w:p w14:paraId="0091861A">
            <w:pPr>
              <w:snapToGrid w:val="0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9D230F7">
            <w:pPr>
              <w:tabs>
                <w:tab w:val="left" w:pos="269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6、由两个以上的经营者共同控制的合营企业，通过集中被其中一个或一个以上经营者控制。</w:t>
            </w:r>
          </w:p>
        </w:tc>
      </w:tr>
      <w:tr w14:paraId="712B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702" w:type="dxa"/>
            <w:shd w:val="clear" w:color="auto" w:fill="D9D9D9"/>
            <w:vAlign w:val="center"/>
          </w:tcPr>
          <w:p w14:paraId="79C751AB">
            <w:pPr>
              <w:snapToGrid w:val="0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2"/>
          </w:tcPr>
          <w:p w14:paraId="697A74AA">
            <w:pPr>
              <w:pStyle w:val="30"/>
              <w:widowControl/>
              <w:snapToGrid w:val="0"/>
              <w:ind w:firstLine="0" w:firstLineChars="0"/>
              <w:rPr>
                <w:rFonts w:eastAsia="宋体"/>
                <w:bCs/>
                <w:sz w:val="24"/>
                <w:szCs w:val="24"/>
              </w:rPr>
            </w:pPr>
          </w:p>
          <w:p w14:paraId="08E7F516">
            <w:pPr>
              <w:pStyle w:val="30"/>
              <w:widowControl/>
              <w:snapToGrid w:val="0"/>
              <w:ind w:firstLine="0" w:firstLineChars="0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 w:val="0"/>
                <w:sz w:val="24"/>
                <w:szCs w:val="24"/>
              </w:rPr>
              <w:t>纵向关联</w:t>
            </w:r>
            <w:r>
              <w:rPr>
                <w:rFonts w:hint="eastAsia" w:eastAsia="宋体"/>
                <w:bCs/>
                <w:sz w:val="24"/>
                <w:szCs w:val="24"/>
              </w:rPr>
              <w:t>：</w:t>
            </w:r>
          </w:p>
          <w:p w14:paraId="42A701B0">
            <w:pPr>
              <w:pStyle w:val="30"/>
              <w:widowControl/>
              <w:snapToGrid w:val="0"/>
              <w:ind w:firstLine="0" w:firstLineChars="0"/>
              <w:rPr>
                <w:rFonts w:hint="eastAsia" w:eastAsia="宋体"/>
                <w:bCs/>
                <w:sz w:val="24"/>
                <w:szCs w:val="24"/>
              </w:rPr>
            </w:pPr>
          </w:p>
          <w:tbl>
            <w:tblPr>
              <w:tblStyle w:val="13"/>
              <w:tblW w:w="4890" w:type="pct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5"/>
              <w:gridCol w:w="2126"/>
              <w:gridCol w:w="3261"/>
            </w:tblGrid>
            <w:tr w14:paraId="43A45D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  <w:tblHeader/>
              </w:trPr>
              <w:tc>
                <w:tcPr>
                  <w:tcW w:w="1429" w:type="pct"/>
                  <w:shd w:val="pct10" w:color="auto" w:fill="FFFFFF"/>
                  <w:vAlign w:val="center"/>
                </w:tcPr>
                <w:p w14:paraId="1D93FD0D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  <w:t>相关商品市场</w:t>
                  </w:r>
                </w:p>
              </w:tc>
              <w:tc>
                <w:tcPr>
                  <w:tcW w:w="1409" w:type="pct"/>
                  <w:shd w:val="pct10" w:color="auto" w:fill="FFFFFF"/>
                  <w:vAlign w:val="center"/>
                </w:tcPr>
                <w:p w14:paraId="515F9E2F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161" w:type="pct"/>
                  <w:shd w:val="pct10" w:color="auto" w:fill="FFFFFF"/>
                  <w:vAlign w:val="center"/>
                </w:tcPr>
                <w:p w14:paraId="5C444F55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 w:val="24"/>
                      <w:szCs w:val="24"/>
                    </w:rPr>
                    <w:t>2024年</w:t>
                  </w:r>
                  <w:r>
                    <w:rPr>
                      <w:rFonts w:ascii="Arial" w:hAnsi="Arial" w:eastAsia="宋体" w:cs="Arial"/>
                      <w:b/>
                      <w:sz w:val="24"/>
                      <w:szCs w:val="24"/>
                    </w:rPr>
                    <w:t>市场份额</w:t>
                  </w:r>
                </w:p>
              </w:tc>
            </w:tr>
            <w:tr w14:paraId="30FE4C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0" w:hRule="atLeast"/>
              </w:trPr>
              <w:tc>
                <w:tcPr>
                  <w:tcW w:w="1429" w:type="pct"/>
                  <w:shd w:val="clear" w:color="auto" w:fill="auto"/>
                </w:tcPr>
                <w:p w14:paraId="7CE130CF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上游：刚性印制电路板</w:t>
                  </w: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市场</w:t>
                  </w:r>
                </w:p>
                <w:p w14:paraId="2F704509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</w:p>
                <w:p w14:paraId="054A552A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</w:pPr>
                </w:p>
                <w:p w14:paraId="6700AFE9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下游：光收发模块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14:paraId="1E8FD3C1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上游：全球</w:t>
                  </w:r>
                </w:p>
                <w:p w14:paraId="0EBB647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BB7086E">
                  <w:pPr>
                    <w:jc w:val="left"/>
                    <w:rPr>
                      <w:rFonts w:hint="eastAsia" w:ascii="Arial" w:hAnsi="Arial" w:cs="Arial"/>
                      <w:sz w:val="24"/>
                      <w:szCs w:val="24"/>
                    </w:rPr>
                  </w:pPr>
                </w:p>
                <w:p w14:paraId="60149C37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0697A2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下游：全球</w:t>
                  </w:r>
                </w:p>
              </w:tc>
              <w:tc>
                <w:tcPr>
                  <w:tcW w:w="2161" w:type="pct"/>
                  <w:shd w:val="clear" w:color="auto" w:fill="auto"/>
                </w:tcPr>
                <w:p w14:paraId="38F0FC01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上游：刚性印制电路板市场</w:t>
                  </w:r>
                </w:p>
                <w:p w14:paraId="324C5E6E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东山精密：全球市场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0-5%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；中国境内市场：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0-5%</w:t>
                  </w:r>
                </w:p>
                <w:p w14:paraId="45464F66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</w:p>
                <w:p w14:paraId="3DA34F70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下游：光收发模块市场</w:t>
                  </w:r>
                </w:p>
                <w:p w14:paraId="2688CA15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索尔思开曼：全球市场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0-5%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；</w:t>
                  </w: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中国境内市场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0-5%</w:t>
                  </w:r>
                </w:p>
                <w:p w14:paraId="2098DE3E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F946C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1429" w:type="pct"/>
                  <w:shd w:val="clear" w:color="auto" w:fill="auto"/>
                </w:tcPr>
                <w:p w14:paraId="28ECE654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上游：柔性印制电路板</w:t>
                  </w: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市场</w:t>
                  </w:r>
                </w:p>
                <w:p w14:paraId="6A256303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ACE8A2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</w:pPr>
                </w:p>
                <w:p w14:paraId="1AF8DDBF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下游：光收发模块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14:paraId="004355C2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上游：全球</w:t>
                  </w:r>
                </w:p>
                <w:p w14:paraId="64998CDE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24CA34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53BF46">
                  <w:pPr>
                    <w:jc w:val="left"/>
                    <w:rPr>
                      <w:rFonts w:hint="eastAsia" w:ascii="Arial" w:hAnsi="Arial" w:cs="Arial"/>
                      <w:sz w:val="24"/>
                      <w:szCs w:val="24"/>
                    </w:rPr>
                  </w:pPr>
                </w:p>
                <w:p w14:paraId="595EF99D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下游：全球</w:t>
                  </w:r>
                </w:p>
              </w:tc>
              <w:tc>
                <w:tcPr>
                  <w:tcW w:w="2161" w:type="pct"/>
                  <w:shd w:val="clear" w:color="auto" w:fill="auto"/>
                </w:tcPr>
                <w:p w14:paraId="332C43F5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上游：柔性印制电路板市场</w:t>
                  </w:r>
                </w:p>
                <w:p w14:paraId="243F4F0E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东山精密：全球市场15-20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；中国境内市场0-5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%</w:t>
                  </w:r>
                </w:p>
                <w:p w14:paraId="3ED2C438">
                  <w:pPr>
                    <w:widowControl/>
                    <w:snapToGrid w:val="0"/>
                    <w:jc w:val="left"/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</w:p>
                <w:p w14:paraId="576E6374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下游：光收发模块市场</w:t>
                  </w:r>
                </w:p>
                <w:p w14:paraId="2FE0AD72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索尔思开曼：如上所述</w:t>
                  </w:r>
                </w:p>
                <w:p w14:paraId="0D12271E">
                  <w:pPr>
                    <w:widowControl/>
                    <w:snapToGrid w:val="0"/>
                    <w:jc w:val="left"/>
                    <w:rPr>
                      <w:rFonts w:hint="eastAsia" w:ascii="Arial" w:hAnsi="Arial" w:eastAsia="宋体" w:cs="Arial"/>
                      <w:sz w:val="24"/>
                      <w:szCs w:val="24"/>
                    </w:rPr>
                  </w:pPr>
                </w:p>
              </w:tc>
            </w:tr>
            <w:tr w14:paraId="71A2BB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1429" w:type="pct"/>
                  <w:shd w:val="clear" w:color="auto" w:fill="auto"/>
                </w:tcPr>
                <w:p w14:paraId="5CEA12D3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  <w:t>上游：刚挠印制电路板</w:t>
                  </w: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市场</w:t>
                  </w:r>
                </w:p>
                <w:p w14:paraId="3566E30D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4528909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hint="eastAsia" w:ascii="Arial" w:hAnsi="Arial" w:cs="Arial"/>
                      <w:kern w:val="0"/>
                      <w:sz w:val="24"/>
                      <w:szCs w:val="24"/>
                    </w:rPr>
                  </w:pPr>
                </w:p>
                <w:p w14:paraId="39E49844">
                  <w:pPr>
                    <w:tabs>
                      <w:tab w:val="left" w:pos="1498"/>
                      <w:tab w:val="left" w:pos="2934"/>
                      <w:tab w:val="left" w:pos="3920"/>
                    </w:tabs>
                    <w:adjustRightInd w:val="0"/>
                    <w:snapToGrid w:val="0"/>
                    <w:ind w:right="-1"/>
                    <w:jc w:val="left"/>
                    <w:rPr>
                      <w:rFonts w:ascii="Arial" w:hAnsi="Arial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下游：光收发模块</w:t>
                  </w:r>
                  <w:r>
                    <w:rPr>
                      <w:rFonts w:ascii="Arial" w:hAnsi="Arial" w:eastAsia="宋体" w:cs="Arial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14:paraId="72C8B3F7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上游：全球</w:t>
                  </w:r>
                </w:p>
                <w:p w14:paraId="352F735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4C1153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1D262EA">
                  <w:pPr>
                    <w:jc w:val="left"/>
                    <w:rPr>
                      <w:rFonts w:hint="eastAsia" w:ascii="Arial" w:hAnsi="Arial" w:cs="Arial"/>
                      <w:sz w:val="24"/>
                      <w:szCs w:val="24"/>
                    </w:rPr>
                  </w:pPr>
                </w:p>
                <w:p w14:paraId="2E75203B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sz w:val="24"/>
                      <w:szCs w:val="24"/>
                    </w:rPr>
                    <w:t>下游：全球</w:t>
                  </w:r>
                </w:p>
              </w:tc>
              <w:tc>
                <w:tcPr>
                  <w:tcW w:w="2161" w:type="pct"/>
                  <w:shd w:val="clear" w:color="auto" w:fill="auto"/>
                </w:tcPr>
                <w:p w14:paraId="39AF78B1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上游：刚挠印制电路板市场</w:t>
                  </w:r>
                </w:p>
                <w:p w14:paraId="2E0F5D65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东山精密：全球市场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0-5%</w:t>
                  </w: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；</w:t>
                  </w:r>
                </w:p>
                <w:p w14:paraId="6174995F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宋体" w:cs="Arial"/>
                      <w:bCs/>
                      <w:kern w:val="0"/>
                      <w:sz w:val="24"/>
                      <w:szCs w:val="24"/>
                    </w:rPr>
                    <w:t>中国境内市场：</w:t>
                  </w:r>
                  <w:r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  <w:t>0-5%</w:t>
                  </w:r>
                </w:p>
                <w:p w14:paraId="7C2039F1">
                  <w:pPr>
                    <w:widowControl/>
                    <w:snapToGrid w:val="0"/>
                    <w:jc w:val="left"/>
                    <w:rPr>
                      <w:rFonts w:ascii="Arial" w:hAnsi="Arial" w:eastAsia="宋体" w:cs="Arial"/>
                      <w:bCs/>
                      <w:kern w:val="0"/>
                      <w:sz w:val="24"/>
                      <w:szCs w:val="24"/>
                    </w:rPr>
                  </w:pPr>
                </w:p>
                <w:p w14:paraId="2455C369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下游：光收发模块市场</w:t>
                  </w:r>
                </w:p>
                <w:p w14:paraId="0BA54470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bCs/>
                      <w:kern w:val="0"/>
                      <w:sz w:val="24"/>
                      <w:szCs w:val="24"/>
                    </w:rPr>
                    <w:t>索尔思开曼：如上所述</w:t>
                  </w:r>
                </w:p>
                <w:p w14:paraId="313D66C9">
                  <w:pPr>
                    <w:widowControl/>
                    <w:snapToGrid w:val="0"/>
                    <w:jc w:val="left"/>
                    <w:rPr>
                      <w:rFonts w:hint="eastAsia"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6EDB3D">
            <w:pPr>
              <w:pStyle w:val="30"/>
              <w:widowControl/>
              <w:snapToGrid w:val="0"/>
              <w:ind w:firstLine="0" w:firstLineChars="0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14:paraId="3AE4F764">
      <w:pPr>
        <w:snapToGrid w:val="0"/>
        <w:spacing w:after="156" w:afterLines="50"/>
        <w:rPr>
          <w:sz w:val="24"/>
          <w:szCs w:val="24"/>
        </w:rPr>
      </w:pPr>
    </w:p>
    <w:sectPr>
      <w:footerReference r:id="rId5" w:type="first"/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7730">
    <w:pPr>
      <w:pStyle w:val="28"/>
    </w:pPr>
    <w:r>
      <w:t>[BRUSSELS 621754_4]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21A6">
    <w:pPr>
      <w:pStyle w:val="28"/>
    </w:pPr>
    <w:r>
      <w:t>[BRUSSELS 621754_4]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D0EE">
    <w:pPr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E751E"/>
    <w:multiLevelType w:val="multilevel"/>
    <w:tmpl w:val="06FE751E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33A4B6A"/>
    <w:multiLevelType w:val="multilevel"/>
    <w:tmpl w:val="433A4B6A"/>
    <w:lvl w:ilvl="0" w:tentative="0">
      <w:start w:val="1"/>
      <w:numFmt w:val="decimal"/>
      <w:pStyle w:val="33"/>
      <w:lvlText w:val="%1."/>
      <w:lvlJc w:val="left"/>
      <w:pPr>
        <w:ind w:left="720" w:hanging="720"/>
      </w:pPr>
      <w:rPr>
        <w:rFonts w:hint="default"/>
        <w:color w:val="000000"/>
      </w:rPr>
    </w:lvl>
    <w:lvl w:ilvl="1" w:tentative="0">
      <w:start w:val="1"/>
      <w:numFmt w:val="lowerLetter"/>
      <w:pStyle w:val="34"/>
      <w:lvlText w:val="(%2)"/>
      <w:lvlJc w:val="left"/>
      <w:pPr>
        <w:ind w:left="1440" w:hanging="720"/>
      </w:pPr>
      <w:rPr>
        <w:rFonts w:hint="default"/>
        <w:color w:val="000000"/>
      </w:rPr>
    </w:lvl>
    <w:lvl w:ilvl="2" w:tentative="0">
      <w:start w:val="1"/>
      <w:numFmt w:val="lowerRoman"/>
      <w:pStyle w:val="35"/>
      <w:lvlText w:val="(%3)"/>
      <w:lvlJc w:val="left"/>
      <w:pPr>
        <w:ind w:left="2160" w:hanging="720"/>
      </w:pPr>
      <w:rPr>
        <w:rFonts w:hint="default"/>
        <w:color w:val="000000"/>
      </w:rPr>
    </w:lvl>
    <w:lvl w:ilvl="3" w:tentative="0">
      <w:start w:val="1"/>
      <w:numFmt w:val="decimal"/>
      <w:pStyle w:val="36"/>
      <w:lvlText w:val="(%4)"/>
      <w:lvlJc w:val="left"/>
      <w:pPr>
        <w:ind w:left="2880" w:hanging="720"/>
      </w:pPr>
      <w:rPr>
        <w:rFonts w:hint="default"/>
        <w:color w:val="000000"/>
      </w:rPr>
    </w:lvl>
    <w:lvl w:ilvl="4" w:tentative="0">
      <w:start w:val="1"/>
      <w:numFmt w:val="lowerLetter"/>
      <w:pStyle w:val="37"/>
      <w:lvlText w:val="(%5)"/>
      <w:lvlJc w:val="left"/>
      <w:pPr>
        <w:ind w:left="3600" w:hanging="720"/>
      </w:pPr>
      <w:rPr>
        <w:rFonts w:hint="default"/>
        <w:color w:val="000000"/>
      </w:rPr>
    </w:lvl>
    <w:lvl w:ilvl="5" w:tentative="0">
      <w:start w:val="1"/>
      <w:numFmt w:val="none"/>
      <w:lvlText w:val=""/>
      <w:lvlJc w:val="left"/>
      <w:pPr>
        <w:tabs>
          <w:tab w:val="left" w:pos="5040"/>
        </w:tabs>
        <w:ind w:left="4320" w:hanging="720"/>
      </w:pPr>
      <w:rPr>
        <w:rFonts w:hint="default"/>
      </w:rPr>
    </w:lvl>
    <w:lvl w:ilvl="6" w:tentative="0">
      <w:start w:val="1"/>
      <w:numFmt w:val="none"/>
      <w:lvlText w:val=""/>
      <w:lvlJc w:val="left"/>
      <w:pPr>
        <w:tabs>
          <w:tab w:val="left" w:pos="5760"/>
        </w:tabs>
        <w:ind w:left="5040" w:hanging="72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6480"/>
        </w:tabs>
        <w:ind w:left="5760" w:hanging="72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720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hideSpellingErrors/>
  <w:hideGrammaticalErrors/>
  <w:trackRevisions w:val="1"/>
  <w:documentProtection w:enforcement="0"/>
  <w:styleLockQFSet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edForWebBugs" w:val="True"/>
    <w:docVar w:name="commondata" w:val="eyJoZGlkIjoiNWUzYzcxMTc1MjU4MTQzNWM4OTE0MmQ1NGJmNTFiOWYifQ=="/>
    <w:docVar w:name="KEOutsideDoc" w:val="True"/>
    <w:docVar w:name="trailer" w:val="none"/>
    <w:docVar w:name="TrailerFullName" w:val="C:\Users\JCruise\AppData\Roaming\iManage\Work\Recent\072692-0001 (Ocean Network Express_ Project Atlas)\Anchor - China_-_Publicity_Form-20221209(137921514.1).docx"/>
    <w:docVar w:name="TrlrDateFlag" w:val="0"/>
    <w:docVar w:name="TrlrDocTitleFlag" w:val="1"/>
    <w:docVar w:name="TrlrDOSFlag" w:val="0"/>
    <w:docVar w:name="TrlrDOSPathFlag" w:val="0"/>
    <w:docVar w:name="TrlrDraftFlag" w:val="0"/>
    <w:docVar w:name="TrlrMatter" w:val="072692-0001"/>
    <w:docVar w:name="TrlrMatterFlag" w:val="0"/>
    <w:docVar w:name="TrlrRedlineFlag" w:val="0"/>
    <w:docVar w:name="TrlrTimeFlag" w:val="1"/>
    <w:docVar w:name="TrlrTypeFlag" w:val="2"/>
  </w:docVars>
  <w:rsids>
    <w:rsidRoot w:val="00D6778B"/>
    <w:rsid w:val="0000664F"/>
    <w:rsid w:val="00006FA8"/>
    <w:rsid w:val="00007061"/>
    <w:rsid w:val="000071E6"/>
    <w:rsid w:val="0001661E"/>
    <w:rsid w:val="0002176F"/>
    <w:rsid w:val="00027452"/>
    <w:rsid w:val="0003146A"/>
    <w:rsid w:val="00031AD2"/>
    <w:rsid w:val="0003348A"/>
    <w:rsid w:val="00033705"/>
    <w:rsid w:val="00034C61"/>
    <w:rsid w:val="000352B4"/>
    <w:rsid w:val="00035415"/>
    <w:rsid w:val="0003662F"/>
    <w:rsid w:val="0003729D"/>
    <w:rsid w:val="00037744"/>
    <w:rsid w:val="00040F7C"/>
    <w:rsid w:val="00045438"/>
    <w:rsid w:val="00051CA8"/>
    <w:rsid w:val="0005313E"/>
    <w:rsid w:val="0005462A"/>
    <w:rsid w:val="00054F5E"/>
    <w:rsid w:val="00055ABE"/>
    <w:rsid w:val="00065F6D"/>
    <w:rsid w:val="0007081E"/>
    <w:rsid w:val="000736DA"/>
    <w:rsid w:val="00075F4A"/>
    <w:rsid w:val="00076269"/>
    <w:rsid w:val="0008075E"/>
    <w:rsid w:val="000A2524"/>
    <w:rsid w:val="000B0F04"/>
    <w:rsid w:val="000B2B5A"/>
    <w:rsid w:val="000B397A"/>
    <w:rsid w:val="000B5361"/>
    <w:rsid w:val="000B56A5"/>
    <w:rsid w:val="000B5CAD"/>
    <w:rsid w:val="000C3DDD"/>
    <w:rsid w:val="000C558B"/>
    <w:rsid w:val="000C6F71"/>
    <w:rsid w:val="000D4257"/>
    <w:rsid w:val="000D629D"/>
    <w:rsid w:val="000D6FDA"/>
    <w:rsid w:val="000E0EB7"/>
    <w:rsid w:val="000F08C2"/>
    <w:rsid w:val="000F5443"/>
    <w:rsid w:val="000F54B0"/>
    <w:rsid w:val="000F5F81"/>
    <w:rsid w:val="000F7A1E"/>
    <w:rsid w:val="00100320"/>
    <w:rsid w:val="0010444C"/>
    <w:rsid w:val="001065A5"/>
    <w:rsid w:val="00113061"/>
    <w:rsid w:val="00116F89"/>
    <w:rsid w:val="001207B1"/>
    <w:rsid w:val="00123BAA"/>
    <w:rsid w:val="001313ED"/>
    <w:rsid w:val="00134C12"/>
    <w:rsid w:val="001360E4"/>
    <w:rsid w:val="00136958"/>
    <w:rsid w:val="0014065D"/>
    <w:rsid w:val="00146BB1"/>
    <w:rsid w:val="001539E1"/>
    <w:rsid w:val="0016168E"/>
    <w:rsid w:val="0016524A"/>
    <w:rsid w:val="00166447"/>
    <w:rsid w:val="00172E35"/>
    <w:rsid w:val="00175F77"/>
    <w:rsid w:val="00190FE8"/>
    <w:rsid w:val="0019134E"/>
    <w:rsid w:val="00193719"/>
    <w:rsid w:val="001A160E"/>
    <w:rsid w:val="001A583B"/>
    <w:rsid w:val="001B2498"/>
    <w:rsid w:val="001B61B7"/>
    <w:rsid w:val="001C1E58"/>
    <w:rsid w:val="001C7EE1"/>
    <w:rsid w:val="001D3CF7"/>
    <w:rsid w:val="001D642B"/>
    <w:rsid w:val="001E1FA5"/>
    <w:rsid w:val="001E5A09"/>
    <w:rsid w:val="001E7969"/>
    <w:rsid w:val="001F7167"/>
    <w:rsid w:val="001F79D5"/>
    <w:rsid w:val="00201644"/>
    <w:rsid w:val="00202D30"/>
    <w:rsid w:val="0020694E"/>
    <w:rsid w:val="0022562B"/>
    <w:rsid w:val="002376FE"/>
    <w:rsid w:val="00237C97"/>
    <w:rsid w:val="0024374F"/>
    <w:rsid w:val="00243DBF"/>
    <w:rsid w:val="002454FD"/>
    <w:rsid w:val="00252E05"/>
    <w:rsid w:val="00253018"/>
    <w:rsid w:val="00256985"/>
    <w:rsid w:val="00260D95"/>
    <w:rsid w:val="00263084"/>
    <w:rsid w:val="00264D4C"/>
    <w:rsid w:val="00265374"/>
    <w:rsid w:val="0026779A"/>
    <w:rsid w:val="00273C83"/>
    <w:rsid w:val="00274F84"/>
    <w:rsid w:val="00280BEB"/>
    <w:rsid w:val="00293C4E"/>
    <w:rsid w:val="002A46D8"/>
    <w:rsid w:val="002B3DEA"/>
    <w:rsid w:val="002D7EDC"/>
    <w:rsid w:val="002E6412"/>
    <w:rsid w:val="002E7848"/>
    <w:rsid w:val="002E7D7B"/>
    <w:rsid w:val="002F30CC"/>
    <w:rsid w:val="002F5E5F"/>
    <w:rsid w:val="00303A7E"/>
    <w:rsid w:val="003046BB"/>
    <w:rsid w:val="00307DBC"/>
    <w:rsid w:val="00313079"/>
    <w:rsid w:val="00315FD7"/>
    <w:rsid w:val="00316239"/>
    <w:rsid w:val="00322077"/>
    <w:rsid w:val="00333829"/>
    <w:rsid w:val="00334E0E"/>
    <w:rsid w:val="00340AA4"/>
    <w:rsid w:val="00341335"/>
    <w:rsid w:val="00343E84"/>
    <w:rsid w:val="00345CD9"/>
    <w:rsid w:val="00363036"/>
    <w:rsid w:val="0036459D"/>
    <w:rsid w:val="0036692F"/>
    <w:rsid w:val="00372D4A"/>
    <w:rsid w:val="003767FB"/>
    <w:rsid w:val="00376BDB"/>
    <w:rsid w:val="00377A03"/>
    <w:rsid w:val="00383407"/>
    <w:rsid w:val="00383739"/>
    <w:rsid w:val="00383CA2"/>
    <w:rsid w:val="00391607"/>
    <w:rsid w:val="003A08F2"/>
    <w:rsid w:val="003B2B65"/>
    <w:rsid w:val="003C37CF"/>
    <w:rsid w:val="003C4D41"/>
    <w:rsid w:val="003D401C"/>
    <w:rsid w:val="003E1925"/>
    <w:rsid w:val="003F0D44"/>
    <w:rsid w:val="003F3687"/>
    <w:rsid w:val="00400A16"/>
    <w:rsid w:val="00404771"/>
    <w:rsid w:val="00406A61"/>
    <w:rsid w:val="0041322C"/>
    <w:rsid w:val="0041528E"/>
    <w:rsid w:val="00417C26"/>
    <w:rsid w:val="00420CCF"/>
    <w:rsid w:val="00427493"/>
    <w:rsid w:val="00432128"/>
    <w:rsid w:val="00432DE4"/>
    <w:rsid w:val="004442E3"/>
    <w:rsid w:val="00447839"/>
    <w:rsid w:val="00462954"/>
    <w:rsid w:val="00463747"/>
    <w:rsid w:val="00463AE6"/>
    <w:rsid w:val="004664FC"/>
    <w:rsid w:val="00477BD8"/>
    <w:rsid w:val="00480185"/>
    <w:rsid w:val="00482EF2"/>
    <w:rsid w:val="00484A33"/>
    <w:rsid w:val="004911D6"/>
    <w:rsid w:val="004935F2"/>
    <w:rsid w:val="00493B33"/>
    <w:rsid w:val="00494442"/>
    <w:rsid w:val="00495F7F"/>
    <w:rsid w:val="00496020"/>
    <w:rsid w:val="004A28EB"/>
    <w:rsid w:val="004A4D20"/>
    <w:rsid w:val="004A61BA"/>
    <w:rsid w:val="004A6BF8"/>
    <w:rsid w:val="004B109C"/>
    <w:rsid w:val="004B66CE"/>
    <w:rsid w:val="004C6F12"/>
    <w:rsid w:val="004E5A7E"/>
    <w:rsid w:val="004E5D73"/>
    <w:rsid w:val="004E6244"/>
    <w:rsid w:val="004F7CC5"/>
    <w:rsid w:val="005059EC"/>
    <w:rsid w:val="00511338"/>
    <w:rsid w:val="00514940"/>
    <w:rsid w:val="00516C47"/>
    <w:rsid w:val="00526246"/>
    <w:rsid w:val="00541C4D"/>
    <w:rsid w:val="005427E4"/>
    <w:rsid w:val="00542FFB"/>
    <w:rsid w:val="005510E6"/>
    <w:rsid w:val="005512F7"/>
    <w:rsid w:val="0055627A"/>
    <w:rsid w:val="005622DD"/>
    <w:rsid w:val="00564803"/>
    <w:rsid w:val="00564B0D"/>
    <w:rsid w:val="00567E13"/>
    <w:rsid w:val="00574D06"/>
    <w:rsid w:val="00574FDE"/>
    <w:rsid w:val="0058378C"/>
    <w:rsid w:val="005843DE"/>
    <w:rsid w:val="005A72A6"/>
    <w:rsid w:val="005A795B"/>
    <w:rsid w:val="005B09DC"/>
    <w:rsid w:val="005B51D4"/>
    <w:rsid w:val="005B5ACB"/>
    <w:rsid w:val="005C54E0"/>
    <w:rsid w:val="005C764B"/>
    <w:rsid w:val="005D0857"/>
    <w:rsid w:val="005D234D"/>
    <w:rsid w:val="005D7E52"/>
    <w:rsid w:val="005E0636"/>
    <w:rsid w:val="006024A8"/>
    <w:rsid w:val="00603699"/>
    <w:rsid w:val="00605C22"/>
    <w:rsid w:val="00613B34"/>
    <w:rsid w:val="0061504A"/>
    <w:rsid w:val="00631D25"/>
    <w:rsid w:val="00632B1C"/>
    <w:rsid w:val="00643A9D"/>
    <w:rsid w:val="006522C2"/>
    <w:rsid w:val="006570D5"/>
    <w:rsid w:val="00657171"/>
    <w:rsid w:val="006646A3"/>
    <w:rsid w:val="00666F26"/>
    <w:rsid w:val="00673ED0"/>
    <w:rsid w:val="006822CC"/>
    <w:rsid w:val="00686416"/>
    <w:rsid w:val="00696858"/>
    <w:rsid w:val="006A6DE6"/>
    <w:rsid w:val="006A7448"/>
    <w:rsid w:val="006A74F7"/>
    <w:rsid w:val="006C05C6"/>
    <w:rsid w:val="006C4813"/>
    <w:rsid w:val="006C4EE1"/>
    <w:rsid w:val="006C669D"/>
    <w:rsid w:val="006D47C3"/>
    <w:rsid w:val="006E62BA"/>
    <w:rsid w:val="006F5BDA"/>
    <w:rsid w:val="006F7968"/>
    <w:rsid w:val="0070257C"/>
    <w:rsid w:val="007058C8"/>
    <w:rsid w:val="00705DEB"/>
    <w:rsid w:val="00710ECA"/>
    <w:rsid w:val="00720A5B"/>
    <w:rsid w:val="007252B9"/>
    <w:rsid w:val="00725847"/>
    <w:rsid w:val="007314C8"/>
    <w:rsid w:val="00731D87"/>
    <w:rsid w:val="00733A21"/>
    <w:rsid w:val="00734AA4"/>
    <w:rsid w:val="00735ACE"/>
    <w:rsid w:val="00737C58"/>
    <w:rsid w:val="0074536F"/>
    <w:rsid w:val="00746D18"/>
    <w:rsid w:val="00755D25"/>
    <w:rsid w:val="00756298"/>
    <w:rsid w:val="00760995"/>
    <w:rsid w:val="00760DC7"/>
    <w:rsid w:val="00762BDC"/>
    <w:rsid w:val="00766671"/>
    <w:rsid w:val="00766D72"/>
    <w:rsid w:val="00776AB4"/>
    <w:rsid w:val="0077797F"/>
    <w:rsid w:val="00783464"/>
    <w:rsid w:val="0078577D"/>
    <w:rsid w:val="00792186"/>
    <w:rsid w:val="007930C1"/>
    <w:rsid w:val="0079716C"/>
    <w:rsid w:val="007A12D9"/>
    <w:rsid w:val="007A14C3"/>
    <w:rsid w:val="007A4C50"/>
    <w:rsid w:val="007C161C"/>
    <w:rsid w:val="007C40DF"/>
    <w:rsid w:val="007D095C"/>
    <w:rsid w:val="007D4DC9"/>
    <w:rsid w:val="007D740B"/>
    <w:rsid w:val="007E4321"/>
    <w:rsid w:val="007E44E4"/>
    <w:rsid w:val="007E4AF3"/>
    <w:rsid w:val="007E4BB2"/>
    <w:rsid w:val="007E7AE3"/>
    <w:rsid w:val="008039A5"/>
    <w:rsid w:val="00806668"/>
    <w:rsid w:val="008068B9"/>
    <w:rsid w:val="00822654"/>
    <w:rsid w:val="00822840"/>
    <w:rsid w:val="0083410B"/>
    <w:rsid w:val="0084203B"/>
    <w:rsid w:val="008426B8"/>
    <w:rsid w:val="00843D54"/>
    <w:rsid w:val="0084644E"/>
    <w:rsid w:val="0085083A"/>
    <w:rsid w:val="0085282F"/>
    <w:rsid w:val="008536CE"/>
    <w:rsid w:val="00863853"/>
    <w:rsid w:val="008676B9"/>
    <w:rsid w:val="008778CB"/>
    <w:rsid w:val="008805C7"/>
    <w:rsid w:val="00886715"/>
    <w:rsid w:val="00893065"/>
    <w:rsid w:val="008937CF"/>
    <w:rsid w:val="00896F4D"/>
    <w:rsid w:val="008A1842"/>
    <w:rsid w:val="008C4F97"/>
    <w:rsid w:val="008D2F26"/>
    <w:rsid w:val="008E2E40"/>
    <w:rsid w:val="008E4622"/>
    <w:rsid w:val="008E72E4"/>
    <w:rsid w:val="008F7425"/>
    <w:rsid w:val="009015F0"/>
    <w:rsid w:val="009022A3"/>
    <w:rsid w:val="0091347A"/>
    <w:rsid w:val="00914758"/>
    <w:rsid w:val="00915C67"/>
    <w:rsid w:val="0091662A"/>
    <w:rsid w:val="00917E78"/>
    <w:rsid w:val="00920035"/>
    <w:rsid w:val="009333A0"/>
    <w:rsid w:val="00943310"/>
    <w:rsid w:val="00943A7A"/>
    <w:rsid w:val="009565D1"/>
    <w:rsid w:val="009637D8"/>
    <w:rsid w:val="00966C1F"/>
    <w:rsid w:val="00971BB3"/>
    <w:rsid w:val="00981610"/>
    <w:rsid w:val="00984798"/>
    <w:rsid w:val="00994434"/>
    <w:rsid w:val="00995CD3"/>
    <w:rsid w:val="009974FC"/>
    <w:rsid w:val="009A587F"/>
    <w:rsid w:val="009A5900"/>
    <w:rsid w:val="009D1F68"/>
    <w:rsid w:val="009D46AD"/>
    <w:rsid w:val="00A0152E"/>
    <w:rsid w:val="00A02A51"/>
    <w:rsid w:val="00A12516"/>
    <w:rsid w:val="00A24132"/>
    <w:rsid w:val="00A27B67"/>
    <w:rsid w:val="00A32747"/>
    <w:rsid w:val="00A3378D"/>
    <w:rsid w:val="00A3788A"/>
    <w:rsid w:val="00A50875"/>
    <w:rsid w:val="00A51731"/>
    <w:rsid w:val="00A5421C"/>
    <w:rsid w:val="00A62E25"/>
    <w:rsid w:val="00A647A5"/>
    <w:rsid w:val="00A66FA6"/>
    <w:rsid w:val="00A81DBB"/>
    <w:rsid w:val="00A82893"/>
    <w:rsid w:val="00A87EBB"/>
    <w:rsid w:val="00A96035"/>
    <w:rsid w:val="00AA13BC"/>
    <w:rsid w:val="00AA4EDD"/>
    <w:rsid w:val="00AB324A"/>
    <w:rsid w:val="00AC1A0A"/>
    <w:rsid w:val="00AC374A"/>
    <w:rsid w:val="00AC4072"/>
    <w:rsid w:val="00AD4F07"/>
    <w:rsid w:val="00AE2EB1"/>
    <w:rsid w:val="00AE5E58"/>
    <w:rsid w:val="00AE75B7"/>
    <w:rsid w:val="00AF095C"/>
    <w:rsid w:val="00AF16AC"/>
    <w:rsid w:val="00AF5060"/>
    <w:rsid w:val="00AF659E"/>
    <w:rsid w:val="00B05FED"/>
    <w:rsid w:val="00B06DF7"/>
    <w:rsid w:val="00B07DCE"/>
    <w:rsid w:val="00B10EC0"/>
    <w:rsid w:val="00B115A9"/>
    <w:rsid w:val="00B138F0"/>
    <w:rsid w:val="00B27091"/>
    <w:rsid w:val="00B31EA7"/>
    <w:rsid w:val="00B32099"/>
    <w:rsid w:val="00B33031"/>
    <w:rsid w:val="00B36128"/>
    <w:rsid w:val="00B53B7B"/>
    <w:rsid w:val="00B60750"/>
    <w:rsid w:val="00B6083C"/>
    <w:rsid w:val="00B631A7"/>
    <w:rsid w:val="00B66DC3"/>
    <w:rsid w:val="00B906E6"/>
    <w:rsid w:val="00B929F7"/>
    <w:rsid w:val="00B93943"/>
    <w:rsid w:val="00B97B7C"/>
    <w:rsid w:val="00BA29DC"/>
    <w:rsid w:val="00BA54C0"/>
    <w:rsid w:val="00BA5E3A"/>
    <w:rsid w:val="00BA6716"/>
    <w:rsid w:val="00BA6B56"/>
    <w:rsid w:val="00BB1FE8"/>
    <w:rsid w:val="00BB37FB"/>
    <w:rsid w:val="00BE14C3"/>
    <w:rsid w:val="00BE2B36"/>
    <w:rsid w:val="00BE37B4"/>
    <w:rsid w:val="00BF48D8"/>
    <w:rsid w:val="00BF5662"/>
    <w:rsid w:val="00BF6FB3"/>
    <w:rsid w:val="00C03D5E"/>
    <w:rsid w:val="00C155EF"/>
    <w:rsid w:val="00C1621F"/>
    <w:rsid w:val="00C20BCD"/>
    <w:rsid w:val="00C247FA"/>
    <w:rsid w:val="00C251B9"/>
    <w:rsid w:val="00C30B98"/>
    <w:rsid w:val="00C31EE9"/>
    <w:rsid w:val="00C3362C"/>
    <w:rsid w:val="00C35FB0"/>
    <w:rsid w:val="00C36F15"/>
    <w:rsid w:val="00C45530"/>
    <w:rsid w:val="00C50171"/>
    <w:rsid w:val="00C53C11"/>
    <w:rsid w:val="00C54BF8"/>
    <w:rsid w:val="00C61055"/>
    <w:rsid w:val="00C736D6"/>
    <w:rsid w:val="00C75354"/>
    <w:rsid w:val="00C77F78"/>
    <w:rsid w:val="00C82D5C"/>
    <w:rsid w:val="00C8424D"/>
    <w:rsid w:val="00C84C3E"/>
    <w:rsid w:val="00C96637"/>
    <w:rsid w:val="00C978AB"/>
    <w:rsid w:val="00C97975"/>
    <w:rsid w:val="00CA2201"/>
    <w:rsid w:val="00CA2B22"/>
    <w:rsid w:val="00CA3911"/>
    <w:rsid w:val="00CA57DB"/>
    <w:rsid w:val="00CB4E1D"/>
    <w:rsid w:val="00CB5541"/>
    <w:rsid w:val="00CB7C32"/>
    <w:rsid w:val="00CC0115"/>
    <w:rsid w:val="00CC7FCE"/>
    <w:rsid w:val="00CD003E"/>
    <w:rsid w:val="00CE6F79"/>
    <w:rsid w:val="00CE7401"/>
    <w:rsid w:val="00CE76B0"/>
    <w:rsid w:val="00CE7B46"/>
    <w:rsid w:val="00CF0A01"/>
    <w:rsid w:val="00CF1CA0"/>
    <w:rsid w:val="00CF3EEB"/>
    <w:rsid w:val="00CF57D7"/>
    <w:rsid w:val="00D00240"/>
    <w:rsid w:val="00D06505"/>
    <w:rsid w:val="00D224EA"/>
    <w:rsid w:val="00D2603F"/>
    <w:rsid w:val="00D4484D"/>
    <w:rsid w:val="00D44DFE"/>
    <w:rsid w:val="00D45AEE"/>
    <w:rsid w:val="00D51A37"/>
    <w:rsid w:val="00D54B1F"/>
    <w:rsid w:val="00D54FD1"/>
    <w:rsid w:val="00D6778B"/>
    <w:rsid w:val="00D67902"/>
    <w:rsid w:val="00D71205"/>
    <w:rsid w:val="00D71E5B"/>
    <w:rsid w:val="00D8089A"/>
    <w:rsid w:val="00D82DEE"/>
    <w:rsid w:val="00D83BB6"/>
    <w:rsid w:val="00D84B7C"/>
    <w:rsid w:val="00D90B1F"/>
    <w:rsid w:val="00D94857"/>
    <w:rsid w:val="00D94BB9"/>
    <w:rsid w:val="00D9743A"/>
    <w:rsid w:val="00DA19E5"/>
    <w:rsid w:val="00DB28CE"/>
    <w:rsid w:val="00DB48F7"/>
    <w:rsid w:val="00DD0D07"/>
    <w:rsid w:val="00DD7311"/>
    <w:rsid w:val="00DD784D"/>
    <w:rsid w:val="00DE7E47"/>
    <w:rsid w:val="00DF5351"/>
    <w:rsid w:val="00E00B8F"/>
    <w:rsid w:val="00E02C01"/>
    <w:rsid w:val="00E02EC1"/>
    <w:rsid w:val="00E04C45"/>
    <w:rsid w:val="00E13849"/>
    <w:rsid w:val="00E3191C"/>
    <w:rsid w:val="00E35254"/>
    <w:rsid w:val="00E35C02"/>
    <w:rsid w:val="00E4191C"/>
    <w:rsid w:val="00E43F9F"/>
    <w:rsid w:val="00E4646A"/>
    <w:rsid w:val="00E4730E"/>
    <w:rsid w:val="00E6060B"/>
    <w:rsid w:val="00E61B9D"/>
    <w:rsid w:val="00E62195"/>
    <w:rsid w:val="00E63994"/>
    <w:rsid w:val="00E66270"/>
    <w:rsid w:val="00E70CE7"/>
    <w:rsid w:val="00E77CEA"/>
    <w:rsid w:val="00E827AF"/>
    <w:rsid w:val="00E836CE"/>
    <w:rsid w:val="00E86F35"/>
    <w:rsid w:val="00E91D1C"/>
    <w:rsid w:val="00E91E85"/>
    <w:rsid w:val="00E954B1"/>
    <w:rsid w:val="00EA1CD0"/>
    <w:rsid w:val="00EC5F29"/>
    <w:rsid w:val="00ED1B18"/>
    <w:rsid w:val="00ED6CCE"/>
    <w:rsid w:val="00EE5C21"/>
    <w:rsid w:val="00EF241E"/>
    <w:rsid w:val="00F00D0F"/>
    <w:rsid w:val="00F05D83"/>
    <w:rsid w:val="00F07A95"/>
    <w:rsid w:val="00F11F9D"/>
    <w:rsid w:val="00F220E9"/>
    <w:rsid w:val="00F239C4"/>
    <w:rsid w:val="00F24396"/>
    <w:rsid w:val="00F25DBF"/>
    <w:rsid w:val="00F262B1"/>
    <w:rsid w:val="00F273A6"/>
    <w:rsid w:val="00F305C1"/>
    <w:rsid w:val="00F308B8"/>
    <w:rsid w:val="00F31F64"/>
    <w:rsid w:val="00F328B7"/>
    <w:rsid w:val="00F34A58"/>
    <w:rsid w:val="00F438BE"/>
    <w:rsid w:val="00F52139"/>
    <w:rsid w:val="00F54522"/>
    <w:rsid w:val="00F55F8F"/>
    <w:rsid w:val="00F60122"/>
    <w:rsid w:val="00F61577"/>
    <w:rsid w:val="00F618D0"/>
    <w:rsid w:val="00F66787"/>
    <w:rsid w:val="00F66B5D"/>
    <w:rsid w:val="00F72431"/>
    <w:rsid w:val="00F77120"/>
    <w:rsid w:val="00F8518F"/>
    <w:rsid w:val="00F87A02"/>
    <w:rsid w:val="00F9407E"/>
    <w:rsid w:val="00FA138E"/>
    <w:rsid w:val="00FA23CC"/>
    <w:rsid w:val="00FB1520"/>
    <w:rsid w:val="00FC0B01"/>
    <w:rsid w:val="00FC2FD7"/>
    <w:rsid w:val="00FC3DF0"/>
    <w:rsid w:val="00FD1BA8"/>
    <w:rsid w:val="02214651"/>
    <w:rsid w:val="0431024D"/>
    <w:rsid w:val="0D7D6A0C"/>
    <w:rsid w:val="0EFF7101"/>
    <w:rsid w:val="0F7BAF80"/>
    <w:rsid w:val="112E4DCE"/>
    <w:rsid w:val="133E0119"/>
    <w:rsid w:val="284724A4"/>
    <w:rsid w:val="2D553B6B"/>
    <w:rsid w:val="327A7AEF"/>
    <w:rsid w:val="3C3576A8"/>
    <w:rsid w:val="3C3E03A0"/>
    <w:rsid w:val="3D311874"/>
    <w:rsid w:val="44CC5B02"/>
    <w:rsid w:val="4BA6DC16"/>
    <w:rsid w:val="4EEE0A8D"/>
    <w:rsid w:val="53FACE17"/>
    <w:rsid w:val="567E6AF3"/>
    <w:rsid w:val="5BFAB340"/>
    <w:rsid w:val="5D3F24B1"/>
    <w:rsid w:val="608606F4"/>
    <w:rsid w:val="61483512"/>
    <w:rsid w:val="61A532EB"/>
    <w:rsid w:val="63591D05"/>
    <w:rsid w:val="694566B2"/>
    <w:rsid w:val="697565E1"/>
    <w:rsid w:val="6B730350"/>
    <w:rsid w:val="6F353D31"/>
    <w:rsid w:val="73395091"/>
    <w:rsid w:val="7737F960"/>
    <w:rsid w:val="7F7BA6D1"/>
    <w:rsid w:val="7FA7B5B4"/>
    <w:rsid w:val="9FF60987"/>
    <w:rsid w:val="BDEA4DF7"/>
    <w:rsid w:val="BE3F1D8F"/>
    <w:rsid w:val="DCB9DA29"/>
    <w:rsid w:val="DFEF00B5"/>
    <w:rsid w:val="E7EFA68A"/>
    <w:rsid w:val="EDF6C61C"/>
    <w:rsid w:val="FABD6FEE"/>
    <w:rsid w:val="FDFBBDE0"/>
    <w:rsid w:val="FF5EF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qFormat="1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3"/>
    <w:basedOn w:val="1"/>
    <w:next w:val="1"/>
    <w:link w:val="4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2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Times New Roman" w:eastAsiaTheme="minorEastAsia"/>
      <w:kern w:val="2"/>
      <w:lang w:val="en-US" w:eastAsia="zh-CN" w:bidi="ar-SA"/>
    </w:rPr>
  </w:style>
  <w:style w:type="paragraph" w:styleId="5">
    <w:name w:val="annotation text"/>
    <w:basedOn w:val="1"/>
    <w:link w:val="41"/>
    <w:unhideWhenUsed/>
    <w:qFormat/>
    <w:uiPriority w:val="0"/>
    <w:rPr>
      <w:sz w:val="20"/>
      <w:szCs w:val="20"/>
    </w:rPr>
  </w:style>
  <w:style w:type="paragraph" w:styleId="6">
    <w:name w:val="Body Text"/>
    <w:basedOn w:val="1"/>
    <w:link w:val="43"/>
    <w:qFormat/>
    <w:uiPriority w:val="0"/>
    <w:pPr>
      <w:widowControl/>
      <w:spacing w:after="240"/>
      <w:jc w:val="left"/>
    </w:pPr>
    <w:rPr>
      <w:rFonts w:cstheme="minorBidi"/>
      <w:kern w:val="0"/>
      <w:sz w:val="24"/>
      <w:lang w:eastAsia="en-US"/>
    </w:rPr>
  </w:style>
  <w:style w:type="paragraph" w:styleId="7">
    <w:name w:val="endnote text"/>
    <w:basedOn w:val="1"/>
    <w:link w:val="21"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annotation subject"/>
    <w:basedOn w:val="5"/>
    <w:next w:val="5"/>
    <w:link w:val="42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ndnote reference"/>
    <w:semiHidden/>
    <w:unhideWhenUsed/>
    <w:qFormat/>
    <w:uiPriority w:val="99"/>
    <w:rPr>
      <w:vertAlign w:val="superscript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16"/>
      <w:szCs w:val="16"/>
    </w:rPr>
  </w:style>
  <w:style w:type="character" w:styleId="19">
    <w:name w:val="footnote reference"/>
    <w:link w:val="20"/>
    <w:unhideWhenUsed/>
    <w:qFormat/>
    <w:uiPriority w:val="99"/>
    <w:rPr>
      <w:vertAlign w:val="superscript"/>
    </w:rPr>
  </w:style>
  <w:style w:type="paragraph" w:customStyle="1" w:styleId="20">
    <w:name w:val="Z_Footnote Text"/>
    <w:basedOn w:val="1"/>
    <w:link w:val="19"/>
    <w:qFormat/>
    <w:uiPriority w:val="99"/>
    <w:pPr>
      <w:widowControl/>
      <w:spacing w:after="160" w:line="240" w:lineRule="exact"/>
      <w:jc w:val="left"/>
    </w:pPr>
    <w:rPr>
      <w:rFonts w:ascii="Calibri" w:hAnsi="Calibri"/>
      <w:kern w:val="0"/>
      <w:sz w:val="20"/>
      <w:szCs w:val="20"/>
      <w:vertAlign w:val="superscript"/>
    </w:rPr>
  </w:style>
  <w:style w:type="character" w:customStyle="1" w:styleId="21">
    <w:name w:val="尾注文本 字符"/>
    <w:basedOn w:val="15"/>
    <w:link w:val="7"/>
    <w:semiHidden/>
    <w:qFormat/>
    <w:uiPriority w:val="99"/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  <w:style w:type="character" w:customStyle="1" w:styleId="24">
    <w:name w:val="脚注文本 字符"/>
    <w:link w:val="11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apple-converted-space"/>
    <w:basedOn w:val="15"/>
    <w:qFormat/>
    <w:uiPriority w:val="0"/>
  </w:style>
  <w:style w:type="character" w:customStyle="1" w:styleId="26">
    <w:name w:val="批注框文本 字符"/>
    <w:basedOn w:val="15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7">
    <w:name w:val="AMLNotify Cont 3"/>
    <w:basedOn w:val="1"/>
    <w:qFormat/>
    <w:uiPriority w:val="0"/>
    <w:pPr>
      <w:widowControl/>
      <w:spacing w:after="240"/>
    </w:pPr>
    <w:rPr>
      <w:rFonts w:eastAsia="Times New Roman"/>
      <w:kern w:val="0"/>
      <w:sz w:val="24"/>
      <w:szCs w:val="20"/>
      <w:lang w:eastAsia="en-GB"/>
    </w:rPr>
  </w:style>
  <w:style w:type="paragraph" w:customStyle="1" w:styleId="28">
    <w:name w:val="DocId"/>
    <w:basedOn w:val="9"/>
    <w:qFormat/>
    <w:uiPriority w:val="0"/>
    <w:pPr>
      <w:widowControl/>
      <w:tabs>
        <w:tab w:val="center" w:pos="4680"/>
        <w:tab w:val="right" w:pos="9360"/>
        <w:tab w:val="clear" w:pos="4153"/>
        <w:tab w:val="clear" w:pos="8306"/>
      </w:tabs>
      <w:snapToGrid/>
    </w:pPr>
    <w:rPr>
      <w:rFonts w:cstheme="minorBidi"/>
      <w:kern w:val="0"/>
      <w:sz w:val="16"/>
      <w:szCs w:val="16"/>
      <w:lang w:eastAsia="en-US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2"/>
      <w:sz w:val="28"/>
      <w:szCs w:val="28"/>
    </w:rPr>
  </w:style>
  <w:style w:type="character" w:customStyle="1" w:styleId="32">
    <w:name w:val="宏文本 字符"/>
    <w:basedOn w:val="15"/>
    <w:link w:val="2"/>
    <w:semiHidden/>
    <w:qFormat/>
    <w:uiPriority w:val="99"/>
    <w:rPr>
      <w:rFonts w:ascii="Consolas" w:hAnsi="Consolas"/>
      <w:kern w:val="2"/>
    </w:rPr>
  </w:style>
  <w:style w:type="paragraph" w:customStyle="1" w:styleId="33">
    <w:name w:val="ShortOutline1"/>
    <w:basedOn w:val="1"/>
    <w:qFormat/>
    <w:uiPriority w:val="4"/>
    <w:pPr>
      <w:widowControl/>
      <w:numPr>
        <w:ilvl w:val="0"/>
        <w:numId w:val="1"/>
      </w:numPr>
      <w:spacing w:before="240" w:after="240"/>
      <w:jc w:val="left"/>
    </w:pPr>
    <w:rPr>
      <w:kern w:val="0"/>
      <w:sz w:val="24"/>
      <w:szCs w:val="24"/>
      <w:lang w:bidi="he-IL"/>
    </w:rPr>
  </w:style>
  <w:style w:type="paragraph" w:customStyle="1" w:styleId="34">
    <w:name w:val="ShortOutline2"/>
    <w:basedOn w:val="1"/>
    <w:qFormat/>
    <w:uiPriority w:val="4"/>
    <w:pPr>
      <w:widowControl/>
      <w:numPr>
        <w:ilvl w:val="1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35">
    <w:name w:val="ShortOutline3"/>
    <w:basedOn w:val="1"/>
    <w:qFormat/>
    <w:uiPriority w:val="4"/>
    <w:pPr>
      <w:widowControl/>
      <w:numPr>
        <w:ilvl w:val="2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36">
    <w:name w:val="ShortOutline4"/>
    <w:basedOn w:val="1"/>
    <w:qFormat/>
    <w:uiPriority w:val="4"/>
    <w:pPr>
      <w:widowControl/>
      <w:numPr>
        <w:ilvl w:val="3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37">
    <w:name w:val="ShortOutline5"/>
    <w:basedOn w:val="1"/>
    <w:qFormat/>
    <w:uiPriority w:val="4"/>
    <w:pPr>
      <w:widowControl/>
      <w:numPr>
        <w:ilvl w:val="4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character" w:customStyle="1" w:styleId="38">
    <w:name w:val="Draftline"/>
    <w:qFormat/>
    <w:uiPriority w:val="0"/>
    <w:rPr>
      <w:rFonts w:ascii="Times New Roman" w:hAnsi="Times New Roman" w:cs="Times New Roman"/>
      <w:vanish/>
      <w:color w:val="FF0000"/>
      <w:spacing w:val="0"/>
      <w:w w:val="100"/>
      <w:kern w:val="0"/>
      <w:sz w:val="15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customStyle="1" w:styleId="39">
    <w:name w:val="Footer B"/>
    <w:link w:val="40"/>
    <w:qFormat/>
    <w:uiPriority w:val="0"/>
    <w:pPr>
      <w:tabs>
        <w:tab w:val="center" w:pos="4320"/>
        <w:tab w:val="right" w:pos="8640"/>
      </w:tabs>
      <w:snapToGrid w:val="0"/>
    </w:pPr>
    <w:rPr>
      <w:rFonts w:ascii="Times New Roman" w:hAnsi="Times New Roman" w:cs="Times New Roman" w:eastAsiaTheme="minorEastAsia"/>
      <w:sz w:val="15"/>
      <w:szCs w:val="24"/>
      <w:lang w:val="en-US" w:eastAsia="zh-CN" w:bidi="ar-SA"/>
    </w:rPr>
  </w:style>
  <w:style w:type="character" w:customStyle="1" w:styleId="40">
    <w:name w:val="Footer B Char"/>
    <w:basedOn w:val="15"/>
    <w:link w:val="39"/>
    <w:qFormat/>
    <w:uiPriority w:val="0"/>
    <w:rPr>
      <w:rFonts w:ascii="Times New Roman" w:hAnsi="Times New Roman"/>
      <w:sz w:val="15"/>
      <w:szCs w:val="24"/>
    </w:rPr>
  </w:style>
  <w:style w:type="character" w:customStyle="1" w:styleId="41">
    <w:name w:val="批注文字 字符"/>
    <w:basedOn w:val="15"/>
    <w:link w:val="5"/>
    <w:qFormat/>
    <w:uiPriority w:val="0"/>
    <w:rPr>
      <w:rFonts w:ascii="Times New Roman" w:hAnsi="Times New Roman"/>
      <w:kern w:val="2"/>
    </w:rPr>
  </w:style>
  <w:style w:type="character" w:customStyle="1" w:styleId="42">
    <w:name w:val="批注主题 字符"/>
    <w:basedOn w:val="41"/>
    <w:link w:val="12"/>
    <w:semiHidden/>
    <w:qFormat/>
    <w:uiPriority w:val="99"/>
    <w:rPr>
      <w:rFonts w:ascii="Times New Roman" w:hAnsi="Times New Roman"/>
      <w:b/>
      <w:bCs/>
      <w:kern w:val="2"/>
    </w:rPr>
  </w:style>
  <w:style w:type="character" w:customStyle="1" w:styleId="43">
    <w:name w:val="正文文本 字符"/>
    <w:basedOn w:val="15"/>
    <w:link w:val="6"/>
    <w:qFormat/>
    <w:uiPriority w:val="0"/>
    <w:rPr>
      <w:rFonts w:ascii="Times New Roman" w:hAnsi="Times New Roman" w:cstheme="minorBidi"/>
      <w:sz w:val="24"/>
      <w:szCs w:val="22"/>
      <w:lang w:eastAsia="en-US"/>
    </w:rPr>
  </w:style>
  <w:style w:type="character" w:customStyle="1" w:styleId="44">
    <w:name w:val="标题 3 字符"/>
    <w:basedOn w:val="15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45">
    <w:name w:val="Revision1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6">
    <w:name w:val="修订2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7">
    <w:name w:val="修订3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8">
    <w:name w:val="修订4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49">
    <w:name w:val="修订5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0">
    <w:name w:val="修订6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1">
    <w:name w:val="修订7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2">
    <w:name w:val="修订8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53">
    <w:name w:val="Revision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428E88B9-5285-4B4E-BADC-8F720E6FB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Nagashima Ohno &amp; Tsunematsu</Company>
  <Pages>2</Pages>
  <Words>929</Words>
  <Characters>1052</Characters>
  <Lines>32</Lines>
  <Paragraphs>31</Paragraphs>
  <TotalTime>11</TotalTime>
  <ScaleCrop>false</ScaleCrop>
  <LinksUpToDate>false</LinksUpToDate>
  <CharactersWithSpaces>1066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2025-05-23T08:38:00Z</dcterms:created>
  <dc:creator>Nonestyle</dc:creator>
  <cp:lastModifiedBy> </cp:lastModifiedBy>
  <dcterms:modified xsi:type="dcterms:W3CDTF">2025-07-02T06:29:21Z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099750</vt:lpwstr>
  </property>
  <property fmtid="{D5CDD505-2E9C-101B-9397-08002B2CF9AE}" pid="3" name="Matter">
    <vt:lpwstr>0102</vt:lpwstr>
  </property>
  <property fmtid="{D5CDD505-2E9C-101B-9397-08002B2CF9AE}" pid="4" name="MicrosystemsComparison">
    <vt:lpwstr>{9edf1103-200e-4306-b89e-9c343e727ef8}</vt:lpwstr>
  </property>
  <property fmtid="{D5CDD505-2E9C-101B-9397-08002B2CF9AE}" pid="5" name="REF">
    <vt:lpwstr>{REF:0726920001}</vt:lpwstr>
  </property>
  <property fmtid="{D5CDD505-2E9C-101B-9397-08002B2CF9AE}" pid="6" name="KSOProductBuildVer">
    <vt:lpwstr>2052-12.1.0.21541</vt:lpwstr>
  </property>
  <property fmtid="{D5CDD505-2E9C-101B-9397-08002B2CF9AE}" pid="7" name="ICV">
    <vt:lpwstr>78F121529EDC0FB7E9B8E46702BE0C1F_43</vt:lpwstr>
  </property>
  <property fmtid="{D5CDD505-2E9C-101B-9397-08002B2CF9AE}" pid="8" name="KSOTemplateDocerSaveRecord">
    <vt:lpwstr>eyJoZGlkIjoiNTRhMDlhNmZjMDhiZjlmODc2MmE1MjljZWI2YjZjYzAiLCJ1c2VySWQiOiIyNzkzMzM5MDgifQ==</vt:lpwstr>
  </property>
</Properties>
</file>