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AC3F4">
      <w:pPr>
        <w:spacing w:line="440" w:lineRule="exact"/>
        <w:jc w:val="center"/>
        <w:rPr>
          <w:rFonts w:ascii="黑体" w:hAnsi="黑体" w:eastAsia="黑体" w:cs="黑体"/>
          <w:bCs/>
          <w:kern w:val="0"/>
          <w:sz w:val="36"/>
          <w:szCs w:val="36"/>
          <w:lang w:val="en-GB" w:bidi="ar-AE"/>
        </w:rPr>
      </w:pPr>
      <w:bookmarkStart w:id="0" w:name="_Hlk166074271"/>
      <w:r>
        <w:rPr>
          <w:rFonts w:ascii="黑体" w:hAnsi="黑体" w:eastAsia="黑体" w:cs="黑体"/>
          <w:bCs/>
          <w:kern w:val="0"/>
          <w:sz w:val="36"/>
          <w:szCs w:val="36"/>
          <w:lang w:val="en-GB" w:bidi="ar-AE"/>
        </w:rPr>
        <w:t>经营者集中简易案件公示表</w:t>
      </w:r>
    </w:p>
    <w:p w14:paraId="3F51B84F">
      <w:pPr>
        <w:spacing w:line="440" w:lineRule="exact"/>
        <w:jc w:val="center"/>
        <w:rPr>
          <w:rFonts w:ascii="黑体" w:hAnsi="黑体" w:eastAsia="黑体" w:cs="黑体"/>
          <w:bCs/>
          <w:kern w:val="0"/>
          <w:sz w:val="36"/>
          <w:szCs w:val="36"/>
          <w:lang w:val="en-GB" w:bidi="ar-AE"/>
        </w:rPr>
      </w:pPr>
    </w:p>
    <w:tbl>
      <w:tblPr>
        <w:tblStyle w:val="8"/>
        <w:tblW w:w="8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796"/>
        <w:gridCol w:w="5153"/>
      </w:tblGrid>
      <w:tr w14:paraId="3A9F8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D9D9D9"/>
          </w:tcPr>
          <w:p w14:paraId="79EC0882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>案件名称</w:t>
            </w:r>
          </w:p>
        </w:tc>
        <w:tc>
          <w:tcPr>
            <w:tcW w:w="6949" w:type="dxa"/>
            <w:gridSpan w:val="2"/>
          </w:tcPr>
          <w:p w14:paraId="251B191A">
            <w:pPr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奇瑞汽车股份有限公司收购安徽奇瑞绿能生态科技有限公司股权案</w:t>
            </w:r>
          </w:p>
        </w:tc>
      </w:tr>
      <w:tr w14:paraId="2DC7B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1809" w:type="dxa"/>
            <w:shd w:val="clear" w:color="auto" w:fill="D9D9D9"/>
          </w:tcPr>
          <w:p w14:paraId="6AE22DDC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>交易概况</w:t>
            </w:r>
          </w:p>
        </w:tc>
        <w:tc>
          <w:tcPr>
            <w:tcW w:w="6949" w:type="dxa"/>
            <w:gridSpan w:val="2"/>
          </w:tcPr>
          <w:p w14:paraId="661FA0F3">
            <w:pPr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2026年9月，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奇瑞汽车股份有限公司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（“奇瑞汽车”）与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安徽奇瑞智能科技有限公司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（“奇瑞智能科技”）、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安徽奇瑞绿能生态科技有限公司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（“奇瑞绿能”）签署协议，拟以现金认购奇瑞绿能新增注册资本并获得奇瑞绿能25%股权。</w:t>
            </w:r>
            <w:r>
              <w:rPr>
                <w:rFonts w:hint="eastAsia" w:ascii="Times New Roman" w:hAnsi="Times New Roman"/>
                <w:sz w:val="24"/>
              </w:rPr>
              <w:t>奇瑞绿能主要从事光伏发电业务及电动汽车充电桩设备销售业务，并拟在本次交易后主要开展电动汽车充电服务业务。交易前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奇瑞智能科技持有奇瑞绿能75%股权，单独控制奇瑞绿能。交易后奇瑞智能科技、奇瑞汽车分别持有奇瑞绿能50%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50%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股权，</w:t>
            </w:r>
            <w:bookmarkStart w:id="1" w:name="_GoBack"/>
            <w:bookmarkEnd w:id="1"/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共同控制奇瑞绿能。</w:t>
            </w:r>
          </w:p>
        </w:tc>
      </w:tr>
      <w:tr w14:paraId="6F453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809" w:type="dxa"/>
            <w:vMerge w:val="restart"/>
            <w:shd w:val="clear" w:color="auto" w:fill="D9D9D9"/>
          </w:tcPr>
          <w:p w14:paraId="37232CB1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>参与集中的经营者简介</w:t>
            </w:r>
          </w:p>
        </w:tc>
        <w:tc>
          <w:tcPr>
            <w:tcW w:w="1796" w:type="dxa"/>
          </w:tcPr>
          <w:p w14:paraId="761C67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/>
                <w:sz w:val="24"/>
                <w:szCs w:val="24"/>
              </w:rPr>
              <w:t>奇瑞智能科技</w:t>
            </w:r>
          </w:p>
        </w:tc>
        <w:tc>
          <w:tcPr>
            <w:tcW w:w="5153" w:type="dxa"/>
          </w:tcPr>
          <w:p w14:paraId="5997A0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奇瑞智能科技</w:t>
            </w:r>
            <w:r>
              <w:rPr>
                <w:rFonts w:ascii="Times New Roman" w:hAnsi="Times New Roman"/>
                <w:sz w:val="24"/>
                <w:szCs w:val="24"/>
              </w:rPr>
              <w:t>于</w:t>
            </w:r>
            <w:r>
              <w:rPr>
                <w:rFonts w:hint="eastAsia" w:ascii="Times New Roman" w:hAnsi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日成立于</w:t>
            </w:r>
            <w:r>
              <w:rPr>
                <w:rFonts w:hint="eastAsia" w:ascii="Times New Roman" w:hAnsi="Times New Roman"/>
                <w:sz w:val="24"/>
                <w:szCs w:val="24"/>
              </w:rPr>
              <w:t>安徽省芜湖</w:t>
            </w:r>
            <w:r>
              <w:rPr>
                <w:rFonts w:ascii="Times New Roman" w:hAnsi="Times New Roman"/>
                <w:sz w:val="24"/>
                <w:szCs w:val="24"/>
              </w:rPr>
              <w:t>市，主要从事汽车智能化、车身技术研发制造、对外股权投资与合作。</w:t>
            </w:r>
          </w:p>
          <w:p w14:paraId="748963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奇瑞智能科技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的最终控制人为奇瑞控股集团有限公司，主要从事商用车生产销售、房地产、金融投资、服务贸易业务和其他业务。</w:t>
            </w:r>
          </w:p>
        </w:tc>
      </w:tr>
      <w:tr w14:paraId="7A833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809" w:type="dxa"/>
            <w:vMerge w:val="continue"/>
            <w:shd w:val="clear" w:color="auto" w:fill="D9D9D9"/>
          </w:tcPr>
          <w:p w14:paraId="3D504803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796" w:type="dxa"/>
          </w:tcPr>
          <w:p w14:paraId="155F00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hint="eastAsia" w:ascii="Times New Roman" w:hAnsi="Times New Roman"/>
                <w:sz w:val="24"/>
                <w:szCs w:val="24"/>
              </w:rPr>
              <w:t>奇瑞汽车</w:t>
            </w:r>
          </w:p>
        </w:tc>
        <w:tc>
          <w:tcPr>
            <w:tcW w:w="5153" w:type="dxa"/>
          </w:tcPr>
          <w:p w14:paraId="1CD039EE">
            <w:pPr>
              <w:widowControl/>
              <w:adjustRightInd w:val="0"/>
              <w:snapToGrid w:val="0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val="en-GB" w:bidi="ar-AE"/>
              </w:rPr>
            </w:pPr>
            <w:r>
              <w:rPr>
                <w:rFonts w:hint="eastAsia" w:ascii="Times New Roman" w:hAnsi="Times New Roman"/>
                <w:bCs/>
                <w:color w:val="000000"/>
                <w:kern w:val="0"/>
                <w:sz w:val="24"/>
                <w:szCs w:val="24"/>
                <w:lang w:val="en-GB" w:bidi="ar-AE"/>
              </w:rPr>
              <w:t>奇瑞汽车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val="en-GB" w:bidi="ar-AE"/>
              </w:rPr>
              <w:t>于</w:t>
            </w:r>
            <w:r>
              <w:rPr>
                <w:rFonts w:hint="eastAsia" w:ascii="Times New Roman" w:hAnsi="Times New Roman"/>
                <w:bCs/>
                <w:color w:val="000000"/>
                <w:kern w:val="0"/>
                <w:sz w:val="24"/>
                <w:szCs w:val="24"/>
                <w:lang w:bidi="ar-AE"/>
              </w:rPr>
              <w:t>1997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val="en-GB" w:bidi="ar-AE"/>
              </w:rPr>
              <w:t>年</w:t>
            </w:r>
            <w:r>
              <w:rPr>
                <w:rFonts w:hint="eastAsia" w:ascii="Times New Roman" w:hAnsi="Times New Roman"/>
                <w:bCs/>
                <w:color w:val="000000"/>
                <w:kern w:val="0"/>
                <w:sz w:val="24"/>
                <w:szCs w:val="24"/>
                <w:lang w:bidi="ar-AE"/>
              </w:rPr>
              <w:t>1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val="en-GB" w:bidi="ar-AE"/>
              </w:rPr>
              <w:t>月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bidi="ar-AE"/>
              </w:rPr>
              <w:t>8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val="en-GB" w:bidi="ar-AE"/>
              </w:rPr>
              <w:t>日成立于</w:t>
            </w:r>
            <w:r>
              <w:rPr>
                <w:rFonts w:hint="eastAsia" w:ascii="Times New Roman" w:hAnsi="Times New Roman"/>
                <w:sz w:val="24"/>
                <w:szCs w:val="24"/>
              </w:rPr>
              <w:t>安徽省芜湖</w:t>
            </w:r>
            <w:r>
              <w:rPr>
                <w:rFonts w:ascii="Times New Roman" w:hAnsi="Times New Roman"/>
                <w:sz w:val="24"/>
                <w:szCs w:val="24"/>
              </w:rPr>
              <w:t>市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val="en-GB" w:bidi="ar-AE"/>
              </w:rPr>
              <w:t>，</w:t>
            </w:r>
            <w:r>
              <w:rPr>
                <w:rFonts w:hint="eastAsia" w:ascii="Times New Roman" w:hAnsi="Times New Roman"/>
                <w:bCs/>
                <w:color w:val="000000"/>
                <w:kern w:val="0"/>
                <w:sz w:val="24"/>
                <w:szCs w:val="24"/>
                <w:lang w:val="en-US" w:eastAsia="zh-CN" w:bidi="ar-AE"/>
              </w:rPr>
              <w:t>为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val="en-GB" w:bidi="ar-AE"/>
              </w:rPr>
              <w:t>香港联合</w:t>
            </w:r>
            <w:r>
              <w:rPr>
                <w:rFonts w:hint="eastAsia" w:ascii="Times New Roman" w:hAnsi="Times New Roman"/>
                <w:bCs/>
                <w:color w:val="000000"/>
                <w:kern w:val="0"/>
                <w:sz w:val="24"/>
                <w:szCs w:val="24"/>
                <w:lang w:val="en-US" w:eastAsia="zh-CN" w:bidi="ar-AE"/>
              </w:rPr>
              <w:t>证券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val="en-GB" w:bidi="ar-AE"/>
              </w:rPr>
              <w:t>交易所上市</w:t>
            </w:r>
            <w:r>
              <w:rPr>
                <w:rFonts w:hint="eastAsia" w:ascii="Times New Roman" w:hAnsi="Times New Roman"/>
                <w:bCs/>
                <w:color w:val="000000"/>
                <w:kern w:val="0"/>
                <w:sz w:val="24"/>
                <w:szCs w:val="24"/>
                <w:lang w:val="en-US" w:eastAsia="zh-CN" w:bidi="ar-AE"/>
              </w:rPr>
              <w:t>公司</w:t>
            </w:r>
            <w:r>
              <w:rPr>
                <w:rFonts w:hint="eastAsia" w:ascii="Times New Roman" w:hAnsi="Times New Roman"/>
                <w:bCs/>
                <w:color w:val="000000"/>
                <w:kern w:val="0"/>
                <w:sz w:val="24"/>
                <w:szCs w:val="24"/>
                <w:lang w:val="en-GB" w:bidi="ar-AE"/>
              </w:rPr>
              <w:t>，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val="en-GB" w:bidi="ar-AE"/>
              </w:rPr>
              <w:t>主要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bidi="ar-AE"/>
              </w:rPr>
              <w:t>从事</w:t>
            </w:r>
            <w:r>
              <w:rPr>
                <w:rFonts w:ascii="Times New Roman" w:hAnsi="Times New Roman"/>
                <w:sz w:val="24"/>
                <w:szCs w:val="24"/>
              </w:rPr>
              <w:t>乘用车、汽车组件及零部件的制造及销售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val="en-GB" w:bidi="ar-AE"/>
              </w:rPr>
              <w:t>。</w:t>
            </w:r>
          </w:p>
          <w:p w14:paraId="185932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color w:val="000000"/>
                <w:kern w:val="0"/>
                <w:sz w:val="24"/>
                <w:szCs w:val="24"/>
                <w:lang w:bidi="ar-AE"/>
              </w:rPr>
              <w:t>奇瑞汽车无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  <w:lang w:bidi="ar-AE"/>
              </w:rPr>
              <w:t>最终控制人。</w:t>
            </w:r>
          </w:p>
        </w:tc>
      </w:tr>
      <w:tr w14:paraId="1DAF1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809" w:type="dxa"/>
            <w:vMerge w:val="restart"/>
            <w:shd w:val="clear" w:color="auto" w:fill="D9D9D9"/>
          </w:tcPr>
          <w:p w14:paraId="3385E119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>简易案件理由（可以单选，也可以多选）</w:t>
            </w:r>
          </w:p>
        </w:tc>
        <w:tc>
          <w:tcPr>
            <w:tcW w:w="6949" w:type="dxa"/>
            <w:gridSpan w:val="2"/>
          </w:tcPr>
          <w:p w14:paraId="316EDA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/>
                <w:sz w:val="24"/>
                <w:szCs w:val="24"/>
              </w:rPr>
              <w:t xml:space="preserve"> 1、在同一相关市场，所有参与集中的经营者所占市场份额之和小于15%。</w:t>
            </w:r>
          </w:p>
        </w:tc>
      </w:tr>
      <w:tr w14:paraId="6DBC8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09" w:type="dxa"/>
            <w:vMerge w:val="continue"/>
            <w:shd w:val="clear" w:color="auto" w:fill="D9D9D9"/>
          </w:tcPr>
          <w:p w14:paraId="72EAAED9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6949" w:type="dxa"/>
            <w:gridSpan w:val="2"/>
          </w:tcPr>
          <w:p w14:paraId="6C87F4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/>
                <w:sz w:val="24"/>
                <w:szCs w:val="24"/>
              </w:rPr>
              <w:t xml:space="preserve"> 2、存在上下游关系的参与集中的经营者，在上下游市场所占的市场份额均小于25%。</w:t>
            </w:r>
          </w:p>
        </w:tc>
      </w:tr>
      <w:tr w14:paraId="24954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9" w:type="dxa"/>
            <w:vMerge w:val="continue"/>
            <w:shd w:val="clear" w:color="auto" w:fill="D9D9D9"/>
          </w:tcPr>
          <w:p w14:paraId="5D6BB087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6949" w:type="dxa"/>
            <w:gridSpan w:val="2"/>
          </w:tcPr>
          <w:p w14:paraId="15C9AB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" w:char="00FE"/>
            </w:r>
            <w:r>
              <w:rPr>
                <w:rFonts w:ascii="Times New Roman" w:hAnsi="Times New Roman"/>
                <w:sz w:val="24"/>
                <w:szCs w:val="24"/>
              </w:rPr>
              <w:t>3、不在同一相关市场、也不存在上下游关系的参与集中的经营者，在与交易有关的每个市场所占的份额均小于25%。</w:t>
            </w:r>
          </w:p>
        </w:tc>
      </w:tr>
      <w:tr w14:paraId="3CDF3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809" w:type="dxa"/>
            <w:vMerge w:val="continue"/>
            <w:shd w:val="clear" w:color="auto" w:fill="D9D9D9"/>
          </w:tcPr>
          <w:p w14:paraId="7464F5D3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6949" w:type="dxa"/>
            <w:gridSpan w:val="2"/>
          </w:tcPr>
          <w:p w14:paraId="0A4505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" w:char="F0A8"/>
            </w:r>
            <w:r>
              <w:rPr>
                <w:rFonts w:ascii="Times New Roman" w:hAnsi="Times New Roman"/>
                <w:sz w:val="24"/>
                <w:szCs w:val="24"/>
              </w:rPr>
              <w:t xml:space="preserve"> 4、参与集中的经营者在中国境外设立合营企业，合营企业不在中国境内从事经济活动。</w:t>
            </w:r>
          </w:p>
        </w:tc>
      </w:tr>
      <w:tr w14:paraId="53B6C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809" w:type="dxa"/>
            <w:vMerge w:val="continue"/>
            <w:shd w:val="clear" w:color="auto" w:fill="D9D9D9"/>
          </w:tcPr>
          <w:p w14:paraId="49A19ED5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6949" w:type="dxa"/>
            <w:gridSpan w:val="2"/>
          </w:tcPr>
          <w:p w14:paraId="5BFA82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" w:char="F0A8"/>
            </w:r>
            <w:r>
              <w:rPr>
                <w:rFonts w:ascii="Times New Roman" w:hAnsi="Times New Roman"/>
                <w:sz w:val="24"/>
                <w:szCs w:val="24"/>
              </w:rPr>
              <w:t xml:space="preserve"> 5、参与集中的经营者收购境外企业股权或资产的，该境外企业不在中国境内从事经济活动。</w:t>
            </w:r>
          </w:p>
        </w:tc>
      </w:tr>
      <w:tr w14:paraId="48BCC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09" w:type="dxa"/>
            <w:vMerge w:val="continue"/>
            <w:shd w:val="clear" w:color="auto" w:fill="D9D9D9"/>
          </w:tcPr>
          <w:p w14:paraId="2AA79D9B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6949" w:type="dxa"/>
            <w:gridSpan w:val="2"/>
          </w:tcPr>
          <w:p w14:paraId="5D3A5A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/>
                <w:sz w:val="24"/>
                <w:szCs w:val="24"/>
              </w:rPr>
              <w:t xml:space="preserve"> 6、由两个以上的经营者共同控制的合营企业，通过集中被其中一个或一个以上经营者控制。</w:t>
            </w:r>
          </w:p>
        </w:tc>
      </w:tr>
      <w:tr w14:paraId="6CAB5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D9D9D9"/>
          </w:tcPr>
          <w:p w14:paraId="5E28FE6B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>备注</w:t>
            </w:r>
          </w:p>
        </w:tc>
        <w:tc>
          <w:tcPr>
            <w:tcW w:w="6949" w:type="dxa"/>
            <w:gridSpan w:val="2"/>
          </w:tcPr>
          <w:p w14:paraId="5C285D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混合集中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：</w:t>
            </w:r>
          </w:p>
          <w:p w14:paraId="3B2A8F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1、2025年中国境内光伏发电市场：</w:t>
            </w:r>
          </w:p>
          <w:p w14:paraId="6D582BC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奇瑞智能科技：0~5%</w:t>
            </w:r>
          </w:p>
          <w:p w14:paraId="589F45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2、2025年</w:t>
            </w:r>
            <w:r>
              <w:rPr>
                <w:rFonts w:ascii="Times New Roman" w:hAnsi="Times New Roman"/>
                <w:sz w:val="24"/>
                <w:szCs w:val="24"/>
              </w:rPr>
              <w:t>中国境内电动汽车充电桩设备市场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：</w:t>
            </w:r>
          </w:p>
          <w:p w14:paraId="618219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奇瑞智能科技：0~5%</w:t>
            </w:r>
          </w:p>
          <w:p w14:paraId="2C0C60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3、2025年广州市电动汽车充电服务市场：</w:t>
            </w:r>
          </w:p>
          <w:p w14:paraId="62ACD3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奇瑞智能科技：0~5%</w:t>
            </w:r>
          </w:p>
          <w:p w14:paraId="54756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4、2025年成都市电动汽车充电服务市场：</w:t>
            </w:r>
          </w:p>
          <w:p w14:paraId="33DAD0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奇瑞智能科技：0~5%</w:t>
            </w:r>
          </w:p>
          <w:p w14:paraId="3874AF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5、2025年北京市电动汽车充电服务市场：</w:t>
            </w:r>
          </w:p>
          <w:p w14:paraId="7F34B3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奇瑞智能科技：0~5%</w:t>
            </w:r>
          </w:p>
          <w:p w14:paraId="041EED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6、2025年上海市电动汽车充电服务市场：</w:t>
            </w:r>
          </w:p>
          <w:p w14:paraId="1B3A15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奇瑞智能科技：0~5%</w:t>
            </w:r>
          </w:p>
          <w:p w14:paraId="751CE4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7、2025年深圳市电动汽车充电服务市场：</w:t>
            </w:r>
          </w:p>
          <w:p w14:paraId="20A427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奇瑞智能科技：0~5%</w:t>
            </w:r>
          </w:p>
          <w:p w14:paraId="234C59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8、2025年杭州市电动汽车充电服务市场：</w:t>
            </w:r>
          </w:p>
          <w:p w14:paraId="374148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奇瑞智能科技：0~5%</w:t>
            </w:r>
          </w:p>
          <w:p w14:paraId="615375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9、2025年芜湖市电动汽车充电服务市场：</w:t>
            </w:r>
          </w:p>
          <w:p w14:paraId="48BB0D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奇瑞智能科技：0~5%</w:t>
            </w:r>
          </w:p>
        </w:tc>
      </w:tr>
      <w:bookmarkEnd w:id="0"/>
    </w:tbl>
    <w:p w14:paraId="5AE0BB71">
      <w:pPr>
        <w:rPr>
          <w:rFonts w:ascii="Times New Roman" w:hAnsi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DB645F3-F41D-421F-904A-998E4363C9E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B8D9F2F8-FCB3-4C52-8243-82DD317B8F2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B9320FF-68D7-44B2-AEB6-2D83045D1C4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EBCDC09B-B98E-4BA8-8038-7B21796C403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96B39FDC-5927-485F-9F71-4B492DC273C5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8006DF7D-66BC-4DDD-8F10-09647EDB4693}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  <w:embedRegular r:id="rId7" w:fontKey="{1F652A67-20FE-4797-AD27-59450F607D8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8" w:fontKey="{D7467CF5-BE22-4427-9173-E0282435008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TrueType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095"/>
    <w:rsid w:val="000028B9"/>
    <w:rsid w:val="00002BB4"/>
    <w:rsid w:val="0002190B"/>
    <w:rsid w:val="00023510"/>
    <w:rsid w:val="00045966"/>
    <w:rsid w:val="00047B05"/>
    <w:rsid w:val="000675A7"/>
    <w:rsid w:val="000801B4"/>
    <w:rsid w:val="00081C11"/>
    <w:rsid w:val="00094095"/>
    <w:rsid w:val="000A7223"/>
    <w:rsid w:val="000B347D"/>
    <w:rsid w:val="000B4D65"/>
    <w:rsid w:val="000C0828"/>
    <w:rsid w:val="000E1188"/>
    <w:rsid w:val="000E363D"/>
    <w:rsid w:val="000F0629"/>
    <w:rsid w:val="00103F1F"/>
    <w:rsid w:val="00113024"/>
    <w:rsid w:val="00113B7D"/>
    <w:rsid w:val="00113F95"/>
    <w:rsid w:val="00115F2B"/>
    <w:rsid w:val="001469CA"/>
    <w:rsid w:val="001530C8"/>
    <w:rsid w:val="00172D73"/>
    <w:rsid w:val="00174A37"/>
    <w:rsid w:val="00181E00"/>
    <w:rsid w:val="001A1F68"/>
    <w:rsid w:val="001B6BE7"/>
    <w:rsid w:val="001D2727"/>
    <w:rsid w:val="001D60C2"/>
    <w:rsid w:val="001D6EEA"/>
    <w:rsid w:val="001E6355"/>
    <w:rsid w:val="001E6C23"/>
    <w:rsid w:val="001E72E6"/>
    <w:rsid w:val="00212883"/>
    <w:rsid w:val="00233B32"/>
    <w:rsid w:val="00242187"/>
    <w:rsid w:val="00245776"/>
    <w:rsid w:val="0025104F"/>
    <w:rsid w:val="00251FFF"/>
    <w:rsid w:val="002716AF"/>
    <w:rsid w:val="0027728C"/>
    <w:rsid w:val="002813E3"/>
    <w:rsid w:val="00286F12"/>
    <w:rsid w:val="0029266B"/>
    <w:rsid w:val="002A0992"/>
    <w:rsid w:val="002A2976"/>
    <w:rsid w:val="002A2A64"/>
    <w:rsid w:val="002A5221"/>
    <w:rsid w:val="002A5816"/>
    <w:rsid w:val="002B769E"/>
    <w:rsid w:val="002C0878"/>
    <w:rsid w:val="002C150A"/>
    <w:rsid w:val="002C2E9A"/>
    <w:rsid w:val="002C62AF"/>
    <w:rsid w:val="002D3E80"/>
    <w:rsid w:val="002F2D60"/>
    <w:rsid w:val="002F54BC"/>
    <w:rsid w:val="00307976"/>
    <w:rsid w:val="00315C44"/>
    <w:rsid w:val="003437D6"/>
    <w:rsid w:val="00344CBE"/>
    <w:rsid w:val="00356FF1"/>
    <w:rsid w:val="00367579"/>
    <w:rsid w:val="00372412"/>
    <w:rsid w:val="003774E4"/>
    <w:rsid w:val="003B4AF2"/>
    <w:rsid w:val="003C4E9F"/>
    <w:rsid w:val="003E60C3"/>
    <w:rsid w:val="003F3A3D"/>
    <w:rsid w:val="003F3F2D"/>
    <w:rsid w:val="00400A4A"/>
    <w:rsid w:val="004137D8"/>
    <w:rsid w:val="004203A2"/>
    <w:rsid w:val="00436C0C"/>
    <w:rsid w:val="00452181"/>
    <w:rsid w:val="00462174"/>
    <w:rsid w:val="00466906"/>
    <w:rsid w:val="004A6517"/>
    <w:rsid w:val="004A72D5"/>
    <w:rsid w:val="004B048E"/>
    <w:rsid w:val="004B78F0"/>
    <w:rsid w:val="004C37D8"/>
    <w:rsid w:val="004C3E23"/>
    <w:rsid w:val="004D1A60"/>
    <w:rsid w:val="004F6520"/>
    <w:rsid w:val="00511B0C"/>
    <w:rsid w:val="00523151"/>
    <w:rsid w:val="00533635"/>
    <w:rsid w:val="00547709"/>
    <w:rsid w:val="0055631E"/>
    <w:rsid w:val="00563F1C"/>
    <w:rsid w:val="00586928"/>
    <w:rsid w:val="00587541"/>
    <w:rsid w:val="005A0F48"/>
    <w:rsid w:val="005A31C8"/>
    <w:rsid w:val="005A5B31"/>
    <w:rsid w:val="005B29A6"/>
    <w:rsid w:val="005B2A20"/>
    <w:rsid w:val="005B2A61"/>
    <w:rsid w:val="005D1F1F"/>
    <w:rsid w:val="005D3977"/>
    <w:rsid w:val="005E3C20"/>
    <w:rsid w:val="005F167B"/>
    <w:rsid w:val="006041D2"/>
    <w:rsid w:val="006100B9"/>
    <w:rsid w:val="00610AE9"/>
    <w:rsid w:val="00611DE4"/>
    <w:rsid w:val="006302F7"/>
    <w:rsid w:val="00634511"/>
    <w:rsid w:val="00644282"/>
    <w:rsid w:val="006472DE"/>
    <w:rsid w:val="0065422A"/>
    <w:rsid w:val="006557DC"/>
    <w:rsid w:val="006571B5"/>
    <w:rsid w:val="006A088E"/>
    <w:rsid w:val="006C3910"/>
    <w:rsid w:val="006C59FA"/>
    <w:rsid w:val="006D069E"/>
    <w:rsid w:val="006D1520"/>
    <w:rsid w:val="006D36E3"/>
    <w:rsid w:val="006E538B"/>
    <w:rsid w:val="00706527"/>
    <w:rsid w:val="00706B49"/>
    <w:rsid w:val="00706C14"/>
    <w:rsid w:val="007421E3"/>
    <w:rsid w:val="00760695"/>
    <w:rsid w:val="00780DAA"/>
    <w:rsid w:val="00784A67"/>
    <w:rsid w:val="007A5837"/>
    <w:rsid w:val="007B64AD"/>
    <w:rsid w:val="007C0297"/>
    <w:rsid w:val="007C60A7"/>
    <w:rsid w:val="007D4D02"/>
    <w:rsid w:val="007E07D5"/>
    <w:rsid w:val="00806E95"/>
    <w:rsid w:val="008107B4"/>
    <w:rsid w:val="00811E74"/>
    <w:rsid w:val="008356DA"/>
    <w:rsid w:val="00836E2D"/>
    <w:rsid w:val="00862608"/>
    <w:rsid w:val="008721F6"/>
    <w:rsid w:val="00886997"/>
    <w:rsid w:val="00890504"/>
    <w:rsid w:val="008A1FF1"/>
    <w:rsid w:val="008A21F2"/>
    <w:rsid w:val="008A3827"/>
    <w:rsid w:val="008A70B2"/>
    <w:rsid w:val="008B2DDF"/>
    <w:rsid w:val="008C3DC0"/>
    <w:rsid w:val="008D3D13"/>
    <w:rsid w:val="008E34BF"/>
    <w:rsid w:val="008E5233"/>
    <w:rsid w:val="008F04A2"/>
    <w:rsid w:val="008F3D13"/>
    <w:rsid w:val="008F6B86"/>
    <w:rsid w:val="00921469"/>
    <w:rsid w:val="009270BA"/>
    <w:rsid w:val="00955419"/>
    <w:rsid w:val="00957D49"/>
    <w:rsid w:val="00981269"/>
    <w:rsid w:val="009910F5"/>
    <w:rsid w:val="009B5F0D"/>
    <w:rsid w:val="009B68C5"/>
    <w:rsid w:val="009D344D"/>
    <w:rsid w:val="009E42AF"/>
    <w:rsid w:val="009E66B3"/>
    <w:rsid w:val="009F50D7"/>
    <w:rsid w:val="00A022A4"/>
    <w:rsid w:val="00A03B12"/>
    <w:rsid w:val="00A1517B"/>
    <w:rsid w:val="00A15F64"/>
    <w:rsid w:val="00A37151"/>
    <w:rsid w:val="00A41B45"/>
    <w:rsid w:val="00A44ED8"/>
    <w:rsid w:val="00A623B9"/>
    <w:rsid w:val="00A665BC"/>
    <w:rsid w:val="00A83243"/>
    <w:rsid w:val="00A87FEF"/>
    <w:rsid w:val="00A91BB0"/>
    <w:rsid w:val="00A9684C"/>
    <w:rsid w:val="00AA0D58"/>
    <w:rsid w:val="00AB5008"/>
    <w:rsid w:val="00AC0172"/>
    <w:rsid w:val="00AC4929"/>
    <w:rsid w:val="00AC6ECA"/>
    <w:rsid w:val="00AD0AE2"/>
    <w:rsid w:val="00AD144B"/>
    <w:rsid w:val="00AE4242"/>
    <w:rsid w:val="00B06644"/>
    <w:rsid w:val="00B25D98"/>
    <w:rsid w:val="00B34F97"/>
    <w:rsid w:val="00B356C9"/>
    <w:rsid w:val="00B43DE3"/>
    <w:rsid w:val="00B54D27"/>
    <w:rsid w:val="00B5530C"/>
    <w:rsid w:val="00B5675D"/>
    <w:rsid w:val="00B577EB"/>
    <w:rsid w:val="00B9346D"/>
    <w:rsid w:val="00BA0750"/>
    <w:rsid w:val="00BA5C49"/>
    <w:rsid w:val="00BA625B"/>
    <w:rsid w:val="00BA6300"/>
    <w:rsid w:val="00BA6FC1"/>
    <w:rsid w:val="00BB2377"/>
    <w:rsid w:val="00BD3B0B"/>
    <w:rsid w:val="00BF7086"/>
    <w:rsid w:val="00C00A22"/>
    <w:rsid w:val="00C013BD"/>
    <w:rsid w:val="00C21FDF"/>
    <w:rsid w:val="00C4585B"/>
    <w:rsid w:val="00C569EB"/>
    <w:rsid w:val="00C64E86"/>
    <w:rsid w:val="00C65086"/>
    <w:rsid w:val="00C8636B"/>
    <w:rsid w:val="00C86C98"/>
    <w:rsid w:val="00C9068E"/>
    <w:rsid w:val="00C91A03"/>
    <w:rsid w:val="00C96603"/>
    <w:rsid w:val="00CA5F18"/>
    <w:rsid w:val="00CA6C50"/>
    <w:rsid w:val="00CB4BBA"/>
    <w:rsid w:val="00CC4B1B"/>
    <w:rsid w:val="00CE537D"/>
    <w:rsid w:val="00CF60DF"/>
    <w:rsid w:val="00D02388"/>
    <w:rsid w:val="00D11C3C"/>
    <w:rsid w:val="00D12436"/>
    <w:rsid w:val="00D21633"/>
    <w:rsid w:val="00D2163D"/>
    <w:rsid w:val="00D21777"/>
    <w:rsid w:val="00D3032F"/>
    <w:rsid w:val="00D30389"/>
    <w:rsid w:val="00D32065"/>
    <w:rsid w:val="00D368E0"/>
    <w:rsid w:val="00D4025F"/>
    <w:rsid w:val="00D45F07"/>
    <w:rsid w:val="00D671EF"/>
    <w:rsid w:val="00D74F3E"/>
    <w:rsid w:val="00D753A8"/>
    <w:rsid w:val="00DA02CB"/>
    <w:rsid w:val="00DB5392"/>
    <w:rsid w:val="00DB6A8B"/>
    <w:rsid w:val="00DD24A1"/>
    <w:rsid w:val="00DD5AC0"/>
    <w:rsid w:val="00DD7DFA"/>
    <w:rsid w:val="00DF4497"/>
    <w:rsid w:val="00E02606"/>
    <w:rsid w:val="00E03E02"/>
    <w:rsid w:val="00E3225D"/>
    <w:rsid w:val="00E35572"/>
    <w:rsid w:val="00E54F55"/>
    <w:rsid w:val="00E65ED7"/>
    <w:rsid w:val="00E761B9"/>
    <w:rsid w:val="00E76458"/>
    <w:rsid w:val="00E845A7"/>
    <w:rsid w:val="00EA6518"/>
    <w:rsid w:val="00EC7CC2"/>
    <w:rsid w:val="00ED21B1"/>
    <w:rsid w:val="00EE0E6B"/>
    <w:rsid w:val="00EE3DDA"/>
    <w:rsid w:val="00EF03F5"/>
    <w:rsid w:val="00EF1B89"/>
    <w:rsid w:val="00EF250E"/>
    <w:rsid w:val="00EF59BE"/>
    <w:rsid w:val="00F004B1"/>
    <w:rsid w:val="00F02E06"/>
    <w:rsid w:val="00F04325"/>
    <w:rsid w:val="00F71627"/>
    <w:rsid w:val="00F730F2"/>
    <w:rsid w:val="00F74404"/>
    <w:rsid w:val="00F80D6E"/>
    <w:rsid w:val="00F85488"/>
    <w:rsid w:val="00F87C1F"/>
    <w:rsid w:val="00FA02FD"/>
    <w:rsid w:val="00FA0C1A"/>
    <w:rsid w:val="00FA395D"/>
    <w:rsid w:val="00FD2F77"/>
    <w:rsid w:val="00FD72B7"/>
    <w:rsid w:val="00FD7A17"/>
    <w:rsid w:val="00FE4003"/>
    <w:rsid w:val="02A054ED"/>
    <w:rsid w:val="0B4C298C"/>
    <w:rsid w:val="0D10533C"/>
    <w:rsid w:val="0F506BC4"/>
    <w:rsid w:val="17A169E5"/>
    <w:rsid w:val="1A93081F"/>
    <w:rsid w:val="1F09499E"/>
    <w:rsid w:val="244C61C9"/>
    <w:rsid w:val="25CE1E7F"/>
    <w:rsid w:val="2B2B36C1"/>
    <w:rsid w:val="35BD1E53"/>
    <w:rsid w:val="38F7345D"/>
    <w:rsid w:val="3BF145B2"/>
    <w:rsid w:val="3C3E127F"/>
    <w:rsid w:val="3EBC62C8"/>
    <w:rsid w:val="3FFE0CCC"/>
    <w:rsid w:val="44C35EBF"/>
    <w:rsid w:val="4C1D443B"/>
    <w:rsid w:val="4CA94424"/>
    <w:rsid w:val="4F3B7F03"/>
    <w:rsid w:val="574F1D59"/>
    <w:rsid w:val="593450FB"/>
    <w:rsid w:val="5BA3015F"/>
    <w:rsid w:val="5E5B1C8A"/>
    <w:rsid w:val="65AC7F80"/>
    <w:rsid w:val="69807179"/>
    <w:rsid w:val="6F01677F"/>
    <w:rsid w:val="77B446A2"/>
    <w:rsid w:val="7EE77F63"/>
    <w:rsid w:val="7F0D2F1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unhideWhenUsed/>
    <w:qFormat/>
    <w:uiPriority w:val="99"/>
    <w:pPr>
      <w:jc w:val="left"/>
    </w:pPr>
  </w:style>
  <w:style w:type="paragraph" w:styleId="3">
    <w:name w:val="endnote text"/>
    <w:basedOn w:val="1"/>
    <w:link w:val="13"/>
    <w:semiHidden/>
    <w:unhideWhenUsed/>
    <w:qFormat/>
    <w:uiPriority w:val="99"/>
    <w:pPr>
      <w:snapToGrid w:val="0"/>
      <w:jc w:val="left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尾注文本 字符"/>
    <w:basedOn w:val="10"/>
    <w:link w:val="3"/>
    <w:semiHidden/>
    <w:qFormat/>
    <w:uiPriority w:val="99"/>
  </w:style>
  <w:style w:type="character" w:customStyle="1" w:styleId="14">
    <w:name w:val="页眉 字符"/>
    <w:link w:val="6"/>
    <w:qFormat/>
    <w:uiPriority w:val="99"/>
    <w:rPr>
      <w:sz w:val="18"/>
      <w:szCs w:val="18"/>
    </w:rPr>
  </w:style>
  <w:style w:type="character" w:customStyle="1" w:styleId="15">
    <w:name w:val="页脚 字符"/>
    <w:link w:val="5"/>
    <w:qFormat/>
    <w:uiPriority w:val="99"/>
    <w:rPr>
      <w:sz w:val="18"/>
      <w:szCs w:val="18"/>
    </w:rPr>
  </w:style>
  <w:style w:type="character" w:customStyle="1" w:styleId="16">
    <w:name w:val="批注框文本 字符"/>
    <w:link w:val="4"/>
    <w:semiHidden/>
    <w:qFormat/>
    <w:uiPriority w:val="99"/>
    <w:rPr>
      <w:kern w:val="2"/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9">
    <w:name w:val="批注文字 字符"/>
    <w:basedOn w:val="10"/>
    <w:link w:val="2"/>
    <w:qFormat/>
    <w:uiPriority w:val="99"/>
    <w:rPr>
      <w:kern w:val="2"/>
      <w:sz w:val="21"/>
      <w:szCs w:val="22"/>
    </w:rPr>
  </w:style>
  <w:style w:type="character" w:customStyle="1" w:styleId="20">
    <w:name w:val="批注主题 字符"/>
    <w:basedOn w:val="19"/>
    <w:link w:val="7"/>
    <w:semiHidden/>
    <w:qFormat/>
    <w:uiPriority w:val="99"/>
    <w:rPr>
      <w:b/>
      <w:bCs/>
      <w:kern w:val="2"/>
      <w:sz w:val="21"/>
      <w:szCs w:val="22"/>
    </w:rPr>
  </w:style>
  <w:style w:type="paragraph" w:customStyle="1" w:styleId="2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2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zhonglun</Company>
  <Pages>2</Pages>
  <Words>985</Words>
  <Characters>1072</Characters>
  <Lines>8</Lines>
  <Paragraphs>2</Paragraphs>
  <TotalTime>1</TotalTime>
  <ScaleCrop>false</ScaleCrop>
  <LinksUpToDate>false</LinksUpToDate>
  <CharactersWithSpaces>1077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2026-10-20T12:06:00Z</dcterms:created>
  <dc:creator>YIN Yue/Zhong Lun</dc:creator>
  <cp:lastModifiedBy>admin</cp:lastModifiedBy>
  <cp:lastPrinted>2024-05-14T15:23:00Z</cp:lastPrinted>
  <dcterms:modified xsi:type="dcterms:W3CDTF">2026-10-22T03:36:01Z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eyJoZGlkIjoiNjQwNjNhMWE2ZjQ1NGMwZDk0OTMyNzczNmNkMTZlZDQiLCJ1c2VySWQiOiI0OTQyMjIzNDkifQ==</vt:lpwstr>
  </property>
  <property fmtid="{D5CDD505-2E9C-101B-9397-08002B2CF9AE}" pid="4" name="ICV">
    <vt:lpwstr>AABBC364A68D4DACB3099ADAC25914B4_12</vt:lpwstr>
  </property>
</Properties>
</file>