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市市场监管局发布陶瓷砖监督抽查情况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bCs/>
          <w:kern w:val="2"/>
          <w:sz w:val="30"/>
          <w:szCs w:val="24"/>
          <w:lang w:val="en-US" w:eastAsia="zh-CN" w:bidi="ar-SA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color w:val="auto"/>
          <w:sz w:val="30"/>
        </w:rPr>
      </w:pPr>
      <w:r>
        <w:rPr>
          <w:rFonts w:hint="eastAsia" w:ascii="仿宋_GB2312" w:eastAsia="仿宋_GB2312"/>
          <w:bCs/>
          <w:color w:val="auto"/>
          <w:sz w:val="30"/>
        </w:rPr>
        <w:t>针对消费者投诉、举报集中及质量问题较多的产品，近期，上海市市场监管局集中组织力量对徐汇、浦东、嘉定、松江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等</w:t>
      </w:r>
      <w:r>
        <w:rPr>
          <w:rFonts w:hint="eastAsia" w:ascii="仿宋_GB2312" w:eastAsia="仿宋_GB2312"/>
          <w:bCs/>
          <w:color w:val="auto"/>
          <w:sz w:val="30"/>
        </w:rPr>
        <w:t>8个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区域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和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天猫1家网络平台23家</w:t>
      </w:r>
      <w:r>
        <w:rPr>
          <w:rFonts w:hint="eastAsia" w:ascii="仿宋_GB2312" w:eastAsia="仿宋_GB2312"/>
          <w:bCs/>
          <w:color w:val="auto"/>
          <w:sz w:val="30"/>
        </w:rPr>
        <w:t>企业销售的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21个品牌30</w:t>
      </w:r>
      <w:r>
        <w:rPr>
          <w:rFonts w:hint="eastAsia" w:ascii="仿宋_GB2312" w:eastAsia="仿宋_GB2312"/>
          <w:bCs/>
          <w:color w:val="auto"/>
          <w:sz w:val="30"/>
        </w:rPr>
        <w:t>批次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陶瓷砖进行了监督抽查</w:t>
      </w:r>
      <w:r>
        <w:rPr>
          <w:rFonts w:hint="eastAsia" w:ascii="仿宋_GB2312" w:eastAsia="仿宋_GB2312"/>
          <w:bCs/>
          <w:color w:val="auto"/>
          <w:sz w:val="30"/>
        </w:rPr>
        <w:t>。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经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检测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有1</w:t>
      </w:r>
      <w:r>
        <w:rPr>
          <w:rFonts w:hint="eastAsia" w:ascii="仿宋_GB2312" w:eastAsia="仿宋_GB2312"/>
          <w:bCs/>
          <w:color w:val="auto"/>
          <w:sz w:val="30"/>
        </w:rPr>
        <w:t>批次不合格，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不合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格检出率</w:t>
      </w:r>
      <w:r>
        <w:rPr>
          <w:rFonts w:hint="eastAsia" w:ascii="仿宋_GB2312" w:eastAsia="仿宋_GB2312"/>
          <w:bCs/>
          <w:color w:val="auto"/>
          <w:sz w:val="30"/>
        </w:rPr>
        <w:t>为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3.3%</w:t>
      </w:r>
      <w:r>
        <w:rPr>
          <w:rFonts w:hint="eastAsia" w:ascii="仿宋_GB2312" w:eastAsia="仿宋_GB2312"/>
          <w:bCs/>
          <w:color w:val="auto"/>
          <w:sz w:val="30"/>
        </w:rPr>
        <w:t>。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检测项目涉及</w:t>
      </w:r>
      <w:r>
        <w:rPr>
          <w:rFonts w:hint="eastAsia" w:ascii="仿宋_GB2312" w:eastAsia="仿宋_GB2312"/>
          <w:bCs/>
          <w:color w:val="auto"/>
          <w:sz w:val="30"/>
        </w:rPr>
        <w:t>尺寸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断裂模数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破坏强度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无釉砖耐磨性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抗釉裂性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抗化学腐蚀性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耐污染性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30"/>
        </w:rPr>
        <w:t>放射性核素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9项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本次抽查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不合格项目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是</w:t>
      </w:r>
      <w:r>
        <w:rPr>
          <w:rFonts w:hint="eastAsia" w:ascii="仿宋_GB2312" w:eastAsia="仿宋_GB2312"/>
          <w:bCs/>
          <w:color w:val="auto"/>
          <w:sz w:val="30"/>
        </w:rPr>
        <w:t>吸水率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eastAsia="仿宋_GB2312"/>
          <w:bCs/>
          <w:color w:val="auto"/>
          <w:sz w:val="30"/>
          <w:lang w:val="en" w:eastAsia="zh-CN"/>
        </w:rPr>
      </w:pP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上海盼吉文建材有限公司在意邦建材家居世界销售的</w:t>
      </w:r>
      <w:r>
        <w:rPr>
          <w:rFonts w:hint="eastAsia" w:ascii="仿宋_GB2312" w:eastAsia="仿宋_GB2312"/>
          <w:bCs/>
          <w:color w:val="auto"/>
          <w:sz w:val="30"/>
        </w:rPr>
        <w:t>标称由晋江广达陶瓷有限公司生产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或供货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）</w:t>
      </w:r>
      <w:r>
        <w:rPr>
          <w:rFonts w:hint="eastAsia" w:ascii="仿宋_GB2312" w:eastAsia="仿宋_GB2312"/>
          <w:bCs/>
          <w:color w:val="auto"/>
          <w:sz w:val="30"/>
        </w:rPr>
        <w:t>的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“</w:t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drawing>
          <wp:inline distT="0" distB="0" distL="114300" distR="114300">
            <wp:extent cx="466725" cy="493395"/>
            <wp:effectExtent l="0" t="0" r="5715" b="9525"/>
            <wp:docPr id="1" name="图片 1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color w:val="auto"/>
          <w:sz w:val="30"/>
          <w:lang w:eastAsia="zh-CN"/>
        </w:rPr>
        <w:t>”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牌广达龙通体砖（型号规格：60×200（mm））</w:t>
      </w:r>
      <w:r>
        <w:rPr>
          <w:rFonts w:hint="eastAsia" w:ascii="仿宋_GB2312" w:eastAsia="仿宋_GB2312"/>
          <w:bCs/>
          <w:color w:val="auto"/>
          <w:sz w:val="30"/>
        </w:rPr>
        <w:t>，</w:t>
      </w:r>
      <w:r>
        <w:rPr>
          <w:rFonts w:hint="default" w:ascii="仿宋_GB2312" w:eastAsia="仿宋_GB2312"/>
          <w:bCs/>
          <w:color w:val="auto"/>
          <w:sz w:val="30"/>
          <w:lang w:val="en-US" w:eastAsia="zh-CN"/>
        </w:rPr>
        <w:t>平均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吸水率实测为</w:t>
      </w:r>
      <w:r>
        <w:rPr>
          <w:rFonts w:hint="default" w:ascii="仿宋_GB2312" w:eastAsia="仿宋_GB2312"/>
          <w:bCs/>
          <w:color w:val="auto"/>
          <w:sz w:val="30"/>
          <w:lang w:val="en-US" w:eastAsia="zh-CN"/>
        </w:rPr>
        <w:t>7.2%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（标准值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应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3%＜平均值≤6%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）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，</w:t>
      </w:r>
      <w:r>
        <w:rPr>
          <w:rFonts w:hint="default" w:ascii="仿宋_GB2312" w:eastAsia="仿宋_GB2312"/>
          <w:bCs/>
          <w:color w:val="auto"/>
          <w:sz w:val="30"/>
          <w:lang w:val="en-US" w:eastAsia="zh-CN"/>
        </w:rPr>
        <w:t>单个最大值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为</w:t>
      </w:r>
      <w:r>
        <w:rPr>
          <w:rFonts w:hint="default" w:ascii="仿宋_GB2312" w:eastAsia="仿宋_GB2312"/>
          <w:bCs/>
          <w:color w:val="auto"/>
          <w:sz w:val="30"/>
          <w:lang w:val="en-US" w:eastAsia="zh-CN"/>
        </w:rPr>
        <w:t>7.6%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，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（标准值应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≤6.5%）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，与标准要求不符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。</w:t>
      </w:r>
      <w:r>
        <w:rPr>
          <w:rFonts w:hint="default" w:ascii="仿宋_GB2312" w:eastAsia="仿宋_GB2312"/>
          <w:bCs/>
          <w:color w:val="auto"/>
          <w:sz w:val="30"/>
          <w:lang w:val="en" w:eastAsia="zh-CN"/>
        </w:rPr>
        <w:t>该指标不合格，瓷砖密度较低，影响抗污、耐用性能。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color w:val="auto"/>
          <w:sz w:val="30"/>
        </w:rPr>
      </w:pPr>
      <w:r>
        <w:rPr>
          <w:rFonts w:hint="default" w:ascii="仿宋_GB2312" w:eastAsia="仿宋_GB2312"/>
          <w:bCs/>
          <w:color w:val="auto"/>
          <w:sz w:val="30"/>
          <w:lang w:val="en-US" w:eastAsia="zh-CN"/>
        </w:rPr>
        <w:t>根据抽查结果，市场监管部门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</w:t>
      </w:r>
      <w:r>
        <w:rPr>
          <w:rFonts w:hint="eastAsia" w:ascii="仿宋_GB2312" w:eastAsia="仿宋_GB2312"/>
          <w:bCs/>
          <w:color w:val="auto"/>
          <w:sz w:val="30"/>
        </w:rPr>
        <w:t>同时，市场监管部门提醒消费者在选购陶瓷砖时，应注意以下几点：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color w:val="auto"/>
          <w:sz w:val="30"/>
        </w:rPr>
      </w:pPr>
      <w:r>
        <w:rPr>
          <w:rFonts w:hint="default" w:ascii="仿宋_GB2312" w:eastAsia="仿宋_GB2312"/>
          <w:bCs/>
          <w:color w:val="auto"/>
          <w:sz w:val="30"/>
          <w:lang w:val="en"/>
        </w:rPr>
        <w:t>一</w:t>
      </w:r>
      <w:r>
        <w:rPr>
          <w:rFonts w:hint="eastAsia" w:ascii="仿宋_GB2312" w:eastAsia="仿宋_GB2312"/>
          <w:bCs/>
          <w:color w:val="auto"/>
          <w:sz w:val="30"/>
        </w:rPr>
        <w:t>、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应</w:t>
      </w:r>
      <w:r>
        <w:rPr>
          <w:rFonts w:hint="eastAsia" w:ascii="仿宋_GB2312" w:eastAsia="仿宋_GB2312"/>
          <w:bCs/>
          <w:color w:val="auto"/>
          <w:sz w:val="30"/>
        </w:rPr>
        <w:t>按使用场合选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购</w:t>
      </w:r>
      <w:r>
        <w:rPr>
          <w:rFonts w:hint="eastAsia" w:ascii="仿宋_GB2312" w:eastAsia="仿宋_GB2312"/>
          <w:bCs/>
          <w:color w:val="auto"/>
          <w:sz w:val="30"/>
        </w:rPr>
        <w:t>合适的陶瓷砖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。</w:t>
      </w:r>
      <w:r>
        <w:rPr>
          <w:rFonts w:hint="eastAsia" w:ascii="仿宋_GB2312" w:eastAsia="仿宋_GB2312"/>
          <w:bCs/>
          <w:color w:val="auto"/>
          <w:sz w:val="30"/>
        </w:rPr>
        <w:t>如果家有老人和儿童，应选择摩擦系数较大的防滑地砖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；</w:t>
      </w:r>
      <w:r>
        <w:rPr>
          <w:rFonts w:hint="eastAsia" w:ascii="仿宋_GB2312" w:eastAsia="仿宋_GB2312"/>
          <w:bCs/>
          <w:color w:val="auto"/>
          <w:sz w:val="30"/>
        </w:rPr>
        <w:t>阳台改装的厨房，最好选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择</w:t>
      </w:r>
      <w:r>
        <w:rPr>
          <w:rFonts w:hint="eastAsia" w:ascii="仿宋_GB2312" w:eastAsia="仿宋_GB2312"/>
          <w:bCs/>
          <w:color w:val="auto"/>
          <w:sz w:val="30"/>
        </w:rPr>
        <w:t>抗冻性较好的或吸水率较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小</w:t>
      </w:r>
      <w:r>
        <w:rPr>
          <w:rFonts w:hint="eastAsia" w:ascii="仿宋_GB2312" w:eastAsia="仿宋_GB2312"/>
          <w:bCs/>
          <w:color w:val="auto"/>
          <w:sz w:val="30"/>
        </w:rPr>
        <w:t>的瓷砖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</w:t>
      </w:r>
      <w:r>
        <w:rPr>
          <w:rFonts w:hint="eastAsia" w:ascii="仿宋_GB2312" w:eastAsia="仿宋_GB2312"/>
          <w:bCs/>
          <w:color w:val="auto"/>
          <w:sz w:val="30"/>
        </w:rPr>
        <w:t>卫生间的内墙砖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可</w:t>
      </w:r>
      <w:r>
        <w:rPr>
          <w:rFonts w:hint="eastAsia" w:ascii="仿宋_GB2312" w:eastAsia="仿宋_GB2312"/>
          <w:bCs/>
          <w:color w:val="auto"/>
          <w:sz w:val="30"/>
        </w:rPr>
        <w:t>选择吸水率较小的瓷砖，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吸水后不易</w:t>
      </w:r>
      <w:r>
        <w:rPr>
          <w:rFonts w:hint="eastAsia" w:ascii="仿宋_GB2312" w:eastAsia="仿宋_GB2312"/>
          <w:bCs/>
          <w:color w:val="auto"/>
          <w:sz w:val="30"/>
        </w:rPr>
        <w:t>产生色差等现象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；</w:t>
      </w:r>
      <w:r>
        <w:rPr>
          <w:rFonts w:hint="eastAsia" w:ascii="仿宋_GB2312" w:eastAsia="仿宋_GB2312"/>
          <w:bCs/>
          <w:color w:val="auto"/>
          <w:sz w:val="30"/>
        </w:rPr>
        <w:t>地砖也应选择吸水率较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小</w:t>
      </w:r>
      <w:r>
        <w:rPr>
          <w:rFonts w:hint="eastAsia" w:ascii="仿宋_GB2312" w:eastAsia="仿宋_GB2312"/>
          <w:bCs/>
          <w:color w:val="auto"/>
          <w:sz w:val="30"/>
        </w:rPr>
        <w:t>的，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因为</w:t>
      </w:r>
      <w:r>
        <w:rPr>
          <w:rFonts w:hint="eastAsia" w:ascii="仿宋_GB2312" w:eastAsia="仿宋_GB2312"/>
          <w:bCs/>
          <w:color w:val="auto"/>
          <w:sz w:val="30"/>
        </w:rPr>
        <w:t>吸水率较大的地砖在使用中可能被“染色”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</w:t>
      </w:r>
      <w:r>
        <w:rPr>
          <w:rFonts w:hint="eastAsia" w:ascii="仿宋_GB2312" w:eastAsia="仿宋_GB2312"/>
          <w:bCs/>
          <w:color w:val="auto"/>
          <w:sz w:val="30"/>
        </w:rPr>
        <w:t>吸入较多的废水产生异味。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color w:val="auto"/>
          <w:sz w:val="30"/>
        </w:rPr>
      </w:pPr>
      <w:r>
        <w:rPr>
          <w:rFonts w:hint="default" w:ascii="仿宋_GB2312" w:eastAsia="仿宋_GB2312"/>
          <w:bCs/>
          <w:color w:val="auto"/>
          <w:sz w:val="30"/>
          <w:lang w:val="en"/>
        </w:rPr>
        <w:t>二</w:t>
      </w:r>
      <w:r>
        <w:rPr>
          <w:rFonts w:hint="eastAsia" w:ascii="仿宋_GB2312" w:eastAsia="仿宋_GB2312"/>
          <w:bCs/>
          <w:color w:val="auto"/>
          <w:sz w:val="30"/>
        </w:rPr>
        <w:t>、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应查看外观，</w:t>
      </w:r>
      <w:r>
        <w:rPr>
          <w:rFonts w:hint="eastAsia" w:ascii="仿宋_GB2312" w:eastAsia="仿宋_GB2312"/>
          <w:bCs/>
          <w:color w:val="auto"/>
          <w:sz w:val="30"/>
        </w:rPr>
        <w:t>釉面应平滑细腻，光泽釉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应</w:t>
      </w:r>
      <w:r>
        <w:rPr>
          <w:rFonts w:hint="eastAsia" w:ascii="仿宋_GB2312" w:eastAsia="仿宋_GB2312"/>
          <w:bCs/>
          <w:color w:val="auto"/>
          <w:sz w:val="30"/>
        </w:rPr>
        <w:t>晶莹亮泽, 亚光釉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应</w:t>
      </w:r>
      <w:r>
        <w:rPr>
          <w:rFonts w:hint="eastAsia" w:ascii="仿宋_GB2312" w:eastAsia="仿宋_GB2312"/>
          <w:bCs/>
          <w:color w:val="auto"/>
          <w:sz w:val="30"/>
        </w:rPr>
        <w:t>柔和舒适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</w:t>
      </w:r>
      <w:r>
        <w:rPr>
          <w:rFonts w:hint="eastAsia" w:ascii="仿宋_GB2312" w:eastAsia="仿宋_GB2312"/>
          <w:bCs/>
          <w:color w:val="auto"/>
          <w:sz w:val="30"/>
        </w:rPr>
        <w:t>不应有不和谐的斑点和色斑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；再查看</w:t>
      </w:r>
      <w:r>
        <w:rPr>
          <w:rFonts w:hint="eastAsia" w:ascii="仿宋_GB2312" w:eastAsia="仿宋_GB2312"/>
          <w:bCs/>
          <w:color w:val="auto"/>
          <w:sz w:val="30"/>
        </w:rPr>
        <w:t>尺寸偏差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和平整程度，</w:t>
      </w:r>
      <w:r>
        <w:rPr>
          <w:rFonts w:hint="eastAsia" w:ascii="仿宋_GB2312" w:eastAsia="仿宋_GB2312"/>
          <w:bCs/>
          <w:color w:val="auto"/>
          <w:sz w:val="30"/>
        </w:rPr>
        <w:t>将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陶瓷砖</w:t>
      </w:r>
      <w:r>
        <w:rPr>
          <w:rFonts w:hint="eastAsia" w:ascii="仿宋_GB2312" w:eastAsia="仿宋_GB2312"/>
          <w:bCs/>
          <w:color w:val="auto"/>
          <w:sz w:val="30"/>
        </w:rPr>
        <w:t>垂直放在一个平面上，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观察</w:t>
      </w:r>
      <w:r>
        <w:rPr>
          <w:rFonts w:hint="eastAsia" w:ascii="仿宋_GB2312" w:eastAsia="仿宋_GB2312"/>
          <w:bCs/>
          <w:color w:val="auto"/>
          <w:sz w:val="30"/>
        </w:rPr>
        <w:t>有没有参差不齐的现象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，再</w:t>
      </w:r>
      <w:r>
        <w:rPr>
          <w:rFonts w:hint="eastAsia" w:ascii="仿宋_GB2312" w:eastAsia="仿宋_GB2312"/>
          <w:bCs/>
          <w:color w:val="auto"/>
          <w:sz w:val="30"/>
        </w:rPr>
        <w:t>将两块砖的边紧靠在一起,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观察有无</w:t>
      </w:r>
      <w:r>
        <w:rPr>
          <w:rFonts w:hint="eastAsia" w:ascii="仿宋_GB2312" w:eastAsia="仿宋_GB2312"/>
          <w:bCs/>
          <w:color w:val="auto"/>
          <w:sz w:val="30"/>
        </w:rPr>
        <w:t>缝隙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</w:t>
      </w:r>
      <w:r>
        <w:rPr>
          <w:rFonts w:hint="eastAsia" w:ascii="仿宋_GB2312" w:eastAsia="仿宋_GB2312"/>
          <w:bCs/>
          <w:color w:val="auto"/>
          <w:sz w:val="30"/>
        </w:rPr>
        <w:t>砖面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是否</w:t>
      </w:r>
      <w:r>
        <w:rPr>
          <w:rFonts w:hint="eastAsia" w:ascii="仿宋_GB2312" w:eastAsia="仿宋_GB2312"/>
          <w:bCs/>
          <w:color w:val="auto"/>
          <w:sz w:val="30"/>
        </w:rPr>
        <w:t>平整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；</w:t>
      </w:r>
      <w:r>
        <w:rPr>
          <w:rFonts w:hint="eastAsia" w:ascii="仿宋_GB2312" w:eastAsia="仿宋_GB2312"/>
          <w:bCs/>
          <w:color w:val="auto"/>
          <w:sz w:val="30"/>
        </w:rPr>
        <w:t>将同样规格尺寸、同样厚度的</w:t>
      </w:r>
      <w:r>
        <w:rPr>
          <w:rFonts w:hint="eastAsia" w:ascii="仿宋_GB2312" w:eastAsia="仿宋_GB2312"/>
          <w:bCs/>
          <w:color w:val="auto"/>
          <w:sz w:val="30"/>
          <w:lang w:val="en-US" w:eastAsia="zh-CN"/>
        </w:rPr>
        <w:t>陶</w:t>
      </w:r>
      <w:r>
        <w:rPr>
          <w:rFonts w:hint="eastAsia" w:ascii="仿宋_GB2312" w:eastAsia="仿宋_GB2312"/>
          <w:bCs/>
          <w:color w:val="auto"/>
          <w:sz w:val="30"/>
        </w:rPr>
        <w:t>瓷砖放在手上比较，重的质量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较好</w:t>
      </w:r>
      <w:r>
        <w:rPr>
          <w:rFonts w:hint="eastAsia" w:ascii="仿宋_GB2312" w:eastAsia="仿宋_GB2312"/>
          <w:bCs/>
          <w:color w:val="auto"/>
          <w:sz w:val="30"/>
        </w:rPr>
        <w:t>。轻轻敲击陶瓷砖，细听声音，质量较好的听上去清脆悦耳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</w:t>
      </w:r>
      <w:r>
        <w:rPr>
          <w:rFonts w:hint="eastAsia" w:ascii="仿宋_GB2312" w:eastAsia="仿宋_GB2312"/>
          <w:bCs/>
          <w:color w:val="auto"/>
          <w:sz w:val="30"/>
        </w:rPr>
        <w:t>质量差的因原料配方不当，烧成周期短，烧成温度低，敲击时会发出“空空”之声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；最后</w:t>
      </w:r>
      <w:r>
        <w:rPr>
          <w:rFonts w:hint="eastAsia" w:ascii="仿宋_GB2312" w:eastAsia="仿宋_GB2312"/>
          <w:bCs/>
          <w:color w:val="auto"/>
          <w:sz w:val="30"/>
        </w:rPr>
        <w:t>在陶瓷砖的背面滴几滴水，如果水滴迅速被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陶瓷砖</w:t>
      </w:r>
      <w:r>
        <w:rPr>
          <w:rFonts w:hint="eastAsia" w:ascii="仿宋_GB2312" w:eastAsia="仿宋_GB2312"/>
          <w:bCs/>
          <w:color w:val="auto"/>
          <w:sz w:val="30"/>
        </w:rPr>
        <w:t>吸收，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说</w:t>
      </w:r>
      <w:r>
        <w:rPr>
          <w:rFonts w:hint="eastAsia" w:ascii="仿宋_GB2312" w:eastAsia="仿宋_GB2312"/>
          <w:bCs/>
          <w:color w:val="auto"/>
          <w:sz w:val="30"/>
        </w:rPr>
        <w:t>明陶瓷砖吸水率较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高</w:t>
      </w:r>
      <w:r>
        <w:rPr>
          <w:rFonts w:hint="eastAsia" w:ascii="仿宋_GB2312" w:eastAsia="仿宋_GB2312"/>
          <w:bCs/>
          <w:color w:val="auto"/>
          <w:sz w:val="30"/>
        </w:rPr>
        <w:t>，如果水滴不容易被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陶瓷砖</w:t>
      </w:r>
      <w:r>
        <w:rPr>
          <w:rFonts w:hint="eastAsia" w:ascii="仿宋_GB2312" w:eastAsia="仿宋_GB2312"/>
          <w:bCs/>
          <w:color w:val="auto"/>
          <w:sz w:val="30"/>
        </w:rPr>
        <w:t>吸收，说明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这</w:t>
      </w:r>
      <w:r>
        <w:rPr>
          <w:rFonts w:hint="eastAsia" w:ascii="仿宋_GB2312" w:eastAsia="仿宋_GB2312"/>
          <w:bCs/>
          <w:color w:val="auto"/>
          <w:sz w:val="30"/>
        </w:rPr>
        <w:t>种陶瓷砖质地密、强度高</w:t>
      </w:r>
      <w:r>
        <w:rPr>
          <w:rFonts w:hint="default" w:ascii="仿宋_GB2312" w:eastAsia="仿宋_GB2312"/>
          <w:bCs/>
          <w:color w:val="auto"/>
          <w:sz w:val="30"/>
          <w:lang w:val="en"/>
        </w:rPr>
        <w:t>，抗污、耐用性能较好</w:t>
      </w:r>
      <w:r>
        <w:rPr>
          <w:rFonts w:hint="eastAsia" w:ascii="仿宋_GB2312" w:eastAsia="仿宋_GB2312"/>
          <w:bCs/>
          <w:color w:val="auto"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color w:val="auto"/>
          <w:sz w:val="30"/>
        </w:rPr>
      </w:pPr>
      <w:r>
        <w:rPr>
          <w:rFonts w:hint="default" w:ascii="仿宋_GB2312" w:eastAsia="仿宋_GB2312"/>
          <w:bCs/>
          <w:color w:val="auto"/>
          <w:sz w:val="30"/>
          <w:lang w:val="en"/>
        </w:rPr>
        <w:t>三、收到陶瓷砖后应开箱验货</w:t>
      </w:r>
      <w:r>
        <w:rPr>
          <w:rFonts w:hint="eastAsia" w:ascii="仿宋_GB2312" w:eastAsia="仿宋_GB2312"/>
          <w:bCs/>
          <w:color w:val="auto"/>
          <w:sz w:val="30"/>
        </w:rPr>
        <w:t>，检查是否有掉角、碎裂，对花片和腰线更要从基底、花色、色差等方面逐片检查。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EyZGIwZDRhZWZjYjY0YzUzZGYwM2JlZTQxOTkyNG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4576D"/>
    <w:rsid w:val="00045CBD"/>
    <w:rsid w:val="00046103"/>
    <w:rsid w:val="00046E17"/>
    <w:rsid w:val="00052945"/>
    <w:rsid w:val="00054110"/>
    <w:rsid w:val="0006212C"/>
    <w:rsid w:val="000659F2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3DB2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5171"/>
    <w:rsid w:val="001D42D8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1451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CA7"/>
    <w:rsid w:val="005B261C"/>
    <w:rsid w:val="005C2689"/>
    <w:rsid w:val="005C478E"/>
    <w:rsid w:val="005C4A73"/>
    <w:rsid w:val="005D291A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3DC1"/>
    <w:rsid w:val="006D4341"/>
    <w:rsid w:val="006D739D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64A2F"/>
    <w:rsid w:val="00767066"/>
    <w:rsid w:val="0077050F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357B6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C148D"/>
    <w:rsid w:val="00AC3221"/>
    <w:rsid w:val="00AC35A5"/>
    <w:rsid w:val="00AC68B1"/>
    <w:rsid w:val="00AC725E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D7C"/>
    <w:rsid w:val="00DB21DD"/>
    <w:rsid w:val="00DD03F9"/>
    <w:rsid w:val="00DD67DB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9D348BF"/>
    <w:rsid w:val="109A51C8"/>
    <w:rsid w:val="1DFA6EC3"/>
    <w:rsid w:val="26B648E9"/>
    <w:rsid w:val="272372BC"/>
    <w:rsid w:val="306B04F2"/>
    <w:rsid w:val="32AD4517"/>
    <w:rsid w:val="36422F6B"/>
    <w:rsid w:val="3D4A68C2"/>
    <w:rsid w:val="414010EE"/>
    <w:rsid w:val="47857C94"/>
    <w:rsid w:val="5029635B"/>
    <w:rsid w:val="516923D4"/>
    <w:rsid w:val="525C4127"/>
    <w:rsid w:val="52F53B4E"/>
    <w:rsid w:val="608B5D2F"/>
    <w:rsid w:val="617D2CD5"/>
    <w:rsid w:val="61C15914"/>
    <w:rsid w:val="623C3C70"/>
    <w:rsid w:val="65165F77"/>
    <w:rsid w:val="6D6847A5"/>
    <w:rsid w:val="72247F25"/>
    <w:rsid w:val="7CADA78B"/>
    <w:rsid w:val="BD7BEE4F"/>
    <w:rsid w:val="FF7FF68D"/>
    <w:rsid w:val="FFEFA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58"/>
      <w:ind w:left="1450" w:right="1291"/>
      <w:jc w:val="center"/>
      <w:outlineLvl w:val="0"/>
    </w:pPr>
    <w:rPr>
      <w:b/>
      <w:bCs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1419</Words>
  <Characters>1442</Characters>
  <Lines>9</Lines>
  <Paragraphs>2</Paragraphs>
  <TotalTime>2</TotalTime>
  <ScaleCrop>false</ScaleCrop>
  <LinksUpToDate>false</LinksUpToDate>
  <CharactersWithSpaces>1444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2021-06-29T14:45:00Z</dcterms:created>
  <dc:creator>金格科技</dc:creator>
  <cp:lastModifiedBy>scjuser</cp:lastModifiedBy>
  <cp:lastPrinted>2021-01-06T09:39:00Z</cp:lastPrinted>
  <dcterms:modified xsi:type="dcterms:W3CDTF">2023-07-31T11:29:19Z</dcterms:modified>
  <dc:title>上海市工商局流通领域羊绒羊毛制品及服装质量监测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FA1D952EBE2140ACAB8DB8125CAB60A9</vt:lpwstr>
  </property>
</Properties>
</file>