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 w:val="0"/>
        <w:snapToGrid w:val="0"/>
        <w:spacing w:line="360" w:lineRule="auto"/>
        <w:jc w:val="right"/>
        <w:rPr>
          <w:rFonts w:ascii="仿宋_GB2312" w:hAnsi="Calibri" w:eastAsia="仿宋_GB2312" w:cs="Calibri"/>
          <w:color w:val="000000" w:themeColor="text1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 w:themeColor="text1"/>
          <w:sz w:val="28"/>
          <w:szCs w:val="28"/>
        </w:rPr>
        <w:t>编号：</w:t>
      </w:r>
      <w:r>
        <w:rPr>
          <w:rFonts w:ascii="仿宋_GB2312" w:hAnsi="Calibri" w:eastAsia="仿宋_GB2312" w:cs="Calibri"/>
          <w:color w:val="000000" w:themeColor="text1"/>
          <w:sz w:val="28"/>
          <w:szCs w:val="28"/>
        </w:rPr>
        <w:t>SHSSXZ0065-2025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 w:themeColor="text1"/>
          <w:sz w:val="32"/>
          <w:szCs w:val="32"/>
        </w:rPr>
      </w:pPr>
      <w:r>
        <w:rPr>
          <w:rFonts w:hint="eastAsia" w:ascii="黑体" w:hAnsi="黑体" w:eastAsia="黑体" w:cs="Calibri"/>
          <w:color w:val="000000" w:themeColor="text1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 w:themeColor="text1"/>
          <w:sz w:val="32"/>
          <w:szCs w:val="32"/>
        </w:rPr>
      </w:pPr>
      <w:r>
        <w:rPr>
          <w:rFonts w:hint="eastAsia" w:ascii="楷体" w:hAnsi="楷体" w:eastAsia="楷体" w:cs="微软雅黑"/>
          <w:color w:val="000000" w:themeColor="text1"/>
          <w:sz w:val="32"/>
          <w:szCs w:val="32"/>
        </w:rPr>
        <w:t>电热毯、电热垫及类似柔性发热器具产品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黑体" w:hAnsi="宋体" w:eastAsia="黑体"/>
          <w:color w:val="000000" w:themeColor="text1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hint="eastAsia" w:ascii="宋体" w:hAnsi="宋体" w:cs="Calibri"/>
          <w:color w:val="000000" w:themeColor="text1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宋体" w:hAnsi="宋体"/>
          <w:color w:val="000000" w:themeColor="text1"/>
          <w:sz w:val="24"/>
          <w:szCs w:val="21"/>
        </w:rPr>
        <w:t>每批次样品抽取</w:t>
      </w:r>
      <w:r>
        <w:rPr>
          <w:rFonts w:ascii="宋体" w:hAnsi="宋体"/>
          <w:color w:val="000000" w:themeColor="text1"/>
          <w:sz w:val="24"/>
          <w:szCs w:val="21"/>
        </w:rPr>
        <w:t>6</w:t>
      </w:r>
      <w:r>
        <w:rPr>
          <w:rFonts w:hint="eastAsia" w:ascii="宋体" w:hAnsi="宋体"/>
          <w:color w:val="000000" w:themeColor="text1"/>
          <w:sz w:val="24"/>
          <w:szCs w:val="21"/>
        </w:rPr>
        <w:t>条，其中</w:t>
      </w:r>
      <w:r>
        <w:rPr>
          <w:rFonts w:ascii="宋体" w:hAnsi="宋体"/>
          <w:color w:val="000000" w:themeColor="text1"/>
          <w:sz w:val="24"/>
          <w:szCs w:val="21"/>
        </w:rPr>
        <w:t>4</w:t>
      </w:r>
      <w:r>
        <w:rPr>
          <w:rFonts w:hint="eastAsia" w:ascii="宋体" w:hAnsi="宋体"/>
          <w:color w:val="000000" w:themeColor="text1"/>
          <w:sz w:val="24"/>
          <w:szCs w:val="21"/>
        </w:rPr>
        <w:t>条作为检验样品，2条作为备用</w:t>
      </w:r>
      <w:r>
        <w:rPr>
          <w:rFonts w:hint="eastAsia" w:ascii="宋体" w:hAnsi="宋体"/>
          <w:color w:val="000000"/>
          <w:sz w:val="24"/>
          <w:szCs w:val="21"/>
        </w:rPr>
        <w:t>样品</w:t>
      </w:r>
      <w:r>
        <w:rPr>
          <w:rFonts w:hint="eastAsia" w:ascii="宋体" w:hAnsi="宋体"/>
          <w:color w:val="000000" w:themeColor="text1"/>
          <w:sz w:val="24"/>
          <w:szCs w:val="21"/>
        </w:rPr>
        <w:t>。</w:t>
      </w:r>
    </w:p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:szCs w:val="21"/>
        </w:rPr>
      </w:pPr>
      <w:r>
        <w:rPr>
          <w:rFonts w:ascii="黑体" w:hAnsi="黑体" w:eastAsia="黑体" w:cs="Calibri"/>
          <w:color w:val="000000" w:themeColor="text1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 w:themeColor="text1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宋体" w:hAnsi="宋体"/>
          <w:color w:val="000000" w:themeColor="text1"/>
          <w:sz w:val="24"/>
          <w:szCs w:val="21"/>
        </w:rPr>
        <w:t>表</w:t>
      </w:r>
      <w:r>
        <w:rPr>
          <w:rFonts w:hint="eastAsia" w:ascii="宋体" w:hAnsi="宋体"/>
          <w:color w:val="000000" w:themeColor="text1"/>
          <w:szCs w:val="21"/>
        </w:rPr>
        <w:t xml:space="preserve">1 </w:t>
      </w:r>
      <w:r>
        <w:rPr>
          <w:rFonts w:hint="eastAsia" w:ascii="宋体" w:hAnsi="宋体"/>
          <w:color w:val="000000" w:themeColor="text1"/>
          <w:sz w:val="24"/>
          <w:szCs w:val="21"/>
        </w:rPr>
        <w:t>电热毯、电热垫及类似柔性发热器具产品检验项目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807"/>
        <w:gridCol w:w="2783"/>
        <w:gridCol w:w="2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53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51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检验方法</w:t>
            </w:r>
          </w:p>
        </w:tc>
        <w:tc>
          <w:tcPr>
            <w:tcW w:w="1513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标志和说明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对触及带电部件的防护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输入功率和电流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10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10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10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发热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11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11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11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工作温度下的泄漏电流和电气强度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13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13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13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6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耐潮湿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15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15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15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泄漏电流和电气强度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16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16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16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8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非正常工作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（只测19.102或19.103或1</w:t>
            </w:r>
            <w:r>
              <w:rPr>
                <w:rFonts w:ascii="宋体" w:hAnsi="宋体"/>
                <w:color w:val="000000" w:themeColor="text1"/>
                <w:szCs w:val="21"/>
              </w:rPr>
              <w:t>9.104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或1</w:t>
            </w:r>
            <w:r>
              <w:rPr>
                <w:rFonts w:ascii="宋体" w:hAnsi="宋体"/>
                <w:color w:val="000000" w:themeColor="text1"/>
                <w:szCs w:val="21"/>
              </w:rPr>
              <w:t>9.110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）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19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19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19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9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稳定性和机械危险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20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20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20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0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机械强度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（不测2</w:t>
            </w:r>
            <w:r>
              <w:rPr>
                <w:rFonts w:ascii="宋体" w:hAnsi="宋体"/>
                <w:color w:val="000000" w:themeColor="text1"/>
                <w:szCs w:val="21"/>
              </w:rPr>
              <w:t>1.105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、21.111.2、21.111.3）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21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21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21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结构(不测22.46)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22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22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22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内部布线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23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23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23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电源连接和外部软线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25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25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25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外部导线用接线端子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26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26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26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螺钉和连接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28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28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28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6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电气间隙、爬电距离和固体绝缘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29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29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29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耐热和耐燃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30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30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30</w:t>
            </w:r>
          </w:p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4706.8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-2008/</w:t>
            </w:r>
            <w:r>
              <w:rPr>
                <w:rFonts w:ascii="宋体" w:hAnsi="宋体"/>
                <w:color w:val="000000" w:themeColor="text1"/>
                <w:szCs w:val="21"/>
              </w:rPr>
              <w:t>30</w:t>
            </w:r>
          </w:p>
        </w:tc>
      </w:tr>
    </w:tbl>
    <w:p>
      <w:pPr>
        <w:rPr>
          <w:rFonts w:ascii="黑体" w:hAnsi="黑体" w:eastAsia="黑体" w:cs="Calibri"/>
          <w:color w:val="000000" w:themeColor="text1"/>
          <w:sz w:val="24"/>
        </w:rPr>
      </w:pPr>
    </w:p>
    <w:p>
      <w:pPr>
        <w:snapToGrid w:val="0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宋体" w:hAnsi="宋体"/>
          <w:color w:val="000000" w:themeColor="text1"/>
          <w:sz w:val="24"/>
          <w:szCs w:val="21"/>
        </w:rPr>
        <w:t>表</w:t>
      </w:r>
      <w:r>
        <w:rPr>
          <w:rFonts w:hint="eastAsia" w:ascii="宋体" w:hAnsi="宋体"/>
          <w:color w:val="000000" w:themeColor="text1"/>
          <w:szCs w:val="21"/>
        </w:rPr>
        <w:t xml:space="preserve">2 </w:t>
      </w:r>
      <w:r>
        <w:rPr>
          <w:rFonts w:hint="eastAsia" w:ascii="宋体" w:hAnsi="宋体"/>
          <w:color w:val="000000" w:themeColor="text1"/>
          <w:sz w:val="24"/>
          <w:szCs w:val="21"/>
        </w:rPr>
        <w:t>水暖毯产品检验项目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807"/>
        <w:gridCol w:w="2783"/>
        <w:gridCol w:w="2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4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53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51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检验方法</w:t>
            </w:r>
          </w:p>
        </w:tc>
        <w:tc>
          <w:tcPr>
            <w:tcW w:w="1513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标志和说明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对触及带电部件的防护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输入功率和电流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10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发热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11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工作温度下的泄漏电流和电气强度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13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6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耐潮湿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15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泄漏电流和电气强度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16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8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非正常工作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（只测19.102或19.103或1</w:t>
            </w:r>
            <w:r>
              <w:rPr>
                <w:rFonts w:ascii="宋体" w:hAnsi="宋体"/>
                <w:color w:val="000000" w:themeColor="text1"/>
                <w:szCs w:val="21"/>
              </w:rPr>
              <w:t>9.104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或1</w:t>
            </w:r>
            <w:r>
              <w:rPr>
                <w:rFonts w:ascii="宋体" w:hAnsi="宋体"/>
                <w:color w:val="000000" w:themeColor="text1"/>
                <w:szCs w:val="21"/>
              </w:rPr>
              <w:t>9.110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）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19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9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稳定性和机械危险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20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0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机械强度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（不测2</w:t>
            </w:r>
            <w:r>
              <w:rPr>
                <w:rFonts w:ascii="宋体" w:hAnsi="宋体"/>
                <w:color w:val="000000" w:themeColor="text1"/>
                <w:szCs w:val="21"/>
              </w:rPr>
              <w:t>1.105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、21.111.2、21.111.3）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21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结构(不测22.46)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22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内部布线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23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电源连接和外部软线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25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外部导线用接线端子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26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15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接地措施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-2005/27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 xml:space="preserve"> </w:t>
            </w:r>
            <w:r>
              <w:rPr>
                <w:rFonts w:ascii="宋体" w:hAnsi="宋体"/>
                <w:color w:val="000000" w:themeColor="text1"/>
                <w:szCs w:val="21"/>
              </w:rPr>
              <w:t>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16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螺钉和连接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28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17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电气间隙、爬电距离和固体绝缘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29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40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18</w:t>
            </w:r>
          </w:p>
        </w:tc>
        <w:tc>
          <w:tcPr>
            <w:tcW w:w="1530" w:type="pc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耐热和耐燃</w:t>
            </w:r>
          </w:p>
        </w:tc>
        <w:tc>
          <w:tcPr>
            <w:tcW w:w="1517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30</w:t>
            </w:r>
          </w:p>
        </w:tc>
        <w:tc>
          <w:tcPr>
            <w:tcW w:w="1513" w:type="pct"/>
            <w:vAlign w:val="center"/>
          </w:tcPr>
          <w:p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4706.1</w:t>
            </w:r>
            <w:r>
              <w:rPr>
                <w:rFonts w:hint="eastAsia" w:ascii="宋体" w:hAnsi="宋体"/>
                <w:color w:val="000000" w:themeColor="text1"/>
                <w:szCs w:val="21"/>
              </w:rPr>
              <w:t>-2005/</w:t>
            </w:r>
            <w:r>
              <w:rPr>
                <w:rFonts w:ascii="宋体" w:hAnsi="宋体"/>
                <w:color w:val="000000" w:themeColor="text1"/>
                <w:szCs w:val="21"/>
              </w:rPr>
              <w:t>30</w:t>
            </w:r>
          </w:p>
        </w:tc>
      </w:tr>
    </w:tbl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</w:rPr>
      </w:pPr>
    </w:p>
    <w:p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黑体" w:hAnsi="黑体" w:eastAsia="黑体" w:cs="Calibri"/>
          <w:color w:val="000000" w:themeColor="text1"/>
          <w:sz w:val="24"/>
        </w:rPr>
        <w:t>3检验结果判定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hint="eastAsia" w:ascii="宋体" w:hAnsi="宋体" w:cs="Calibri"/>
          <w:color w:val="000000" w:themeColor="text1"/>
          <w:sz w:val="24"/>
        </w:rPr>
        <w:t>1</w:t>
      </w:r>
      <w:bookmarkStart w:id="0" w:name="_GoBack"/>
      <w:bookmarkEnd w:id="0"/>
      <w:r>
        <w:rPr>
          <w:rFonts w:ascii="宋体" w:hAnsi="宋体" w:cs="Calibri"/>
          <w:color w:val="000000" w:themeColor="text1"/>
          <w:sz w:val="24"/>
        </w:rPr>
        <w:t>判定</w:t>
      </w:r>
      <w:r>
        <w:rPr>
          <w:rFonts w:hint="eastAsia" w:ascii="宋体" w:hAnsi="宋体" w:cs="Calibri"/>
          <w:color w:val="000000" w:themeColor="text1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hint="eastAsia" w:ascii="宋体" w:hAnsi="宋体" w:cs="Calibri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hint="eastAsia" w:ascii="宋体" w:hAnsi="宋体" w:cs="Calibri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hint="eastAsia" w:ascii="宋体" w:hAnsi="宋体" w:cs="Calibri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hint="eastAsia" w:ascii="宋体" w:hAnsi="宋体" w:cs="Calibri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hint="eastAsia" w:ascii="宋体" w:hAnsi="宋体" w:cs="Calibri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hint="eastAsia" w:ascii="宋体" w:hAnsi="宋体" w:cs="Calibri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hint="eastAsia" w:ascii="宋体" w:hAnsi="宋体" w:cs="Calibri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hint="eastAsia" w:ascii="宋体" w:hAnsi="宋体" w:cs="Calibri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hint="eastAsia" w:ascii="宋体" w:hAnsi="宋体" w:cs="Calibri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hint="eastAsia" w:ascii="宋体" w:hAnsi="宋体" w:cs="Calibri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hint="eastAsia" w:ascii="宋体" w:hAnsi="宋体" w:cs="Calibri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hint="eastAsia" w:ascii="宋体" w:hAnsi="宋体" w:cs="Calibri"/>
          <w:color w:val="000000" w:themeColor="text1"/>
          <w:sz w:val="24"/>
        </w:rPr>
        <w:t>2结果判定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hint="eastAsia" w:ascii="宋体" w:hAnsi="宋体" w:cs="Calibri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hint="eastAsia" w:ascii="宋体" w:hAnsi="宋体" w:cs="Calibri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hint="eastAsia" w:ascii="宋体" w:hAnsi="宋体" w:cs="Calibri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 w:cs="Calibri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hint="eastAsia" w:ascii="宋体" w:hAnsi="宋体" w:cs="Calibri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docVars>
    <w:docVar w:name="commondata" w:val="eyJoZGlkIjoiMGQwYTgxZWZiMjhkZDhkOWVhMjZiNTE2OTA4NGJhNmIifQ=="/>
    <w:docVar w:name="KSO_WPS_MARK_KEY" w:val="3be1e17c-346d-4f09-9623-bffe0c3a7b01"/>
  </w:docVars>
  <w:rsids>
    <w:rsidRoot w:val="00B525EF"/>
    <w:rsid w:val="00017F73"/>
    <w:rsid w:val="00017FEE"/>
    <w:rsid w:val="0002643C"/>
    <w:rsid w:val="00052216"/>
    <w:rsid w:val="00065BFD"/>
    <w:rsid w:val="00074373"/>
    <w:rsid w:val="000827A6"/>
    <w:rsid w:val="000B2D0E"/>
    <w:rsid w:val="000C5FB2"/>
    <w:rsid w:val="00100AE3"/>
    <w:rsid w:val="00164B2A"/>
    <w:rsid w:val="001761E6"/>
    <w:rsid w:val="001850FE"/>
    <w:rsid w:val="001A1209"/>
    <w:rsid w:val="001B45E9"/>
    <w:rsid w:val="001C713C"/>
    <w:rsid w:val="00260BF6"/>
    <w:rsid w:val="002857AD"/>
    <w:rsid w:val="00287C7A"/>
    <w:rsid w:val="002B5BAA"/>
    <w:rsid w:val="003B09F9"/>
    <w:rsid w:val="003D39E5"/>
    <w:rsid w:val="003E4C8F"/>
    <w:rsid w:val="003E63D2"/>
    <w:rsid w:val="004074A7"/>
    <w:rsid w:val="00435CA8"/>
    <w:rsid w:val="004754B8"/>
    <w:rsid w:val="00516CCD"/>
    <w:rsid w:val="00522A8A"/>
    <w:rsid w:val="00532B56"/>
    <w:rsid w:val="00545330"/>
    <w:rsid w:val="00585A90"/>
    <w:rsid w:val="00617DA0"/>
    <w:rsid w:val="00634372"/>
    <w:rsid w:val="00640C75"/>
    <w:rsid w:val="006E0B6F"/>
    <w:rsid w:val="006E7B61"/>
    <w:rsid w:val="00730C62"/>
    <w:rsid w:val="007333A7"/>
    <w:rsid w:val="00753A05"/>
    <w:rsid w:val="00754F7E"/>
    <w:rsid w:val="007869C0"/>
    <w:rsid w:val="007B2AF8"/>
    <w:rsid w:val="007C01AE"/>
    <w:rsid w:val="0080329F"/>
    <w:rsid w:val="0084062A"/>
    <w:rsid w:val="008914CE"/>
    <w:rsid w:val="00896D5C"/>
    <w:rsid w:val="00912469"/>
    <w:rsid w:val="0093348D"/>
    <w:rsid w:val="009D1ADE"/>
    <w:rsid w:val="00A656CB"/>
    <w:rsid w:val="00A743B8"/>
    <w:rsid w:val="00AB0483"/>
    <w:rsid w:val="00AC0658"/>
    <w:rsid w:val="00AD04D5"/>
    <w:rsid w:val="00AF107E"/>
    <w:rsid w:val="00B04FC5"/>
    <w:rsid w:val="00B525EF"/>
    <w:rsid w:val="00B71D10"/>
    <w:rsid w:val="00BB37C8"/>
    <w:rsid w:val="00BC239C"/>
    <w:rsid w:val="00C059B8"/>
    <w:rsid w:val="00C24B19"/>
    <w:rsid w:val="00C53409"/>
    <w:rsid w:val="00CF096B"/>
    <w:rsid w:val="00D67A28"/>
    <w:rsid w:val="00D72F34"/>
    <w:rsid w:val="00D913BE"/>
    <w:rsid w:val="00DA7E91"/>
    <w:rsid w:val="00DB4632"/>
    <w:rsid w:val="00DC3AC2"/>
    <w:rsid w:val="00DD3249"/>
    <w:rsid w:val="00DE2355"/>
    <w:rsid w:val="00E049BF"/>
    <w:rsid w:val="00E70B9E"/>
    <w:rsid w:val="00E801A1"/>
    <w:rsid w:val="00EF41E1"/>
    <w:rsid w:val="00F0539F"/>
    <w:rsid w:val="00F1679A"/>
    <w:rsid w:val="00F332CA"/>
    <w:rsid w:val="00F57ACD"/>
    <w:rsid w:val="00F66987"/>
    <w:rsid w:val="628E5792"/>
    <w:rsid w:val="FDE10E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423</Words>
  <Characters>2416</Characters>
  <Lines>20</Lines>
  <Paragraphs>5</Paragraphs>
  <TotalTime>10</TotalTime>
  <ScaleCrop>false</ScaleCrop>
  <LinksUpToDate>false</LinksUpToDate>
  <CharactersWithSpaces>2834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2021-01-07T13:49:00Z</dcterms:created>
  <dc:creator>Legend User</dc:creator>
  <cp:lastModifiedBy>scjuser</cp:lastModifiedBy>
  <cp:lastPrinted>2019-12-05T23:53:00Z</cp:lastPrinted>
  <dcterms:modified xsi:type="dcterms:W3CDTF">2025-01-22T09:15:20Z</dcterms:modified>
  <dc:title>××产品质量监督抽查实施细则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2EABECDC9F8D437B8C4E045D2DC366E4</vt:lpwstr>
  </property>
</Properties>
</file>