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themeColor="text1"/>
          <w:sz w:val="28"/>
          <w:szCs w:val="28"/>
          <w14:textFill>
            <w14:solidFill>
              <w14:schemeClr w14:val="tx1"/>
            </w14:solidFill>
          </w14:textFill>
        </w:rPr>
      </w:pPr>
      <w:r>
        <w:rPr>
          <w:rFonts w:hint="eastAsia" w:ascii="仿宋_GB2312" w:hAnsi="Calibri" w:eastAsia="仿宋_GB2312" w:cs="Calibri"/>
          <w:color w:val="000000" w:themeColor="text1"/>
          <w:sz w:val="28"/>
          <w:szCs w:val="28"/>
          <w14:textFill>
            <w14:solidFill>
              <w14:schemeClr w14:val="tx1"/>
            </w14:solidFill>
          </w14:textFill>
        </w:rPr>
        <w:t>编号：</w:t>
      </w:r>
      <w:r>
        <w:rPr>
          <w:rFonts w:ascii="仿宋_GB2312" w:hAnsi="Calibri" w:eastAsia="仿宋_GB2312" w:cs="Calibri"/>
          <w:color w:val="000000" w:themeColor="text1"/>
          <w:sz w:val="28"/>
          <w:szCs w:val="28"/>
          <w14:textFill>
            <w14:solidFill>
              <w14:schemeClr w14:val="tx1"/>
            </w14:solidFill>
          </w14:textFill>
        </w:rPr>
        <w:t>SHSSXZ</w:t>
      </w:r>
      <w:r>
        <w:rPr>
          <w:rFonts w:hint="eastAsia" w:ascii="仿宋_GB2312" w:hAnsi="Calibri" w:eastAsia="仿宋_GB2312" w:cs="Calibri"/>
          <w:color w:val="000000" w:themeColor="text1"/>
          <w:sz w:val="28"/>
          <w:szCs w:val="28"/>
          <w14:textFill>
            <w14:solidFill>
              <w14:schemeClr w14:val="tx1"/>
            </w14:solidFill>
          </w14:textFill>
        </w:rPr>
        <w:t>0095-2025</w:t>
      </w:r>
    </w:p>
    <w:p>
      <w:pPr>
        <w:snapToGrid w:val="0"/>
        <w:spacing w:line="360" w:lineRule="auto"/>
        <w:jc w:val="center"/>
        <w:rPr>
          <w:rFonts w:ascii="黑体" w:hAnsi="黑体" w:eastAsia="黑体" w:cs="Calibri"/>
          <w:color w:val="000000" w:themeColor="text1"/>
          <w:sz w:val="32"/>
          <w:szCs w:val="32"/>
          <w14:textFill>
            <w14:solidFill>
              <w14:schemeClr w14:val="tx1"/>
            </w14:solidFill>
          </w14:textFill>
        </w:rPr>
      </w:pPr>
      <w:r>
        <w:rPr>
          <w:rFonts w:hint="eastAsia" w:ascii="黑体" w:hAnsi="黑体" w:eastAsia="黑体" w:cs="Calibri"/>
          <w:color w:val="000000" w:themeColor="text1"/>
          <w:sz w:val="32"/>
          <w:szCs w:val="32"/>
          <w14:textFill>
            <w14:solidFill>
              <w14:schemeClr w14:val="tx1"/>
            </w14:solidFill>
          </w14:textFill>
        </w:rPr>
        <w:t>上海市产品质量监督抽查实施细则</w:t>
      </w:r>
    </w:p>
    <w:p>
      <w:pPr>
        <w:snapToGrid w:val="0"/>
        <w:spacing w:line="360" w:lineRule="auto"/>
        <w:jc w:val="center"/>
        <w:rPr>
          <w:rFonts w:ascii="楷体" w:hAnsi="楷体" w:eastAsia="楷体" w:cs="微软雅黑"/>
          <w:color w:val="000000" w:themeColor="text1"/>
          <w:sz w:val="32"/>
          <w:szCs w:val="32"/>
          <w14:textFill>
            <w14:solidFill>
              <w14:schemeClr w14:val="tx1"/>
            </w14:solidFill>
          </w14:textFill>
        </w:rPr>
      </w:pPr>
      <w:r>
        <w:rPr>
          <w:rFonts w:hint="eastAsia" w:ascii="楷体" w:hAnsi="楷体" w:eastAsia="楷体" w:cs="微软雅黑"/>
          <w:color w:val="000000" w:themeColor="text1"/>
          <w:sz w:val="32"/>
          <w:szCs w:val="32"/>
          <w14:textFill>
            <w14:solidFill>
              <w14:schemeClr w14:val="tx1"/>
            </w14:solidFill>
          </w14:textFill>
        </w:rPr>
        <w:t>玩具产品</w:t>
      </w:r>
    </w:p>
    <w:p>
      <w:pPr>
        <w:snapToGrid w:val="0"/>
        <w:spacing w:line="440" w:lineRule="exact"/>
        <w:rPr>
          <w:rFonts w:ascii="宋体" w:hAnsi="宋体"/>
          <w:color w:val="000000" w:themeColor="text1"/>
          <w:sz w:val="24"/>
          <w:szCs w:val="21"/>
          <w14:textFill>
            <w14:solidFill>
              <w14:schemeClr w14:val="tx1"/>
            </w14:solidFill>
          </w14:textFill>
        </w:rPr>
      </w:pPr>
      <w:r>
        <w:rPr>
          <w:rFonts w:hint="eastAsia" w:ascii="黑体" w:hAnsi="宋体" w:eastAsia="黑体"/>
          <w:color w:val="000000" w:themeColor="text1"/>
          <w:sz w:val="24"/>
          <w:szCs w:val="21"/>
          <w14:textFill>
            <w14:solidFill>
              <w14:schemeClr w14:val="tx1"/>
            </w14:solidFill>
          </w14:textFill>
        </w:rPr>
        <w:t>1 抽样方法</w:t>
      </w:r>
    </w:p>
    <w:p>
      <w:pPr>
        <w:snapToGrid w:val="0"/>
        <w:spacing w:line="440" w:lineRule="exact"/>
        <w:ind w:firstLine="480" w:firstLineChars="200"/>
        <w:rPr>
          <w:rFonts w:ascii="宋体" w:hAnsi="宋体" w:cs="Calibri"/>
          <w:color w:val="000000" w:themeColor="text1"/>
          <w:sz w:val="24"/>
          <w:szCs w:val="21"/>
          <w14:textFill>
            <w14:solidFill>
              <w14:schemeClr w14:val="tx1"/>
            </w14:solidFill>
          </w14:textFill>
        </w:rPr>
      </w:pPr>
      <w:r>
        <w:rPr>
          <w:rFonts w:hint="eastAsia" w:ascii="宋体" w:hAnsi="宋体" w:cs="Calibri"/>
          <w:color w:val="000000" w:themeColor="text1"/>
          <w:sz w:val="24"/>
          <w:szCs w:val="21"/>
          <w14:textFill>
            <w14:solidFill>
              <w14:schemeClr w14:val="tx1"/>
            </w14:solidFill>
          </w14:textFill>
        </w:rPr>
        <w:t>以随机方式在被抽样生产者、销售者的待销产品中抽取样品。</w:t>
      </w:r>
    </w:p>
    <w:p>
      <w:pPr>
        <w:snapToGrid w:val="0"/>
        <w:spacing w:line="440" w:lineRule="exact"/>
        <w:ind w:firstLine="480" w:firstLineChars="200"/>
        <w:rPr>
          <w:rFonts w:ascii="宋体" w:hAnsi="宋体"/>
          <w:color w:val="000000" w:themeColor="text1"/>
          <w:sz w:val="24"/>
          <w:szCs w:val="21"/>
          <w14:textFill>
            <w14:solidFill>
              <w14:schemeClr w14:val="tx1"/>
            </w14:solidFill>
          </w14:textFill>
        </w:rPr>
      </w:pPr>
      <w:r>
        <w:rPr>
          <w:rFonts w:hint="eastAsia" w:ascii="宋体" w:hAnsi="宋体"/>
          <w:color w:val="000000" w:themeColor="text1"/>
          <w:sz w:val="24"/>
          <w:szCs w:val="21"/>
          <w14:textFill>
            <w14:solidFill>
              <w14:schemeClr w14:val="tx1"/>
            </w14:solidFill>
          </w14:textFill>
        </w:rPr>
        <w:t>每批次样品抽取3批次，其中2批次作为检验样品，1批次作为备用样品。</w:t>
      </w:r>
    </w:p>
    <w:p>
      <w:pPr>
        <w:snapToGrid w:val="0"/>
        <w:spacing w:line="440" w:lineRule="exact"/>
        <w:ind w:firstLine="480" w:firstLineChars="200"/>
        <w:rPr>
          <w:rFonts w:ascii="宋体" w:hAnsi="宋体"/>
          <w:color w:val="000000" w:themeColor="text1"/>
          <w:sz w:val="24"/>
          <w:szCs w:val="21"/>
          <w14:textFill>
            <w14:solidFill>
              <w14:schemeClr w14:val="tx1"/>
            </w14:solidFill>
          </w14:textFill>
        </w:rPr>
      </w:pPr>
      <w:r>
        <w:rPr>
          <w:rFonts w:hint="eastAsia" w:ascii="宋体" w:hAnsi="宋体"/>
          <w:color w:val="000000" w:themeColor="text1"/>
          <w:sz w:val="24"/>
          <w:szCs w:val="21"/>
          <w14:textFill>
            <w14:solidFill>
              <w14:schemeClr w14:val="tx1"/>
            </w14:solidFill>
          </w14:textFill>
        </w:rPr>
        <w:t>抽取检验样品或备用样品不足最小销售包装的整数倍时，抽取最小销售包装的整数倍，不破坏最小销售包装。</w:t>
      </w:r>
    </w:p>
    <w:p>
      <w:pPr>
        <w:spacing w:line="460" w:lineRule="exact"/>
        <w:rPr>
          <w:rFonts w:ascii="黑体" w:hAnsi="黑体" w:eastAsia="黑体" w:cs="Calibri"/>
          <w:color w:val="000000" w:themeColor="text1"/>
          <w:sz w:val="24"/>
          <w:szCs w:val="21"/>
          <w14:textFill>
            <w14:solidFill>
              <w14:schemeClr w14:val="tx1"/>
            </w14:solidFill>
          </w14:textFill>
        </w:rPr>
      </w:pPr>
      <w:r>
        <w:rPr>
          <w:rFonts w:ascii="黑体" w:hAnsi="黑体" w:eastAsia="黑体" w:cs="Calibri"/>
          <w:color w:val="000000" w:themeColor="text1"/>
          <w:sz w:val="24"/>
          <w:szCs w:val="21"/>
          <w14:textFill>
            <w14:solidFill>
              <w14:schemeClr w14:val="tx1"/>
            </w14:solidFill>
          </w14:textFill>
        </w:rPr>
        <w:t xml:space="preserve">2 </w:t>
      </w:r>
      <w:r>
        <w:rPr>
          <w:rFonts w:hint="eastAsia" w:ascii="黑体" w:hAnsi="黑体" w:eastAsia="黑体" w:cs="Calibri"/>
          <w:color w:val="000000" w:themeColor="text1"/>
          <w:sz w:val="24"/>
          <w:szCs w:val="21"/>
          <w14:textFill>
            <w14:solidFill>
              <w14:schemeClr w14:val="tx1"/>
            </w14:solidFill>
          </w14:textFill>
        </w:rPr>
        <w:t>检验项目和依据</w:t>
      </w:r>
    </w:p>
    <w:p>
      <w:pPr>
        <w:snapToGrid w:val="0"/>
        <w:spacing w:line="440" w:lineRule="exact"/>
        <w:jc w:val="center"/>
        <w:rPr>
          <w:rFonts w:ascii="宋体" w:hAnsi="宋体"/>
          <w:color w:val="000000" w:themeColor="text1"/>
          <w:sz w:val="24"/>
          <w:szCs w:val="21"/>
          <w14:textFill>
            <w14:solidFill>
              <w14:schemeClr w14:val="tx1"/>
            </w14:solidFill>
          </w14:textFill>
        </w:rPr>
      </w:pPr>
      <w:r>
        <w:rPr>
          <w:rFonts w:hint="eastAsia" w:ascii="宋体" w:hAnsi="宋体"/>
          <w:color w:val="000000" w:themeColor="text1"/>
          <w:sz w:val="24"/>
          <w:szCs w:val="21"/>
          <w14:textFill>
            <w14:solidFill>
              <w14:schemeClr w14:val="tx1"/>
            </w14:solidFill>
          </w14:textFill>
        </w:rPr>
        <w:t>表1 玩具产品检验项目</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71"/>
        <w:gridCol w:w="2910"/>
        <w:gridCol w:w="2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93"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5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586"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145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4"/>
            <w:vAlign w:val="center"/>
          </w:tcPr>
          <w:p>
            <w:pPr>
              <w:jc w:val="left"/>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一</w:t>
            </w:r>
            <w:r>
              <w:rPr>
                <w:rFonts w:ascii="宋体" w:hAnsi="宋体" w:cs="Calibri"/>
                <w:color w:val="000000" w:themeColor="text1"/>
                <w:szCs w:val="21"/>
                <w14:textFill>
                  <w14:solidFill>
                    <w14:schemeClr w14:val="tx1"/>
                  </w14:solidFill>
                </w14:textFill>
              </w:rPr>
              <w:t>、机械与物理性能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材料</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6675.2-2014/4.3、5.2、5.21</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tcBorders>
              <w:bottom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1565" w:type="pct"/>
            <w:tcBorders>
              <w:bottom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小零件</w:t>
            </w:r>
          </w:p>
        </w:tc>
        <w:tc>
          <w:tcPr>
            <w:tcW w:w="1586" w:type="pct"/>
            <w:tcBorders>
              <w:bottom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6675.2-2014（含第1号修改单）/5.2</w:t>
            </w:r>
            <w:r>
              <w:rPr>
                <w:rFonts w:hint="eastAsia" w:ascii="宋体" w:hAnsi="宋体" w:cs="宋体"/>
                <w:color w:val="000000" w:themeColor="text1"/>
                <w:kern w:val="0"/>
                <w:szCs w:val="21"/>
                <w14:textFill>
                  <w14:solidFill>
                    <w14:schemeClr w14:val="tx1"/>
                  </w14:solidFill>
                </w14:textFill>
              </w:rPr>
              <w:t>、5.24</w:t>
            </w:r>
          </w:p>
        </w:tc>
        <w:tc>
          <w:tcPr>
            <w:tcW w:w="1455" w:type="pct"/>
            <w:tcBorders>
              <w:bottom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tcBorders>
              <w:top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1565" w:type="pct"/>
            <w:tcBorders>
              <w:top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挤压玩具、摇铃及类似玩具</w:t>
            </w:r>
          </w:p>
        </w:tc>
        <w:tc>
          <w:tcPr>
            <w:tcW w:w="1586" w:type="pct"/>
            <w:tcBorders>
              <w:top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6675.2-2014/5.3</w:t>
            </w:r>
          </w:p>
        </w:tc>
        <w:tc>
          <w:tcPr>
            <w:tcW w:w="1455" w:type="pct"/>
            <w:tcBorders>
              <w:top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小球</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6675.2-2014（含第1号修改单）/5.4</w:t>
            </w:r>
            <w:r>
              <w:rPr>
                <w:rFonts w:hint="eastAsia"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毛球</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6675.2-2014（含第1号修改单）/5.5</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5.24.6.3</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6</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学前玩偶</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6675.2-2014/5.6</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7</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玩具奶嘴</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6675.2-2014/4.5.5</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8</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气球</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6675.2-2014/4.5.6</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9</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弹珠</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6675.2-2014（含第1号修改单）/4.5.7</w:t>
            </w:r>
            <w:r>
              <w:rPr>
                <w:rFonts w:hint="eastAsia"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10</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半球形玩具</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6675.2-2014（含第1号修改单）/4.5.8</w:t>
            </w:r>
            <w:r>
              <w:rPr>
                <w:rFonts w:hint="eastAsia"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11</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可触及的金属或玻璃边缘</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6675.2-2014（含第1号修改单）/5.8</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12</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功能性锐利边缘</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6675.2-2014（含第1号修改单）/4.6.2</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13</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金属玩具边缘</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6675.2-2014（含第1号修改单）/5.8</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14</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模塑玩具边缘</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6675.2-2014（含第1号修改单）/4.6.4</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15</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外露螺栓或螺纹杆的边缘</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6675.2-2014（含第1号修改单）/4.6.5</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16</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可触及的锐利尖端</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6675.2-2014（含第1号修改单）/5.9</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17</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功能性锐利尖端</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6675.2-2014（含第1号修改单）/4.7.2</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18</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木制玩具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6675.2-2014（含第1号修改单）/4.7.3</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19</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突出部件</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w:t>
            </w:r>
            <w:r>
              <w:rPr>
                <w:rFonts w:hint="eastAsia" w:ascii="宋体" w:hAnsi="宋体" w:cs="宋体"/>
                <w:color w:val="000000" w:themeColor="text1"/>
                <w:kern w:val="0"/>
                <w:szCs w:val="21"/>
                <w14:textFill>
                  <w14:solidFill>
                    <w14:schemeClr w14:val="tx1"/>
                  </w14:solidFill>
                </w14:textFill>
              </w:rPr>
              <w:t>4.8、</w:t>
            </w:r>
            <w:r>
              <w:rPr>
                <w:rFonts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20</w:t>
            </w:r>
          </w:p>
        </w:tc>
        <w:tc>
          <w:tcPr>
            <w:tcW w:w="1565"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金属丝和杆件</w:t>
            </w:r>
          </w:p>
        </w:tc>
        <w:tc>
          <w:tcPr>
            <w:tcW w:w="1586"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6675.2-2014（含第1号修改单）/5.8、5.9、5.24</w:t>
            </w:r>
          </w:p>
        </w:tc>
        <w:tc>
          <w:tcPr>
            <w:tcW w:w="1455"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21</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用于包装或玩具中的塑料袋或塑料薄膜</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6675.2-2014/5.10</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22</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18个月以下儿童使用的玩具上的绳索和弹性绳</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6675.2-2014/4.11.1、5.11.1</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23</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18个月以下儿童使用的玩具上的自回缩绳</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6675.2-2014/5.11.2</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24</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36个月以下儿童使用的拖拉玩具上的绳索或弹性绳</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6675.2-2014/4.11.3</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25</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玩具袋上的绳索</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26</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童床或游戏围栏上的悬挂玩具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6675.2-2014/4.11.5</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27</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童床上的健身玩具及类似玩具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6675.2-2014/4.11.6</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28</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飞行玩具的绳索、细绳或线</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6675.2-2014/4.11.7、5.11.3</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29</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玩具推车、玩具婴儿车及类似玩具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6675.2-2014/4.12.1、5.22.2</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30</w:t>
            </w:r>
          </w:p>
        </w:tc>
        <w:tc>
          <w:tcPr>
            <w:tcW w:w="1565"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带有折叠机构的其他玩具</w:t>
            </w:r>
          </w:p>
        </w:tc>
        <w:tc>
          <w:tcPr>
            <w:tcW w:w="1586"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6675.2-2014/4.12.2、5.22.3</w:t>
            </w:r>
          </w:p>
        </w:tc>
        <w:tc>
          <w:tcPr>
            <w:tcW w:w="1455"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31</w:t>
            </w:r>
          </w:p>
        </w:tc>
        <w:tc>
          <w:tcPr>
            <w:tcW w:w="1565"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铰链间隙</w:t>
            </w:r>
          </w:p>
        </w:tc>
        <w:tc>
          <w:tcPr>
            <w:tcW w:w="1586"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6675.2-2014/4.12.3</w:t>
            </w:r>
          </w:p>
        </w:tc>
        <w:tc>
          <w:tcPr>
            <w:tcW w:w="1455"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32</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刚性材料上的圆孔</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6675.2-2014（含第1号修改单）/4.13.1、5.24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33</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活动部件间的间隙</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6675.2-2014（含第1号修改单）/4.13.2、5.24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34</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其他驱动机构</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6675.2-2014（含第1号修改单）/4.13.4</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5.7、5.24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35</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发条钥匙</w:t>
            </w:r>
          </w:p>
        </w:tc>
        <w:tc>
          <w:tcPr>
            <w:tcW w:w="1586" w:type="pct"/>
            <w:vAlign w:val="center"/>
          </w:tcPr>
          <w:p>
            <w:pPr>
              <w:widowControl/>
              <w:jc w:val="center"/>
              <w:rPr>
                <w:rFonts w:ascii="宋体" w:hAnsi="宋体"/>
                <w:color w:val="000000" w:themeColor="text1"/>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6675.2-2014（含第1号修改单）/4.13.5、5.24</w:t>
            </w:r>
          </w:p>
        </w:tc>
        <w:tc>
          <w:tcPr>
            <w:tcW w:w="1455" w:type="pct"/>
            <w:vAlign w:val="center"/>
          </w:tcPr>
          <w:p>
            <w:pPr>
              <w:widowControl/>
              <w:jc w:val="center"/>
              <w:rPr>
                <w:rFonts w:ascii="宋体" w:hAnsi="宋体" w:cs="宋体"/>
                <w:color w:val="000000" w:themeColor="text1"/>
                <w:kern w:val="0"/>
                <w:szCs w:val="21"/>
                <w:highlight w:val="yellow"/>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36</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弹簧</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6675.2-2014/4.14</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5.24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37</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封闭式玩具的通风装置</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6675.2-2014/4.16.1</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38</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szCs w:val="21"/>
              </w:rPr>
              <w:t>封闭式玩具的关闭件</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6675.2-2014/5.13.1、5.13.2.1、5.13.2.2</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39</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封闭头部的玩具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6675.2-2014/4.16.3</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40</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仿制防护玩具（头盔、帽子、护目镜）</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6675.2-2014/5.14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41</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弹射玩具一般要求</w:t>
            </w:r>
          </w:p>
        </w:tc>
        <w:tc>
          <w:tcPr>
            <w:tcW w:w="1586" w:type="pct"/>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w:t>
            </w:r>
            <w:r>
              <w:rPr>
                <w:rFonts w:hint="eastAsia" w:ascii="宋体" w:hAnsi="宋体" w:cs="宋体"/>
                <w:color w:val="000000" w:themeColor="text1"/>
                <w:kern w:val="0"/>
                <w:szCs w:val="21"/>
                <w14:textFill>
                  <w14:solidFill>
                    <w14:schemeClr w14:val="tx1"/>
                  </w14:solidFill>
                </w14:textFill>
              </w:rPr>
              <w:t>/5.30、</w:t>
            </w:r>
            <w:r>
              <w:rPr>
                <w:rFonts w:ascii="宋体" w:hAnsi="宋体" w:cs="宋体"/>
                <w:color w:val="000000" w:themeColor="text1"/>
                <w:kern w:val="0"/>
                <w:szCs w:val="21"/>
                <w14:textFill>
                  <w14:solidFill>
                    <w14:schemeClr w14:val="tx1"/>
                  </w14:solidFill>
                </w14:textFill>
              </w:rPr>
              <w:t>4.18.1</w:t>
            </w:r>
          </w:p>
        </w:tc>
        <w:tc>
          <w:tcPr>
            <w:tcW w:w="1455" w:type="pct"/>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 xml:space="preserve">GB 6675.2-2014（含第1号修改单）/4.18.1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42</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蓄能弹射玩具</w:t>
            </w:r>
          </w:p>
        </w:tc>
        <w:tc>
          <w:tcPr>
            <w:tcW w:w="1586" w:type="pct"/>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6675.2-2014（含第1号修改单）/4.18.2、</w:t>
            </w:r>
            <w:r>
              <w:rPr>
                <w:rFonts w:hint="eastAsia" w:ascii="宋体" w:hAnsi="宋体" w:cs="宋体"/>
                <w:color w:val="000000" w:themeColor="text1"/>
                <w:kern w:val="0"/>
                <w:szCs w:val="21"/>
                <w14:textFill>
                  <w14:solidFill>
                    <w14:schemeClr w14:val="tx1"/>
                  </w14:solidFill>
                </w14:textFill>
              </w:rPr>
              <w:t>5.24</w:t>
            </w:r>
            <w:r>
              <w:rPr>
                <w:rFonts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5.30、</w:t>
            </w:r>
            <w:r>
              <w:rPr>
                <w:rFonts w:ascii="宋体" w:hAnsi="宋体" w:cs="宋体"/>
                <w:color w:val="000000" w:themeColor="text1"/>
                <w:kern w:val="0"/>
                <w:szCs w:val="21"/>
                <w14:textFill>
                  <w14:solidFill>
                    <w14:schemeClr w14:val="tx1"/>
                  </w14:solidFill>
                </w14:textFill>
              </w:rPr>
              <w:t>5.15、5.2</w:t>
            </w:r>
          </w:p>
        </w:tc>
        <w:tc>
          <w:tcPr>
            <w:tcW w:w="1455" w:type="pct"/>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 xml:space="preserve">GB 6675.2-2014（含第1号修改单）/4.18.2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43</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非蓄能弹射玩具</w:t>
            </w:r>
          </w:p>
        </w:tc>
        <w:tc>
          <w:tcPr>
            <w:tcW w:w="1586" w:type="pct"/>
            <w:vAlign w:val="center"/>
          </w:tcPr>
          <w:p>
            <w:pPr>
              <w:widowControl/>
              <w:tabs>
                <w:tab w:val="center" w:pos="4153"/>
                <w:tab w:val="right" w:pos="8306"/>
              </w:tabs>
              <w:adjustRightInd w:val="0"/>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6675.2-2014/4.18.3、5.24.5、5.24.6.4、5.15</w:t>
            </w:r>
          </w:p>
        </w:tc>
        <w:tc>
          <w:tcPr>
            <w:tcW w:w="1455" w:type="pct"/>
            <w:vAlign w:val="center"/>
          </w:tcPr>
          <w:p>
            <w:pPr>
              <w:widowControl/>
              <w:tabs>
                <w:tab w:val="center" w:pos="4153"/>
                <w:tab w:val="right" w:pos="8306"/>
              </w:tabs>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44</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水上玩具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6675.2-2014/4.19</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45</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热源玩具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6675.2-2014/5.18</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46</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液体填充玩具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 5.19</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47</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口动玩具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6675.2-2014/5.2、5.24.5、5.24.6.1、5.20</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48</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玩具滚轴溜冰鞋、单排滚轴溜冰鞋及玩具滑板</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6675.2-2014/4.26</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49</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玩具火药帽</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6675.2-2014/4.27</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50</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声响要求</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6675.2-2014/4.28、5.25</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51</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磁体和磁性部件</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6675.2-2014/5.2、5.24、5.26、5.27、5.28、5.29</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6675.2-2014/4.29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4"/>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二</w:t>
            </w:r>
            <w:r>
              <w:rPr>
                <w:rFonts w:ascii="宋体" w:hAnsi="宋体" w:cs="宋体"/>
                <w:color w:val="000000" w:themeColor="text1"/>
                <w:kern w:val="0"/>
                <w:szCs w:val="21"/>
                <w14:textFill>
                  <w14:solidFill>
                    <w14:schemeClr w14:val="tx1"/>
                  </w14:solidFill>
                </w14:textFill>
              </w:rPr>
              <w:t>、易燃性能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一般要求</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6675.3-2014/4.1</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6675.3-2014/4.1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头戴玩具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6675.3-2014/5.2、5.3、5.4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6675.3-2014/4.2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化妆服饰</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6675.3-2014/5.4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6675.3-2014/4.3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供儿童进入的玩具</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GB6675.3-2014/5.4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GB6675.3-2014/4.4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具有毛绒或纺织表面的软体填充玩具（动物和娃娃等）</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6675.3-2014/5.5、5.6</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6675.3-2014/4.5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4"/>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三</w:t>
            </w:r>
            <w:r>
              <w:rPr>
                <w:rFonts w:ascii="宋体" w:hAnsi="宋体" w:cs="宋体"/>
                <w:color w:val="000000" w:themeColor="text1"/>
                <w:kern w:val="0"/>
                <w:szCs w:val="21"/>
                <w14:textFill>
                  <w14:solidFill>
                    <w14:schemeClr w14:val="tx1"/>
                  </w14:solidFill>
                </w14:textFill>
              </w:rPr>
              <w:t>、特定元素的迁移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最大限量要求</w:t>
            </w:r>
          </w:p>
        </w:tc>
        <w:tc>
          <w:tcPr>
            <w:tcW w:w="1586"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w:t>
            </w:r>
            <w:r>
              <w:rPr>
                <w:rFonts w:hint="eastAsia" w:ascii="宋体" w:hAnsi="宋体" w:cs="宋体"/>
                <w:color w:val="000000" w:themeColor="text1"/>
                <w:kern w:val="0"/>
                <w:szCs w:val="21"/>
                <w14:textFill>
                  <w14:solidFill>
                    <w14:schemeClr w14:val="tx1"/>
                  </w14:solidFill>
                </w14:textFill>
              </w:rPr>
              <w:t>4</w:t>
            </w:r>
            <w:r>
              <w:rPr>
                <w:rFonts w:ascii="宋体" w:hAnsi="宋体" w:cs="宋体"/>
                <w:color w:val="000000" w:themeColor="text1"/>
                <w:kern w:val="0"/>
                <w:szCs w:val="21"/>
                <w14:textFill>
                  <w14:solidFill>
                    <w14:schemeClr w14:val="tx1"/>
                  </w14:solidFill>
                </w14:textFill>
              </w:rPr>
              <w:t>-2014</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6675.1-2014/5.3.3</w:t>
            </w:r>
          </w:p>
          <w:p>
            <w:pPr>
              <w:widowControl/>
              <w:jc w:val="center"/>
              <w:rPr>
                <w:rFonts w:hint="default" w:ascii="宋体" w:hAnsi="宋体" w:cs="宋体"/>
                <w:color w:val="000000" w:themeColor="text1"/>
                <w:kern w:val="0"/>
                <w:szCs w:val="21"/>
                <w:lang w:val="en"/>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w:t>
            </w:r>
            <w:r>
              <w:rPr>
                <w:rFonts w:hint="eastAsia" w:ascii="宋体" w:hAnsi="宋体" w:cs="宋体"/>
                <w:color w:val="000000" w:themeColor="text1"/>
                <w:kern w:val="0"/>
                <w:szCs w:val="21"/>
                <w14:textFill>
                  <w14:solidFill>
                    <w14:schemeClr w14:val="tx1"/>
                  </w14:solidFill>
                </w14:textFill>
              </w:rPr>
              <w:t>4</w:t>
            </w:r>
            <w:r>
              <w:rPr>
                <w:rFonts w:ascii="宋体" w:hAnsi="宋体" w:cs="宋体"/>
                <w:color w:val="000000" w:themeColor="text1"/>
                <w:kern w:val="0"/>
                <w:szCs w:val="21"/>
                <w14:textFill>
                  <w14:solidFill>
                    <w14:schemeClr w14:val="tx1"/>
                  </w14:solidFill>
                </w14:textFill>
              </w:rPr>
              <w:t>-2014</w:t>
            </w:r>
            <w:r>
              <w:rPr>
                <w:rFonts w:hint="default" w:ascii="宋体" w:hAnsi="宋体" w:cs="宋体"/>
                <w:color w:val="000000" w:themeColor="text1"/>
                <w:kern w:val="0"/>
                <w:szCs w:val="21"/>
                <w:lang w:val="en"/>
                <w14:textFill>
                  <w14:solidFill>
                    <w14:schemeClr w14:val="tx1"/>
                  </w14:solidFill>
                </w14:textFill>
              </w:rPr>
              <w:t>/4</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4"/>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四</w:t>
            </w:r>
            <w:r>
              <w:rPr>
                <w:rFonts w:ascii="宋体" w:hAnsi="宋体" w:cs="宋体"/>
                <w:color w:val="000000" w:themeColor="text1"/>
                <w:kern w:val="0"/>
                <w:szCs w:val="21"/>
                <w14:textFill>
                  <w14:solidFill>
                    <w14:schemeClr w14:val="tx1"/>
                  </w14:solidFill>
                </w14:textFill>
              </w:rPr>
              <w:t>、增塑剂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3"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56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限定增塑剂限量要求</w:t>
            </w:r>
          </w:p>
        </w:tc>
        <w:tc>
          <w:tcPr>
            <w:tcW w:w="1586" w:type="pct"/>
            <w:vAlign w:val="center"/>
          </w:tcPr>
          <w:p>
            <w:pPr>
              <w:widowControl/>
              <w:adjustRightInd w:val="0"/>
              <w:snapToGrid w:val="0"/>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GB/T 22048-2022</w:t>
            </w:r>
          </w:p>
        </w:tc>
        <w:tc>
          <w:tcPr>
            <w:tcW w:w="1455" w:type="pct"/>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6675.1-2014/5.3.7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000" w:type="pct"/>
            <w:gridSpan w:val="4"/>
            <w:shd w:val="clear" w:color="auto" w:fill="auto"/>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五</w:t>
            </w:r>
            <w:r>
              <w:rPr>
                <w:rFonts w:ascii="宋体" w:hAnsi="宋体" w:cs="宋体"/>
                <w:color w:val="000000" w:themeColor="text1"/>
                <w:kern w:val="0"/>
                <w:szCs w:val="21"/>
                <w14:textFill>
                  <w14:solidFill>
                    <w14:schemeClr w14:val="tx1"/>
                  </w14:solidFill>
                </w14:textFill>
              </w:rPr>
              <w:t>、电性能</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GB 19865-2005</w:t>
            </w:r>
            <w:r>
              <w:rPr>
                <w:rFonts w:hint="eastAsia" w:ascii="宋体" w:hAnsi="宋体" w:cs="宋体"/>
                <w:color w:val="000000" w:themeColor="text1"/>
                <w:kern w:val="0"/>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标识和说明</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19865-2005（含第1号修改单）/7</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输入功率</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19865-2005（含第1号修改单）/8</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3</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发热和非正常工作</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19865-2005（含第1号修改单）/9</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4</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工作温度下的电气强度</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19865-2005（含第1号修改单）/10</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耐潮湿</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19865-2005（含第1号修改单）/11</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6</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室温下的电气强度</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19865-2005（含第1号修改单）/12</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7</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机械强度</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19865-2005（含第1号修改单）/13</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8</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结构</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19865-2005（含第1号修改单）/14</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9</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软线和电线的保护</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19865-2005（含第1号修改单）/15</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10</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螺钉和连接</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19865-2005（含第1号修改单）/17</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11</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电气间隙和爬电距离</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19865-2005（含第1号修改单）/18</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12</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耐热和耐燃</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19865-2005（含第1号修改单）/19</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GB 19865-2005（含第1号修改单）/19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4"/>
            <w:shd w:val="clear" w:color="auto" w:fill="auto"/>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五</w:t>
            </w:r>
            <w:r>
              <w:rPr>
                <w:rFonts w:ascii="宋体" w:hAnsi="宋体" w:cs="宋体"/>
                <w:color w:val="000000" w:themeColor="text1"/>
                <w:kern w:val="0"/>
                <w:szCs w:val="21"/>
                <w14:textFill>
                  <w14:solidFill>
                    <w14:schemeClr w14:val="tx1"/>
                  </w14:solidFill>
                </w14:textFill>
              </w:rPr>
              <w:t>、电性能</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GB</w:t>
            </w:r>
            <w:r>
              <w:rPr>
                <w:rFonts w:hint="eastAsia" w:ascii="宋体" w:hAnsi="宋体" w:cs="宋体"/>
                <w:color w:val="000000" w:themeColor="text1"/>
                <w:kern w:val="0"/>
                <w:szCs w:val="21"/>
                <w14:textFill>
                  <w14:solidFill>
                    <w14:schemeClr w14:val="tx1"/>
                  </w14:solidFill>
                </w14:textFill>
              </w:rPr>
              <w:t>/T</w:t>
            </w:r>
            <w:r>
              <w:rPr>
                <w:rFonts w:ascii="宋体" w:hAnsi="宋体" w:cs="宋体"/>
                <w:color w:val="000000" w:themeColor="text1"/>
                <w:kern w:val="0"/>
                <w:szCs w:val="21"/>
                <w14:textFill>
                  <w14:solidFill>
                    <w14:schemeClr w14:val="tx1"/>
                  </w14:solidFill>
                </w14:textFill>
              </w:rPr>
              <w:t xml:space="preserve"> 19865-20</w:t>
            </w:r>
            <w:r>
              <w:rPr>
                <w:rFonts w:hint="eastAsia" w:ascii="宋体" w:hAnsi="宋体" w:cs="宋体"/>
                <w:color w:val="000000" w:themeColor="text1"/>
                <w:kern w:val="0"/>
                <w:szCs w:val="21"/>
                <w14:textFill>
                  <w14:solidFill>
                    <w14:schemeClr w14:val="tx1"/>
                  </w14:solidFill>
                </w14:textFill>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1</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标识和说明</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19865-2024/7</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2</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输入功率</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19865-2024/8</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3</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发热和非正常工作</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19865-2024/9</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4</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电气强度</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19865-2024/10</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5</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在水中使用的电玩具、使用液体的电玩具和用液体清洁的电玩具</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19865-2024/11</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6</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机械强度</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19865-2024/12</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7</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结构</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19865-2024/13</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8</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软线和电线的保护</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19865-2024/14</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9</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螺钉和连接</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19865-2024/16</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10</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电气间隙和爬电距离</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19865-2024/17</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3"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11</w:t>
            </w:r>
          </w:p>
        </w:tc>
        <w:tc>
          <w:tcPr>
            <w:tcW w:w="156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耐热和耐燃</w:t>
            </w:r>
          </w:p>
        </w:tc>
        <w:tc>
          <w:tcPr>
            <w:tcW w:w="1586"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19865-2024/18</w:t>
            </w:r>
          </w:p>
        </w:tc>
        <w:tc>
          <w:tcPr>
            <w:tcW w:w="1455" w:type="pct"/>
            <w:shd w:val="clear" w:color="auto" w:fill="auto"/>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szCs w:val="21"/>
              </w:rPr>
              <w:t>GB/T 19865-2024/18</w:t>
            </w:r>
          </w:p>
        </w:tc>
      </w:tr>
    </w:tbl>
    <w:p>
      <w:pPr>
        <w:spacing w:line="460" w:lineRule="exact"/>
        <w:rPr>
          <w:rFonts w:ascii="黑体" w:hAnsi="黑体" w:eastAsia="黑体" w:cs="Calibri"/>
          <w:color w:val="000000" w:themeColor="text1"/>
          <w:sz w:val="24"/>
          <w14:textFill>
            <w14:solidFill>
              <w14:schemeClr w14:val="tx1"/>
            </w14:solidFill>
          </w14:textFill>
        </w:rPr>
      </w:pPr>
    </w:p>
    <w:p>
      <w:pPr>
        <w:spacing w:line="460" w:lineRule="exact"/>
        <w:rPr>
          <w:rFonts w:ascii="宋体" w:hAnsi="宋体" w:cs="Calibri"/>
          <w:color w:val="000000" w:themeColor="text1"/>
          <w:sz w:val="24"/>
          <w14:textFill>
            <w14:solidFill>
              <w14:schemeClr w14:val="tx1"/>
            </w14:solidFill>
          </w14:textFill>
        </w:rPr>
      </w:pPr>
      <w:r>
        <w:rPr>
          <w:rFonts w:ascii="黑体" w:hAnsi="黑体" w:eastAsia="黑体" w:cs="Calibri"/>
          <w:color w:val="000000" w:themeColor="text1"/>
          <w:sz w:val="24"/>
          <w14:textFill>
            <w14:solidFill>
              <w14:schemeClr w14:val="tx1"/>
            </w14:solidFill>
          </w14:textFill>
        </w:rPr>
        <w:t xml:space="preserve">3 </w:t>
      </w:r>
      <w:r>
        <w:rPr>
          <w:rFonts w:hint="eastAsia" w:ascii="黑体" w:hAnsi="黑体" w:eastAsia="黑体" w:cs="Calibri"/>
          <w:color w:val="000000" w:themeColor="text1"/>
          <w:sz w:val="24"/>
          <w14:textFill>
            <w14:solidFill>
              <w14:schemeClr w14:val="tx1"/>
            </w14:solidFill>
          </w14:textFill>
        </w:rPr>
        <w:t>检验结果判定</w:t>
      </w:r>
    </w:p>
    <w:p>
      <w:pPr>
        <w:snapToGrid w:val="0"/>
        <w:spacing w:line="460" w:lineRule="exact"/>
        <w:rPr>
          <w:rFonts w:ascii="宋体" w:hAnsi="宋体" w:cs="Calibri"/>
          <w:color w:val="000000" w:themeColor="text1"/>
          <w:sz w:val="24"/>
          <w14:textFill>
            <w14:solidFill>
              <w14:schemeClr w14:val="tx1"/>
            </w14:solidFill>
          </w14:textFill>
        </w:rPr>
      </w:pPr>
      <w:r>
        <w:rPr>
          <w:rFonts w:ascii="宋体" w:hAnsi="宋体" w:cs="Calibri"/>
          <w:color w:val="000000" w:themeColor="text1"/>
          <w:sz w:val="24"/>
          <w14:textFill>
            <w14:solidFill>
              <w14:schemeClr w14:val="tx1"/>
            </w14:solidFill>
          </w14:textFill>
        </w:rPr>
        <w:t>3.1 判定</w:t>
      </w:r>
      <w:r>
        <w:rPr>
          <w:rFonts w:hint="eastAsia" w:ascii="宋体" w:hAnsi="宋体" w:cs="Calibri"/>
          <w:color w:val="000000" w:themeColor="text1"/>
          <w:sz w:val="24"/>
          <w14:textFill>
            <w14:solidFill>
              <w14:schemeClr w14:val="tx1"/>
            </w14:solidFill>
          </w14:textFill>
        </w:rPr>
        <w:t>规则</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.1.</w:t>
      </w:r>
      <w:r>
        <w:rPr>
          <w:rFonts w:hint="eastAsia" w:ascii="宋体" w:hAnsi="宋体" w:cs="Calibri"/>
          <w:color w:val="000000" w:themeColor="text1"/>
          <w:sz w:val="24"/>
          <w14:textFill>
            <w14:solidFill>
              <w14:schemeClr w14:val="tx1"/>
            </w14:solidFill>
          </w14:textFill>
        </w:rPr>
        <w:t>1</w:t>
      </w:r>
      <w:r>
        <w:rPr>
          <w:rFonts w:ascii="宋体" w:hAnsi="宋体" w:cs="Calibri"/>
          <w:color w:val="000000" w:themeColor="text1"/>
          <w:sz w:val="24"/>
          <w14:textFill>
            <w14:solidFill>
              <w14:schemeClr w14:val="tx1"/>
            </w14:solidFill>
          </w14:textFill>
        </w:rPr>
        <w:t xml:space="preserve"> 若被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产品明示质量</w:t>
      </w:r>
      <w:r>
        <w:rPr>
          <w:rFonts w:hint="eastAsia" w:ascii="宋体" w:hAnsi="宋体" w:cs="Calibri"/>
          <w:color w:val="000000" w:themeColor="text1"/>
          <w:sz w:val="24"/>
          <w14:textFill>
            <w14:solidFill>
              <w14:schemeClr w14:val="tx1"/>
            </w14:solidFill>
          </w14:textFill>
        </w:rPr>
        <w:t>状况</w:t>
      </w:r>
      <w:r>
        <w:rPr>
          <w:rFonts w:ascii="宋体" w:hAnsi="宋体" w:cs="Calibri"/>
          <w:color w:val="000000" w:themeColor="text1"/>
          <w:sz w:val="24"/>
          <w14:textFill>
            <w14:solidFill>
              <w14:schemeClr w14:val="tx1"/>
            </w14:solidFill>
          </w14:textFill>
        </w:rPr>
        <w:t>高于本细则中</w:t>
      </w:r>
      <w:r>
        <w:rPr>
          <w:rFonts w:hint="eastAsia" w:ascii="宋体" w:hAnsi="宋体" w:cs="Calibri"/>
          <w:color w:val="000000" w:themeColor="text1"/>
          <w:sz w:val="24"/>
          <w14:textFill>
            <w14:solidFill>
              <w14:schemeClr w14:val="tx1"/>
            </w14:solidFill>
          </w14:textFill>
        </w:rPr>
        <w:t>检验</w:t>
      </w:r>
      <w:r>
        <w:rPr>
          <w:rFonts w:ascii="宋体" w:hAnsi="宋体" w:cs="Calibri"/>
          <w:color w:val="000000" w:themeColor="text1"/>
          <w:sz w:val="24"/>
          <w14:textFill>
            <w14:solidFill>
              <w14:schemeClr w14:val="tx1"/>
            </w14:solidFill>
          </w14:textFill>
        </w:rPr>
        <w:t>项目</w:t>
      </w:r>
      <w:r>
        <w:rPr>
          <w:rFonts w:hint="eastAsia" w:ascii="宋体" w:hAnsi="宋体" w:cs="Calibri"/>
          <w:color w:val="000000" w:themeColor="text1"/>
          <w:sz w:val="24"/>
          <w14:textFill>
            <w14:solidFill>
              <w14:schemeClr w14:val="tx1"/>
            </w14:solidFill>
          </w14:textFill>
        </w:rPr>
        <w:t>对应的质量</w:t>
      </w:r>
      <w:r>
        <w:rPr>
          <w:rFonts w:ascii="宋体" w:hAnsi="宋体" w:cs="Calibri"/>
          <w:color w:val="000000" w:themeColor="text1"/>
          <w:sz w:val="24"/>
          <w14:textFill>
            <w14:solidFill>
              <w14:schemeClr w14:val="tx1"/>
            </w14:solidFill>
          </w14:textFill>
        </w:rPr>
        <w:t>要求时，</w:t>
      </w:r>
      <w:r>
        <w:rPr>
          <w:rFonts w:hint="eastAsia" w:ascii="宋体" w:hAnsi="宋体" w:cs="Calibri"/>
          <w:color w:val="000000" w:themeColor="text1"/>
          <w:sz w:val="24"/>
          <w14:textFill>
            <w14:solidFill>
              <w14:schemeClr w14:val="tx1"/>
            </w14:solidFill>
          </w14:textFill>
        </w:rPr>
        <w:t>按照</w:t>
      </w:r>
      <w:r>
        <w:rPr>
          <w:rFonts w:ascii="宋体" w:hAnsi="宋体" w:cs="Calibri"/>
          <w:color w:val="000000" w:themeColor="text1"/>
          <w:sz w:val="24"/>
          <w14:textFill>
            <w14:solidFill>
              <w14:schemeClr w14:val="tx1"/>
            </w14:solidFill>
          </w14:textFill>
        </w:rPr>
        <w:t>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产品明示的质量要求判定。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.1.</w:t>
      </w:r>
      <w:r>
        <w:rPr>
          <w:rFonts w:hint="eastAsia" w:ascii="宋体" w:hAnsi="宋体" w:cs="Calibri"/>
          <w:color w:val="000000" w:themeColor="text1"/>
          <w:sz w:val="24"/>
          <w14:textFill>
            <w14:solidFill>
              <w14:schemeClr w14:val="tx1"/>
            </w14:solidFill>
          </w14:textFill>
        </w:rPr>
        <w:t>2</w:t>
      </w:r>
      <w:r>
        <w:rPr>
          <w:rFonts w:ascii="宋体" w:hAnsi="宋体" w:cs="Calibri"/>
          <w:color w:val="000000" w:themeColor="text1"/>
          <w:sz w:val="24"/>
          <w14:textFill>
            <w14:solidFill>
              <w14:schemeClr w14:val="tx1"/>
            </w14:solidFill>
          </w14:textFill>
        </w:rPr>
        <w:t xml:space="preserve"> 若被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产品明示质量</w:t>
      </w:r>
      <w:r>
        <w:rPr>
          <w:rFonts w:hint="eastAsia" w:ascii="宋体" w:hAnsi="宋体" w:cs="Calibri"/>
          <w:color w:val="000000" w:themeColor="text1"/>
          <w:sz w:val="24"/>
          <w14:textFill>
            <w14:solidFill>
              <w14:schemeClr w14:val="tx1"/>
            </w14:solidFill>
          </w14:textFill>
        </w:rPr>
        <w:t>状况缺少、低于或包含</w:t>
      </w:r>
      <w:r>
        <w:rPr>
          <w:rFonts w:ascii="宋体" w:hAnsi="宋体" w:cs="Calibri"/>
          <w:color w:val="000000" w:themeColor="text1"/>
          <w:sz w:val="24"/>
          <w14:textFill>
            <w14:solidFill>
              <w14:schemeClr w14:val="tx1"/>
            </w14:solidFill>
          </w14:textFill>
        </w:rPr>
        <w:t>本细则中</w:t>
      </w:r>
      <w:r>
        <w:rPr>
          <w:rFonts w:hint="eastAsia" w:ascii="宋体" w:hAnsi="宋体" w:cs="Calibri"/>
          <w:color w:val="000000" w:themeColor="text1"/>
          <w:sz w:val="24"/>
          <w14:textFill>
            <w14:solidFill>
              <w14:schemeClr w14:val="tx1"/>
            </w14:solidFill>
          </w14:textFill>
        </w:rPr>
        <w:t>检验</w:t>
      </w:r>
      <w:r>
        <w:rPr>
          <w:rFonts w:ascii="宋体" w:hAnsi="宋体" w:cs="Calibri"/>
          <w:color w:val="000000" w:themeColor="text1"/>
          <w:sz w:val="24"/>
          <w14:textFill>
            <w14:solidFill>
              <w14:schemeClr w14:val="tx1"/>
            </w14:solidFill>
          </w14:textFill>
        </w:rPr>
        <w:t>项目</w:t>
      </w:r>
      <w:r>
        <w:rPr>
          <w:rFonts w:hint="eastAsia" w:ascii="宋体" w:hAnsi="宋体" w:cs="Calibri"/>
          <w:color w:val="000000" w:themeColor="text1"/>
          <w:sz w:val="24"/>
          <w14:textFill>
            <w14:solidFill>
              <w14:schemeClr w14:val="tx1"/>
            </w14:solidFill>
          </w14:textFill>
        </w:rPr>
        <w:t>对应</w:t>
      </w:r>
      <w:r>
        <w:rPr>
          <w:rFonts w:ascii="宋体" w:hAnsi="宋体" w:cs="Calibri"/>
          <w:color w:val="000000" w:themeColor="text1"/>
          <w:sz w:val="24"/>
          <w14:textFill>
            <w14:solidFill>
              <w14:schemeClr w14:val="tx1"/>
            </w14:solidFill>
          </w14:textFill>
        </w:rPr>
        <w:t>的强制性</w:t>
      </w:r>
      <w:r>
        <w:rPr>
          <w:rFonts w:hint="eastAsia" w:ascii="宋体" w:hAnsi="宋体" w:cs="Calibri"/>
          <w:color w:val="000000" w:themeColor="text1"/>
          <w:sz w:val="24"/>
          <w14:textFill>
            <w14:solidFill>
              <w14:schemeClr w14:val="tx1"/>
            </w14:solidFill>
          </w14:textFill>
        </w:rPr>
        <w:t>质量</w:t>
      </w:r>
      <w:r>
        <w:rPr>
          <w:rFonts w:ascii="宋体" w:hAnsi="宋体" w:cs="Calibri"/>
          <w:color w:val="000000" w:themeColor="text1"/>
          <w:sz w:val="24"/>
          <w14:textFill>
            <w14:solidFill>
              <w14:schemeClr w14:val="tx1"/>
            </w14:solidFill>
          </w14:textFill>
        </w:rPr>
        <w:t>要求时，按照强制性</w:t>
      </w:r>
      <w:r>
        <w:rPr>
          <w:rFonts w:hint="eastAsia" w:ascii="宋体" w:hAnsi="宋体" w:cs="Calibri"/>
          <w:color w:val="000000" w:themeColor="text1"/>
          <w:sz w:val="24"/>
          <w14:textFill>
            <w14:solidFill>
              <w14:schemeClr w14:val="tx1"/>
            </w14:solidFill>
          </w14:textFill>
        </w:rPr>
        <w:t>质量</w:t>
      </w:r>
      <w:r>
        <w:rPr>
          <w:rFonts w:ascii="宋体" w:hAnsi="宋体" w:cs="Calibri"/>
          <w:color w:val="000000" w:themeColor="text1"/>
          <w:sz w:val="24"/>
          <w14:textFill>
            <w14:solidFill>
              <w14:schemeClr w14:val="tx1"/>
            </w14:solidFill>
          </w14:textFill>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3</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状况低于或包含</w:t>
      </w:r>
      <w:r>
        <w:rPr>
          <w:rFonts w:ascii="宋体" w:hAnsi="宋体" w:cs="Calibri"/>
          <w:color w:val="000000"/>
          <w:sz w:val="24"/>
        </w:rPr>
        <w:t>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w:t>
      </w:r>
      <w:r>
        <w:rPr>
          <w:rFonts w:hint="eastAsia" w:ascii="宋体" w:hAnsi="宋体" w:cs="Calibri"/>
          <w:color w:val="000000"/>
          <w:sz w:val="24"/>
        </w:rPr>
        <w:t>推荐性质量</w:t>
      </w:r>
      <w:r>
        <w:rPr>
          <w:rFonts w:ascii="宋体" w:hAnsi="宋体" w:cs="Calibri"/>
          <w:color w:val="000000"/>
          <w:sz w:val="24"/>
        </w:rPr>
        <w:t>要求时</w:t>
      </w:r>
      <w:r>
        <w:rPr>
          <w:rFonts w:hint="eastAsia" w:ascii="宋体" w:hAnsi="宋体" w:cs="Calibri"/>
          <w:color w:val="000000"/>
          <w:sz w:val="24"/>
        </w:rPr>
        <w:t>，</w:t>
      </w:r>
      <w:r>
        <w:rPr>
          <w:rFonts w:ascii="宋体" w:hAnsi="宋体" w:cs="Calibri"/>
          <w:color w:val="000000"/>
          <w:sz w:val="24"/>
        </w:rPr>
        <w:t>按照</w:t>
      </w:r>
      <w:r>
        <w:rPr>
          <w:rFonts w:hint="eastAsia" w:ascii="宋体" w:hAnsi="宋体" w:cs="Calibri"/>
          <w:color w:val="000000"/>
          <w:sz w:val="24"/>
        </w:rPr>
        <w:t>被抽查产品明示的质量</w:t>
      </w:r>
      <w:r>
        <w:rPr>
          <w:rFonts w:ascii="宋体" w:hAnsi="宋体" w:cs="Calibri"/>
          <w:color w:val="000000"/>
          <w:sz w:val="24"/>
        </w:rPr>
        <w:t>要求判定。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4</w:t>
      </w:r>
      <w:r>
        <w:rPr>
          <w:rFonts w:ascii="宋体" w:hAnsi="宋体" w:cs="Calibri"/>
          <w:color w:val="000000"/>
          <w:sz w:val="24"/>
        </w:rPr>
        <w:t xml:space="preserve"> </w:t>
      </w:r>
      <w:r>
        <w:rPr>
          <w:rFonts w:hint="eastAsia" w:ascii="宋体" w:hAnsi="宋体" w:cs="Calibri"/>
          <w:color w:val="000000"/>
          <w:sz w:val="24"/>
        </w:rPr>
        <w:t>若被抽查产品明示质量状况缺少本细则中检验项目对应的推荐性标准要求时，该项目不参与判定。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w:t>
      </w:r>
      <w:r>
        <w:rPr>
          <w:rFonts w:hint="eastAsia" w:ascii="宋体" w:hAnsi="宋体" w:cs="Calibri"/>
          <w:color w:val="000000" w:themeColor="text1"/>
          <w:sz w:val="24"/>
          <w14:textFill>
            <w14:solidFill>
              <w14:schemeClr w14:val="tx1"/>
            </w14:solidFill>
          </w14:textFill>
        </w:rPr>
        <w:t>2</w:t>
      </w:r>
      <w:r>
        <w:rPr>
          <w:rFonts w:ascii="宋体" w:hAnsi="宋体" w:cs="Calibri"/>
          <w:color w:val="000000" w:themeColor="text1"/>
          <w:sz w:val="24"/>
          <w14:textFill>
            <w14:solidFill>
              <w14:schemeClr w14:val="tx1"/>
            </w14:solidFill>
          </w14:textFill>
        </w:rPr>
        <w:t xml:space="preserve"> </w:t>
      </w:r>
      <w:r>
        <w:rPr>
          <w:rFonts w:hint="eastAsia" w:ascii="宋体" w:hAnsi="宋体" w:cs="Calibri"/>
          <w:color w:val="000000" w:themeColor="text1"/>
          <w:sz w:val="24"/>
          <w14:textFill>
            <w14:solidFill>
              <w14:schemeClr w14:val="tx1"/>
            </w14:solidFill>
          </w14:textFill>
        </w:rPr>
        <w:t>结果判定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 xml:space="preserve">.2.1 </w:t>
      </w:r>
      <w:r>
        <w:rPr>
          <w:rFonts w:hint="eastAsia" w:ascii="宋体" w:hAnsi="宋体" w:cs="Calibri"/>
          <w:color w:val="000000" w:themeColor="text1"/>
          <w:sz w:val="24"/>
          <w14:textFill>
            <w14:solidFill>
              <w14:schemeClr w14:val="tx1"/>
            </w14:solidFill>
          </w14:textFill>
        </w:rPr>
        <w:t>参与判定的</w:t>
      </w:r>
      <w:r>
        <w:rPr>
          <w:rFonts w:ascii="宋体" w:hAnsi="宋体" w:cs="Calibri"/>
          <w:color w:val="000000" w:themeColor="text1"/>
          <w:sz w:val="24"/>
          <w14:textFill>
            <w14:solidFill>
              <w14:schemeClr w14:val="tx1"/>
            </w14:solidFill>
          </w14:textFill>
        </w:rPr>
        <w:t>检</w:t>
      </w:r>
      <w:r>
        <w:rPr>
          <w:rFonts w:hint="eastAsia" w:ascii="宋体" w:hAnsi="宋体" w:cs="Calibri"/>
          <w:color w:val="000000" w:themeColor="text1"/>
          <w:sz w:val="24"/>
          <w14:textFill>
            <w14:solidFill>
              <w14:schemeClr w14:val="tx1"/>
            </w14:solidFill>
          </w14:textFill>
        </w:rPr>
        <w:t>验</w:t>
      </w:r>
      <w:r>
        <w:rPr>
          <w:rFonts w:ascii="宋体" w:hAnsi="宋体" w:cs="Calibri"/>
          <w:color w:val="000000" w:themeColor="text1"/>
          <w:sz w:val="24"/>
          <w14:textFill>
            <w14:solidFill>
              <w14:schemeClr w14:val="tx1"/>
            </w14:solidFill>
          </w14:textFill>
        </w:rPr>
        <w:t>项目中任一项或一项以上不</w:t>
      </w:r>
      <w:r>
        <w:rPr>
          <w:rFonts w:hint="eastAsia" w:ascii="宋体" w:hAnsi="宋体" w:cs="Calibri"/>
          <w:color w:val="000000" w:themeColor="text1"/>
          <w:sz w:val="24"/>
          <w14:textFill>
            <w14:solidFill>
              <w14:schemeClr w14:val="tx1"/>
            </w14:solidFill>
          </w14:textFill>
        </w:rPr>
        <w:t>符合对应的质量要求</w:t>
      </w:r>
      <w:r>
        <w:rPr>
          <w:rFonts w:ascii="宋体" w:hAnsi="宋体" w:cs="Calibri"/>
          <w:color w:val="000000" w:themeColor="text1"/>
          <w:sz w:val="24"/>
          <w14:textFill>
            <w14:solidFill>
              <w14:schemeClr w14:val="tx1"/>
            </w14:solidFill>
          </w14:textFill>
        </w:rPr>
        <w:t>，判定为被抽查产品不合格。</w:t>
      </w:r>
    </w:p>
    <w:p>
      <w:pPr>
        <w:snapToGrid w:val="0"/>
        <w:spacing w:line="44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 xml:space="preserve">.2.2 </w:t>
      </w:r>
      <w:r>
        <w:rPr>
          <w:rFonts w:hint="eastAsia" w:ascii="宋体" w:hAnsi="宋体" w:cs="Calibri"/>
          <w:color w:val="000000" w:themeColor="text1"/>
          <w:sz w:val="24"/>
          <w14:textFill>
            <w14:solidFill>
              <w14:schemeClr w14:val="tx1"/>
            </w14:solidFill>
          </w14:textFill>
        </w:rPr>
        <w:t>若检验项目全部符合质量要求，表明未发现被抽查产品不合格，不判定被抽查产品合格。</w:t>
      </w:r>
    </w:p>
    <w:p>
      <w:pPr>
        <w:spacing w:line="460" w:lineRule="exact"/>
        <w:rPr>
          <w:rFonts w:ascii="宋体" w:hAnsi="宋体"/>
          <w:color w:val="000000" w:themeColor="text1"/>
          <w:sz w:val="24"/>
          <w14:textFill>
            <w14:solidFill>
              <w14:schemeClr w14:val="tx1"/>
            </w14:solidFill>
          </w14:textFill>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7</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hZTFmNTIxMjFkOWUwNDIwOWMyNzc4NDYwZmE5NDcifQ=="/>
  </w:docVars>
  <w:rsids>
    <w:rsidRoot w:val="00B525EF"/>
    <w:rsid w:val="00003A65"/>
    <w:rsid w:val="00011643"/>
    <w:rsid w:val="0001535D"/>
    <w:rsid w:val="00042966"/>
    <w:rsid w:val="00052216"/>
    <w:rsid w:val="0006294C"/>
    <w:rsid w:val="00074373"/>
    <w:rsid w:val="000827A6"/>
    <w:rsid w:val="00096E7E"/>
    <w:rsid w:val="000B2D0E"/>
    <w:rsid w:val="000C3313"/>
    <w:rsid w:val="000C5FB2"/>
    <w:rsid w:val="000F36BD"/>
    <w:rsid w:val="00100AE3"/>
    <w:rsid w:val="00117D10"/>
    <w:rsid w:val="0013629F"/>
    <w:rsid w:val="00140316"/>
    <w:rsid w:val="0015692D"/>
    <w:rsid w:val="00157845"/>
    <w:rsid w:val="00162BDF"/>
    <w:rsid w:val="00175295"/>
    <w:rsid w:val="00181A4E"/>
    <w:rsid w:val="00191A51"/>
    <w:rsid w:val="001A1209"/>
    <w:rsid w:val="001B7CEF"/>
    <w:rsid w:val="001D7DBD"/>
    <w:rsid w:val="001E114A"/>
    <w:rsid w:val="002026D3"/>
    <w:rsid w:val="00211757"/>
    <w:rsid w:val="0021233C"/>
    <w:rsid w:val="00226DCF"/>
    <w:rsid w:val="00257D8F"/>
    <w:rsid w:val="00287C7A"/>
    <w:rsid w:val="00287D5C"/>
    <w:rsid w:val="0029506F"/>
    <w:rsid w:val="002B5BAA"/>
    <w:rsid w:val="002F3BA1"/>
    <w:rsid w:val="003010C4"/>
    <w:rsid w:val="00301CFA"/>
    <w:rsid w:val="003020AC"/>
    <w:rsid w:val="00385140"/>
    <w:rsid w:val="003A58C7"/>
    <w:rsid w:val="003C4025"/>
    <w:rsid w:val="003C7F09"/>
    <w:rsid w:val="003E47EE"/>
    <w:rsid w:val="003F77EC"/>
    <w:rsid w:val="004024F2"/>
    <w:rsid w:val="00417AD8"/>
    <w:rsid w:val="00427948"/>
    <w:rsid w:val="00464426"/>
    <w:rsid w:val="004754B8"/>
    <w:rsid w:val="004F0310"/>
    <w:rsid w:val="0050456A"/>
    <w:rsid w:val="005064DD"/>
    <w:rsid w:val="00522A8A"/>
    <w:rsid w:val="0052650F"/>
    <w:rsid w:val="00532B56"/>
    <w:rsid w:val="00545330"/>
    <w:rsid w:val="00547A0C"/>
    <w:rsid w:val="005A1249"/>
    <w:rsid w:val="005C4742"/>
    <w:rsid w:val="005C71A1"/>
    <w:rsid w:val="00634372"/>
    <w:rsid w:val="0063662A"/>
    <w:rsid w:val="00640C75"/>
    <w:rsid w:val="0065033A"/>
    <w:rsid w:val="0066375B"/>
    <w:rsid w:val="006B1127"/>
    <w:rsid w:val="006C1146"/>
    <w:rsid w:val="0071476B"/>
    <w:rsid w:val="00730C62"/>
    <w:rsid w:val="007441C2"/>
    <w:rsid w:val="00753A1D"/>
    <w:rsid w:val="0076254B"/>
    <w:rsid w:val="007869C0"/>
    <w:rsid w:val="00797F4E"/>
    <w:rsid w:val="007B2AF8"/>
    <w:rsid w:val="007B4379"/>
    <w:rsid w:val="007D39B0"/>
    <w:rsid w:val="00801834"/>
    <w:rsid w:val="00802860"/>
    <w:rsid w:val="00824C73"/>
    <w:rsid w:val="008546BE"/>
    <w:rsid w:val="00864615"/>
    <w:rsid w:val="00870C2D"/>
    <w:rsid w:val="00872166"/>
    <w:rsid w:val="00890FE6"/>
    <w:rsid w:val="008914CE"/>
    <w:rsid w:val="008968D4"/>
    <w:rsid w:val="008C66C3"/>
    <w:rsid w:val="008F2A0F"/>
    <w:rsid w:val="00902366"/>
    <w:rsid w:val="00907052"/>
    <w:rsid w:val="00912469"/>
    <w:rsid w:val="0093348D"/>
    <w:rsid w:val="00953284"/>
    <w:rsid w:val="0095743D"/>
    <w:rsid w:val="00961D86"/>
    <w:rsid w:val="009709DB"/>
    <w:rsid w:val="00991D35"/>
    <w:rsid w:val="009A2688"/>
    <w:rsid w:val="009A5325"/>
    <w:rsid w:val="009B5D9A"/>
    <w:rsid w:val="009C35FC"/>
    <w:rsid w:val="009D7C0C"/>
    <w:rsid w:val="00A21A93"/>
    <w:rsid w:val="00A25D17"/>
    <w:rsid w:val="00A329FF"/>
    <w:rsid w:val="00A52956"/>
    <w:rsid w:val="00A65005"/>
    <w:rsid w:val="00A656CB"/>
    <w:rsid w:val="00A7143F"/>
    <w:rsid w:val="00A81F56"/>
    <w:rsid w:val="00A9587D"/>
    <w:rsid w:val="00AB0483"/>
    <w:rsid w:val="00AB160C"/>
    <w:rsid w:val="00AC0658"/>
    <w:rsid w:val="00AF107E"/>
    <w:rsid w:val="00AF5AC0"/>
    <w:rsid w:val="00AF655C"/>
    <w:rsid w:val="00B04FC5"/>
    <w:rsid w:val="00B44031"/>
    <w:rsid w:val="00B525EF"/>
    <w:rsid w:val="00B63481"/>
    <w:rsid w:val="00B71D10"/>
    <w:rsid w:val="00B75C9A"/>
    <w:rsid w:val="00B84CD5"/>
    <w:rsid w:val="00BD772C"/>
    <w:rsid w:val="00C10113"/>
    <w:rsid w:val="00C476EC"/>
    <w:rsid w:val="00C53409"/>
    <w:rsid w:val="00C5618C"/>
    <w:rsid w:val="00C73A3A"/>
    <w:rsid w:val="00CF096B"/>
    <w:rsid w:val="00CF0C7B"/>
    <w:rsid w:val="00D009D0"/>
    <w:rsid w:val="00D246DA"/>
    <w:rsid w:val="00D5191D"/>
    <w:rsid w:val="00D555F9"/>
    <w:rsid w:val="00D711C2"/>
    <w:rsid w:val="00D77577"/>
    <w:rsid w:val="00D80836"/>
    <w:rsid w:val="00D913BE"/>
    <w:rsid w:val="00DA6B04"/>
    <w:rsid w:val="00DE2355"/>
    <w:rsid w:val="00E14194"/>
    <w:rsid w:val="00E22909"/>
    <w:rsid w:val="00E34E53"/>
    <w:rsid w:val="00E70993"/>
    <w:rsid w:val="00E75AC3"/>
    <w:rsid w:val="00E772C5"/>
    <w:rsid w:val="00E81E06"/>
    <w:rsid w:val="00E91BA2"/>
    <w:rsid w:val="00E9345B"/>
    <w:rsid w:val="00EA341D"/>
    <w:rsid w:val="00F1679A"/>
    <w:rsid w:val="00F325AA"/>
    <w:rsid w:val="00F332CA"/>
    <w:rsid w:val="00F454CA"/>
    <w:rsid w:val="00F57ACD"/>
    <w:rsid w:val="00F66B43"/>
    <w:rsid w:val="00F87D78"/>
    <w:rsid w:val="00F96F4C"/>
    <w:rsid w:val="00FA1F2F"/>
    <w:rsid w:val="00FA378B"/>
    <w:rsid w:val="00FA6982"/>
    <w:rsid w:val="00FC0B16"/>
    <w:rsid w:val="00FC1C05"/>
    <w:rsid w:val="00FC3731"/>
    <w:rsid w:val="00FF0B2C"/>
    <w:rsid w:val="01CC5EE4"/>
    <w:rsid w:val="05AC41B0"/>
    <w:rsid w:val="0BCC68EA"/>
    <w:rsid w:val="112E4E11"/>
    <w:rsid w:val="16BB38D5"/>
    <w:rsid w:val="17D03D79"/>
    <w:rsid w:val="21F15391"/>
    <w:rsid w:val="2AC85599"/>
    <w:rsid w:val="2B1368E4"/>
    <w:rsid w:val="2B7D7783"/>
    <w:rsid w:val="2E187C37"/>
    <w:rsid w:val="2EAC5647"/>
    <w:rsid w:val="2F776BDF"/>
    <w:rsid w:val="301270DA"/>
    <w:rsid w:val="319B658A"/>
    <w:rsid w:val="32FA7CD3"/>
    <w:rsid w:val="35DE1FBF"/>
    <w:rsid w:val="375761CC"/>
    <w:rsid w:val="42E67EAC"/>
    <w:rsid w:val="4E2D698F"/>
    <w:rsid w:val="55D175D9"/>
    <w:rsid w:val="5C941871"/>
    <w:rsid w:val="5EF57055"/>
    <w:rsid w:val="5FFF0A38"/>
    <w:rsid w:val="62921A8D"/>
    <w:rsid w:val="6635067F"/>
    <w:rsid w:val="66763E02"/>
    <w:rsid w:val="67D65C19"/>
    <w:rsid w:val="73E0561E"/>
    <w:rsid w:val="74336F25"/>
    <w:rsid w:val="785960D0"/>
    <w:rsid w:val="78FB12B4"/>
    <w:rsid w:val="7BF02C26"/>
    <w:rsid w:val="EFC725A2"/>
    <w:rsid w:val="FFFCAF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Plain Text"/>
    <w:basedOn w:val="1"/>
    <w:link w:val="17"/>
    <w:qFormat/>
    <w:uiPriority w:val="99"/>
    <w:rPr>
      <w:rFonts w:ascii="宋体" w:hAnsi="Courier New" w:cs="宋体"/>
      <w:kern w:val="0"/>
      <w:sz w:val="20"/>
      <w:szCs w:val="20"/>
    </w:rPr>
  </w:style>
  <w:style w:type="paragraph" w:styleId="4">
    <w:name w:val="Balloon Text"/>
    <w:basedOn w:val="1"/>
    <w:link w:val="15"/>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9"/>
    <w:semiHidden/>
    <w:unhideWhenUsed/>
    <w:qFormat/>
    <w:uiPriority w:val="99"/>
    <w:rPr>
      <w:b/>
      <w:bCs/>
    </w:rPr>
  </w:style>
  <w:style w:type="character" w:styleId="10">
    <w:name w:val="page number"/>
    <w:basedOn w:val="9"/>
    <w:qFormat/>
    <w:uiPriority w:val="0"/>
  </w:style>
  <w:style w:type="character" w:styleId="11">
    <w:name w:val="annotation reference"/>
    <w:basedOn w:val="9"/>
    <w:semiHidden/>
    <w:unhideWhenUsed/>
    <w:qFormat/>
    <w:uiPriority w:val="99"/>
    <w:rPr>
      <w:sz w:val="21"/>
      <w:szCs w:val="21"/>
    </w:rPr>
  </w:style>
  <w:style w:type="paragraph" w:customStyle="1" w:styleId="12">
    <w:name w:val="列出段落1"/>
    <w:basedOn w:val="1"/>
    <w:qFormat/>
    <w:uiPriority w:val="34"/>
    <w:pPr>
      <w:ind w:firstLine="420" w:firstLineChars="200"/>
    </w:pPr>
    <w:rPr>
      <w:rFonts w:ascii="Calibri" w:hAnsi="Calibri"/>
      <w:szCs w:val="22"/>
    </w:rPr>
  </w:style>
  <w:style w:type="character" w:customStyle="1" w:styleId="13">
    <w:name w:val="页脚 字符"/>
    <w:basedOn w:val="9"/>
    <w:link w:val="5"/>
    <w:qFormat/>
    <w:uiPriority w:val="99"/>
    <w:rPr>
      <w:kern w:val="2"/>
      <w:sz w:val="18"/>
      <w:szCs w:val="18"/>
    </w:rPr>
  </w:style>
  <w:style w:type="character" w:customStyle="1" w:styleId="14">
    <w:name w:val="页眉 字符"/>
    <w:basedOn w:val="9"/>
    <w:link w:val="6"/>
    <w:semiHidden/>
    <w:qFormat/>
    <w:uiPriority w:val="99"/>
    <w:rPr>
      <w:kern w:val="2"/>
      <w:sz w:val="18"/>
      <w:szCs w:val="18"/>
    </w:rPr>
  </w:style>
  <w:style w:type="character" w:customStyle="1" w:styleId="15">
    <w:name w:val="批注框文本 字符"/>
    <w:basedOn w:val="9"/>
    <w:link w:val="4"/>
    <w:semiHidden/>
    <w:qFormat/>
    <w:uiPriority w:val="99"/>
    <w:rPr>
      <w:kern w:val="2"/>
      <w:sz w:val="18"/>
      <w:szCs w:val="18"/>
    </w:rPr>
  </w:style>
  <w:style w:type="paragraph" w:styleId="16">
    <w:name w:val="List Paragraph"/>
    <w:basedOn w:val="1"/>
    <w:qFormat/>
    <w:uiPriority w:val="99"/>
    <w:pPr>
      <w:ind w:firstLine="420" w:firstLineChars="200"/>
    </w:pPr>
  </w:style>
  <w:style w:type="character" w:customStyle="1" w:styleId="17">
    <w:name w:val="纯文本 字符"/>
    <w:basedOn w:val="9"/>
    <w:link w:val="3"/>
    <w:qFormat/>
    <w:uiPriority w:val="99"/>
    <w:rPr>
      <w:rFonts w:ascii="宋体" w:hAnsi="Courier New" w:cs="宋体"/>
    </w:rPr>
  </w:style>
  <w:style w:type="character" w:customStyle="1" w:styleId="18">
    <w:name w:val="批注文字 字符"/>
    <w:basedOn w:val="9"/>
    <w:link w:val="2"/>
    <w:semiHidden/>
    <w:qFormat/>
    <w:uiPriority w:val="99"/>
    <w:rPr>
      <w:kern w:val="2"/>
      <w:sz w:val="21"/>
      <w:szCs w:val="24"/>
    </w:rPr>
  </w:style>
  <w:style w:type="character" w:customStyle="1" w:styleId="19">
    <w:name w:val="批注主题 字符"/>
    <w:basedOn w:val="18"/>
    <w:link w:val="7"/>
    <w:semiHidden/>
    <w:qFormat/>
    <w:uiPriority w:val="99"/>
    <w:rPr>
      <w:b/>
      <w:bCs/>
      <w:kern w:val="2"/>
      <w:sz w:val="21"/>
      <w:szCs w:val="24"/>
    </w:rPr>
  </w:style>
  <w:style w:type="paragraph" w:customStyle="1" w:styleId="20">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1">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5</Pages>
  <Words>826</Words>
  <Characters>4713</Characters>
  <Lines>39</Lines>
  <Paragraphs>11</Paragraphs>
  <TotalTime>1</TotalTime>
  <ScaleCrop>false</ScaleCrop>
  <LinksUpToDate>false</LinksUpToDate>
  <CharactersWithSpaces>5528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2024-12-17T10:12:00Z</dcterms:created>
  <dc:creator>Legend User</dc:creator>
  <cp:lastModifiedBy>scjuser</cp:lastModifiedBy>
  <cp:lastPrinted>2019-12-06T15:53:00Z</cp:lastPrinted>
  <dcterms:modified xsi:type="dcterms:W3CDTF">2025-02-08T14:00:08Z</dcterms:modified>
  <dc:title>××产品质量监督抽查实施细则</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7BC5AE1B2C0C4C17A99C981A661487EF_13</vt:lpwstr>
  </property>
  <property fmtid="{D5CDD505-2E9C-101B-9397-08002B2CF9AE}" pid="4" name="KSOTemplateDocerSaveRecord">
    <vt:lpwstr>eyJoZGlkIjoiMmIzOTk3NGQwYTQ3MGNmYmI1NmZlNzE1NzhhMzhlZTYiLCJ1c2VySWQiOiIzMzIxNTYyNzMifQ==</vt:lpwstr>
  </property>
</Properties>
</file>