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68B56D" w14:textId="20FB22F8" w:rsidR="00A83A66" w:rsidRDefault="008156FB">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SHSSXZ0059-</w:t>
      </w:r>
      <w:r>
        <w:rPr>
          <w:rFonts w:ascii="仿宋_GB2312" w:eastAsia="仿宋_GB2312" w:hAnsi="Calibri" w:cs="Calibri" w:hint="eastAsia"/>
          <w:color w:val="000000"/>
          <w:sz w:val="28"/>
          <w:szCs w:val="28"/>
        </w:rPr>
        <w:t>2025</w:t>
      </w:r>
    </w:p>
    <w:p w14:paraId="38050F75" w14:textId="77777777" w:rsidR="00A83A66" w:rsidRDefault="008156FB">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352ED4D2" w14:textId="77777777" w:rsidR="00A83A66" w:rsidRDefault="008156FB">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bCs/>
          <w:color w:val="000000"/>
          <w:sz w:val="32"/>
          <w:szCs w:val="32"/>
        </w:rPr>
        <w:t>加湿</w:t>
      </w:r>
      <w:r>
        <w:rPr>
          <w:rFonts w:ascii="楷体" w:eastAsia="楷体" w:hAnsi="楷体" w:cs="微软雅黑"/>
          <w:bCs/>
          <w:color w:val="000000"/>
          <w:sz w:val="32"/>
          <w:szCs w:val="32"/>
        </w:rPr>
        <w:t>器</w:t>
      </w:r>
      <w:r>
        <w:rPr>
          <w:rFonts w:ascii="楷体" w:eastAsia="楷体" w:hAnsi="楷体" w:cs="微软雅黑" w:hint="eastAsia"/>
          <w:color w:val="000000"/>
          <w:sz w:val="32"/>
          <w:szCs w:val="32"/>
        </w:rPr>
        <w:t>产品</w:t>
      </w:r>
    </w:p>
    <w:p w14:paraId="60A7438B" w14:textId="77777777" w:rsidR="00A83A66" w:rsidRDefault="008156FB">
      <w:pPr>
        <w:snapToGrid w:val="0"/>
        <w:spacing w:line="440" w:lineRule="exact"/>
        <w:rPr>
          <w:rFonts w:ascii="黑体" w:eastAsia="黑体" w:hAnsi="宋体"/>
          <w:color w:val="000000"/>
          <w:sz w:val="24"/>
          <w:szCs w:val="21"/>
        </w:rPr>
      </w:pPr>
      <w:r>
        <w:rPr>
          <w:rFonts w:ascii="黑体" w:eastAsia="黑体" w:hAnsi="宋体" w:hint="eastAsia"/>
          <w:color w:val="000000"/>
          <w:sz w:val="24"/>
          <w:szCs w:val="21"/>
        </w:rPr>
        <w:t>1 抽样方法</w:t>
      </w:r>
    </w:p>
    <w:p w14:paraId="0BD721BD" w14:textId="77777777" w:rsidR="00A83A66" w:rsidRDefault="008156FB">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5735F4E6" w14:textId="34AC4AE7" w:rsidR="00A83A66" w:rsidRDefault="008156FB">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6923B7">
        <w:rPr>
          <w:rFonts w:ascii="宋体" w:hAnsi="宋体" w:hint="eastAsia"/>
          <w:color w:val="000000"/>
          <w:sz w:val="24"/>
          <w:szCs w:val="21"/>
        </w:rPr>
        <w:t>2</w:t>
      </w:r>
      <w:r>
        <w:rPr>
          <w:rFonts w:ascii="宋体" w:hAnsi="宋体" w:hint="eastAsia"/>
          <w:color w:val="000000"/>
          <w:sz w:val="24"/>
          <w:szCs w:val="21"/>
        </w:rPr>
        <w:t>台，其中</w:t>
      </w:r>
      <w:r w:rsidR="006923B7">
        <w:rPr>
          <w:rFonts w:ascii="宋体" w:hAnsi="宋体" w:hint="eastAsia"/>
          <w:color w:val="000000"/>
          <w:sz w:val="24"/>
          <w:szCs w:val="21"/>
        </w:rPr>
        <w:t>1</w:t>
      </w:r>
      <w:r>
        <w:rPr>
          <w:rFonts w:ascii="宋体" w:hAnsi="宋体" w:hint="eastAsia"/>
          <w:color w:val="000000"/>
          <w:sz w:val="24"/>
          <w:szCs w:val="21"/>
        </w:rPr>
        <w:t>台作为检验样品，1台作为备用样品。</w:t>
      </w:r>
    </w:p>
    <w:p w14:paraId="4C00FFF5" w14:textId="77777777" w:rsidR="00A83A66" w:rsidRDefault="008156FB">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5D684320" w14:textId="77777777" w:rsidR="00A83A66" w:rsidRDefault="008156FB">
      <w:pPr>
        <w:pStyle w:val="a9"/>
      </w:pPr>
      <w:r>
        <w:rPr>
          <w:rFonts w:hint="eastAsia"/>
        </w:rPr>
        <w:t>表1 加湿</w:t>
      </w:r>
      <w:r>
        <w:t>器</w:t>
      </w:r>
      <w:r>
        <w:rPr>
          <w:rFonts w:hint="eastAsia"/>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4"/>
        <w:gridCol w:w="2403"/>
        <w:gridCol w:w="2381"/>
        <w:gridCol w:w="2379"/>
      </w:tblGrid>
      <w:tr w:rsidR="00542024" w14:paraId="2333E4E4" w14:textId="50951A93" w:rsidTr="006A1989">
        <w:trPr>
          <w:cantSplit/>
          <w:trHeight w:val="397"/>
          <w:tblHeader/>
          <w:jc w:val="center"/>
        </w:trPr>
        <w:tc>
          <w:tcPr>
            <w:tcW w:w="357" w:type="pct"/>
            <w:vAlign w:val="center"/>
          </w:tcPr>
          <w:p w14:paraId="03E41CC3" w14:textId="77777777" w:rsidR="00542024" w:rsidRDefault="00542024">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序号</w:t>
            </w:r>
          </w:p>
        </w:tc>
        <w:tc>
          <w:tcPr>
            <w:tcW w:w="738" w:type="pct"/>
            <w:vAlign w:val="center"/>
          </w:tcPr>
          <w:p w14:paraId="61301B29" w14:textId="77777777" w:rsidR="00542024" w:rsidRDefault="00542024">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检</w:t>
            </w:r>
            <w:r>
              <w:rPr>
                <w:rFonts w:asciiTheme="minorEastAsia" w:eastAsiaTheme="minorEastAsia" w:hAnsiTheme="minorEastAsia" w:cs="Calibri" w:hint="eastAsia"/>
                <w:color w:val="000000"/>
                <w:szCs w:val="21"/>
              </w:rPr>
              <w:t>验</w:t>
            </w:r>
            <w:r>
              <w:rPr>
                <w:rFonts w:asciiTheme="minorEastAsia" w:eastAsiaTheme="minorEastAsia" w:hAnsiTheme="minorEastAsia" w:cs="Calibri"/>
                <w:color w:val="000000"/>
                <w:szCs w:val="21"/>
              </w:rPr>
              <w:t>项目</w:t>
            </w:r>
          </w:p>
        </w:tc>
        <w:tc>
          <w:tcPr>
            <w:tcW w:w="1310" w:type="pct"/>
            <w:vAlign w:val="center"/>
          </w:tcPr>
          <w:p w14:paraId="0D8EE830" w14:textId="77777777" w:rsidR="00542024" w:rsidRDefault="00542024">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检验方法</w:t>
            </w:r>
          </w:p>
        </w:tc>
        <w:tc>
          <w:tcPr>
            <w:tcW w:w="1298" w:type="pct"/>
            <w:vAlign w:val="center"/>
          </w:tcPr>
          <w:p w14:paraId="3E6E2951" w14:textId="77777777" w:rsidR="00542024" w:rsidRDefault="00542024">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强制性质量要求</w:t>
            </w:r>
          </w:p>
        </w:tc>
        <w:tc>
          <w:tcPr>
            <w:tcW w:w="1298" w:type="pct"/>
            <w:vAlign w:val="center"/>
          </w:tcPr>
          <w:p w14:paraId="03296993" w14:textId="3ECA348E" w:rsidR="00542024" w:rsidRDefault="00542024">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推荐性质量要求</w:t>
            </w:r>
          </w:p>
        </w:tc>
      </w:tr>
      <w:tr w:rsidR="00542024" w14:paraId="12B79543" w14:textId="66C3DCA7" w:rsidTr="006A1989">
        <w:trPr>
          <w:cantSplit/>
          <w:trHeight w:val="397"/>
          <w:jc w:val="center"/>
        </w:trPr>
        <w:tc>
          <w:tcPr>
            <w:tcW w:w="357" w:type="pct"/>
            <w:vAlign w:val="center"/>
          </w:tcPr>
          <w:p w14:paraId="402841BD" w14:textId="51001CF4"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738" w:type="pct"/>
            <w:vAlign w:val="center"/>
          </w:tcPr>
          <w:p w14:paraId="636ED32A" w14:textId="25132AC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标志和说明</w:t>
            </w:r>
          </w:p>
        </w:tc>
        <w:tc>
          <w:tcPr>
            <w:tcW w:w="1310" w:type="pct"/>
            <w:vAlign w:val="center"/>
          </w:tcPr>
          <w:p w14:paraId="0168638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/7</w:t>
            </w:r>
            <w:r>
              <w:rPr>
                <w:rFonts w:asciiTheme="minorEastAsia" w:eastAsiaTheme="minorEastAsia" w:hAnsiTheme="minorEastAsia"/>
                <w:sz w:val="21"/>
                <w:szCs w:val="21"/>
              </w:rPr>
              <w:t xml:space="preserve"> </w:t>
            </w:r>
          </w:p>
          <w:p w14:paraId="2DA7D47E" w14:textId="67071BF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w:t>
            </w:r>
            <w:r>
              <w:rPr>
                <w:rFonts w:asciiTheme="minorEastAsia" w:eastAsiaTheme="minorEastAsia" w:hAnsiTheme="minorEastAsia" w:hint="eastAsia"/>
                <w:sz w:val="21"/>
                <w:szCs w:val="21"/>
              </w:rPr>
              <w:t>48</w:t>
            </w:r>
            <w:r>
              <w:rPr>
                <w:rFonts w:asciiTheme="minorEastAsia" w:eastAsiaTheme="minorEastAsia" w:hAnsiTheme="minorEastAsia"/>
                <w:sz w:val="21"/>
                <w:szCs w:val="21"/>
              </w:rPr>
              <w:t>-200</w:t>
            </w:r>
            <w:r>
              <w:rPr>
                <w:rFonts w:asciiTheme="minorEastAsia" w:eastAsiaTheme="minorEastAsia" w:hAnsiTheme="minorEastAsia" w:hint="eastAsia"/>
                <w:sz w:val="21"/>
                <w:szCs w:val="21"/>
              </w:rPr>
              <w:t>9/7</w:t>
            </w:r>
          </w:p>
        </w:tc>
        <w:tc>
          <w:tcPr>
            <w:tcW w:w="1298" w:type="pct"/>
            <w:vAlign w:val="center"/>
          </w:tcPr>
          <w:p w14:paraId="0F190967"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/7</w:t>
            </w:r>
          </w:p>
          <w:p w14:paraId="1A8F9E46" w14:textId="43865A36"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w:t>
            </w:r>
            <w:r>
              <w:rPr>
                <w:rFonts w:asciiTheme="minorEastAsia" w:eastAsiaTheme="minorEastAsia" w:hAnsiTheme="minorEastAsia" w:hint="eastAsia"/>
                <w:sz w:val="21"/>
                <w:szCs w:val="21"/>
              </w:rPr>
              <w:t>48</w:t>
            </w:r>
            <w:r>
              <w:rPr>
                <w:rFonts w:asciiTheme="minorEastAsia" w:eastAsiaTheme="minorEastAsia" w:hAnsiTheme="minorEastAsia"/>
                <w:sz w:val="21"/>
                <w:szCs w:val="21"/>
              </w:rPr>
              <w:t>-200</w:t>
            </w:r>
            <w:r>
              <w:rPr>
                <w:rFonts w:asciiTheme="minorEastAsia" w:eastAsiaTheme="minorEastAsia" w:hAnsiTheme="minorEastAsia" w:hint="eastAsia"/>
                <w:sz w:val="21"/>
                <w:szCs w:val="21"/>
              </w:rPr>
              <w:t>9/7</w:t>
            </w:r>
          </w:p>
        </w:tc>
        <w:tc>
          <w:tcPr>
            <w:tcW w:w="1298" w:type="pct"/>
            <w:vAlign w:val="center"/>
          </w:tcPr>
          <w:p w14:paraId="02F4F1FA" w14:textId="7D2F0277"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6EE5BDCC" w14:textId="09F3BF3E" w:rsidTr="006A1989">
        <w:trPr>
          <w:cantSplit/>
          <w:trHeight w:val="397"/>
          <w:jc w:val="center"/>
        </w:trPr>
        <w:tc>
          <w:tcPr>
            <w:tcW w:w="357" w:type="pct"/>
            <w:vAlign w:val="center"/>
          </w:tcPr>
          <w:p w14:paraId="761A9E44" w14:textId="50C25FC0"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738" w:type="pct"/>
            <w:vAlign w:val="center"/>
          </w:tcPr>
          <w:p w14:paraId="76368020"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对触及带电部件的防护</w:t>
            </w:r>
          </w:p>
        </w:tc>
        <w:tc>
          <w:tcPr>
            <w:tcW w:w="1310" w:type="pct"/>
            <w:vAlign w:val="center"/>
          </w:tcPr>
          <w:p w14:paraId="23DE3B5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/8</w:t>
            </w:r>
          </w:p>
          <w:p w14:paraId="1F977237"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/8</w:t>
            </w:r>
          </w:p>
        </w:tc>
        <w:tc>
          <w:tcPr>
            <w:tcW w:w="1298" w:type="pct"/>
            <w:vAlign w:val="center"/>
          </w:tcPr>
          <w:p w14:paraId="10057A41"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/8</w:t>
            </w:r>
          </w:p>
          <w:p w14:paraId="3D2FD40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/8</w:t>
            </w:r>
          </w:p>
        </w:tc>
        <w:tc>
          <w:tcPr>
            <w:tcW w:w="1298" w:type="pct"/>
            <w:vAlign w:val="center"/>
          </w:tcPr>
          <w:p w14:paraId="66FC6293" w14:textId="02324B07"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22B8D67A" w14:textId="7B5E82F2" w:rsidTr="006A1989">
        <w:trPr>
          <w:cantSplit/>
          <w:trHeight w:val="397"/>
          <w:jc w:val="center"/>
        </w:trPr>
        <w:tc>
          <w:tcPr>
            <w:tcW w:w="357" w:type="pct"/>
            <w:vAlign w:val="center"/>
          </w:tcPr>
          <w:p w14:paraId="7EAF3038" w14:textId="4BE02ECD"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738" w:type="pct"/>
            <w:vAlign w:val="center"/>
          </w:tcPr>
          <w:p w14:paraId="21D9D0F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输入功率和电流</w:t>
            </w:r>
          </w:p>
        </w:tc>
        <w:tc>
          <w:tcPr>
            <w:tcW w:w="1310" w:type="pct"/>
            <w:vAlign w:val="center"/>
          </w:tcPr>
          <w:p w14:paraId="3C31D6D0"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/10</w:t>
            </w:r>
          </w:p>
          <w:p w14:paraId="5F0ACFEA"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/10</w:t>
            </w:r>
          </w:p>
        </w:tc>
        <w:tc>
          <w:tcPr>
            <w:tcW w:w="1298" w:type="pct"/>
            <w:vAlign w:val="center"/>
          </w:tcPr>
          <w:p w14:paraId="3CD7227E"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/10</w:t>
            </w:r>
          </w:p>
          <w:p w14:paraId="2453177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/10</w:t>
            </w:r>
          </w:p>
        </w:tc>
        <w:tc>
          <w:tcPr>
            <w:tcW w:w="1298" w:type="pct"/>
            <w:vAlign w:val="center"/>
          </w:tcPr>
          <w:p w14:paraId="73D281DC" w14:textId="4999124B"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1251172C" w14:textId="6DCCD02D" w:rsidTr="006A1989">
        <w:trPr>
          <w:cantSplit/>
          <w:trHeight w:val="397"/>
          <w:jc w:val="center"/>
        </w:trPr>
        <w:tc>
          <w:tcPr>
            <w:tcW w:w="357" w:type="pct"/>
            <w:vAlign w:val="center"/>
          </w:tcPr>
          <w:p w14:paraId="587B1238" w14:textId="72705772"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738" w:type="pct"/>
            <w:vAlign w:val="center"/>
          </w:tcPr>
          <w:p w14:paraId="0476E063"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工作温度下的泄漏电流和电气强度</w:t>
            </w:r>
          </w:p>
        </w:tc>
        <w:tc>
          <w:tcPr>
            <w:tcW w:w="1310" w:type="pct"/>
            <w:vAlign w:val="center"/>
          </w:tcPr>
          <w:p w14:paraId="5F8AFAF9"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/13</w:t>
            </w:r>
          </w:p>
          <w:p w14:paraId="71CB0775"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/13</w:t>
            </w:r>
          </w:p>
        </w:tc>
        <w:tc>
          <w:tcPr>
            <w:tcW w:w="1298" w:type="pct"/>
            <w:vAlign w:val="center"/>
          </w:tcPr>
          <w:p w14:paraId="14EA0E0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/13</w:t>
            </w:r>
          </w:p>
          <w:p w14:paraId="7228625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/13</w:t>
            </w:r>
          </w:p>
        </w:tc>
        <w:tc>
          <w:tcPr>
            <w:tcW w:w="1298" w:type="pct"/>
            <w:vAlign w:val="center"/>
          </w:tcPr>
          <w:p w14:paraId="655B46E8" w14:textId="3E54EA71"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36EA1E08" w14:textId="79BC1628" w:rsidTr="006A1989">
        <w:trPr>
          <w:cantSplit/>
          <w:trHeight w:val="397"/>
          <w:jc w:val="center"/>
        </w:trPr>
        <w:tc>
          <w:tcPr>
            <w:tcW w:w="357" w:type="pct"/>
            <w:vAlign w:val="center"/>
          </w:tcPr>
          <w:p w14:paraId="4BF2A0C4" w14:textId="5AD79C9C"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738" w:type="pct"/>
            <w:vAlign w:val="center"/>
          </w:tcPr>
          <w:p w14:paraId="360E585E"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耐潮湿</w:t>
            </w:r>
          </w:p>
        </w:tc>
        <w:tc>
          <w:tcPr>
            <w:tcW w:w="1310" w:type="pct"/>
            <w:vAlign w:val="center"/>
          </w:tcPr>
          <w:p w14:paraId="5F60EDD5"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/15</w:t>
            </w:r>
          </w:p>
          <w:p w14:paraId="2490DC7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/15</w:t>
            </w:r>
          </w:p>
        </w:tc>
        <w:tc>
          <w:tcPr>
            <w:tcW w:w="1298" w:type="pct"/>
            <w:vAlign w:val="center"/>
          </w:tcPr>
          <w:p w14:paraId="6467BEF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/15</w:t>
            </w:r>
          </w:p>
          <w:p w14:paraId="7B16DB5B"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/15</w:t>
            </w:r>
          </w:p>
        </w:tc>
        <w:tc>
          <w:tcPr>
            <w:tcW w:w="1298" w:type="pct"/>
            <w:vAlign w:val="center"/>
          </w:tcPr>
          <w:p w14:paraId="3FAB019B" w14:textId="5AB2CE7C"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4DB558D1" w14:textId="1E696191" w:rsidTr="006A1989">
        <w:trPr>
          <w:cantSplit/>
          <w:trHeight w:val="397"/>
          <w:jc w:val="center"/>
        </w:trPr>
        <w:tc>
          <w:tcPr>
            <w:tcW w:w="357" w:type="pct"/>
            <w:vAlign w:val="center"/>
          </w:tcPr>
          <w:p w14:paraId="4E8EE901" w14:textId="1C9FF19A"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6</w:t>
            </w:r>
          </w:p>
        </w:tc>
        <w:tc>
          <w:tcPr>
            <w:tcW w:w="738" w:type="pct"/>
            <w:vAlign w:val="center"/>
          </w:tcPr>
          <w:p w14:paraId="5B8DABD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泄漏电流和电气强度</w:t>
            </w:r>
          </w:p>
        </w:tc>
        <w:tc>
          <w:tcPr>
            <w:tcW w:w="1310" w:type="pct"/>
            <w:vAlign w:val="center"/>
          </w:tcPr>
          <w:p w14:paraId="6507620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/16</w:t>
            </w:r>
          </w:p>
          <w:p w14:paraId="674976F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/16</w:t>
            </w:r>
          </w:p>
        </w:tc>
        <w:tc>
          <w:tcPr>
            <w:tcW w:w="1298" w:type="pct"/>
            <w:vAlign w:val="center"/>
          </w:tcPr>
          <w:p w14:paraId="0865F7AA"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/16</w:t>
            </w:r>
          </w:p>
          <w:p w14:paraId="4ADAF9FE"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/16</w:t>
            </w:r>
          </w:p>
        </w:tc>
        <w:tc>
          <w:tcPr>
            <w:tcW w:w="1298" w:type="pct"/>
            <w:vAlign w:val="center"/>
          </w:tcPr>
          <w:p w14:paraId="4BD0AB60" w14:textId="18A8584C"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370039F5" w14:textId="1F4B6874" w:rsidTr="006A1989">
        <w:trPr>
          <w:cantSplit/>
          <w:trHeight w:val="397"/>
          <w:jc w:val="center"/>
        </w:trPr>
        <w:tc>
          <w:tcPr>
            <w:tcW w:w="357" w:type="pct"/>
            <w:vAlign w:val="center"/>
          </w:tcPr>
          <w:p w14:paraId="6AF5A6A5" w14:textId="3F046E1F"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7</w:t>
            </w:r>
          </w:p>
        </w:tc>
        <w:tc>
          <w:tcPr>
            <w:tcW w:w="738" w:type="pct"/>
            <w:vAlign w:val="center"/>
          </w:tcPr>
          <w:p w14:paraId="6D06E5E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稳定性和机械危险</w:t>
            </w:r>
          </w:p>
        </w:tc>
        <w:tc>
          <w:tcPr>
            <w:tcW w:w="1310" w:type="pct"/>
            <w:vAlign w:val="center"/>
          </w:tcPr>
          <w:p w14:paraId="3CAEA05E"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/20</w:t>
            </w:r>
          </w:p>
          <w:p w14:paraId="124AFAB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/20</w:t>
            </w:r>
          </w:p>
        </w:tc>
        <w:tc>
          <w:tcPr>
            <w:tcW w:w="1298" w:type="pct"/>
            <w:vAlign w:val="center"/>
          </w:tcPr>
          <w:p w14:paraId="6180D34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/20</w:t>
            </w:r>
          </w:p>
          <w:p w14:paraId="26376A92"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/20</w:t>
            </w:r>
          </w:p>
        </w:tc>
        <w:tc>
          <w:tcPr>
            <w:tcW w:w="1298" w:type="pct"/>
            <w:vAlign w:val="center"/>
          </w:tcPr>
          <w:p w14:paraId="2AF2F72B" w14:textId="0D5008A5"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79DB4302" w14:textId="4600FBF8" w:rsidTr="006A1989">
        <w:trPr>
          <w:cantSplit/>
          <w:trHeight w:val="397"/>
          <w:jc w:val="center"/>
        </w:trPr>
        <w:tc>
          <w:tcPr>
            <w:tcW w:w="357" w:type="pct"/>
            <w:vAlign w:val="center"/>
          </w:tcPr>
          <w:p w14:paraId="1EBC3A75" w14:textId="2801788D"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8</w:t>
            </w:r>
          </w:p>
        </w:tc>
        <w:tc>
          <w:tcPr>
            <w:tcW w:w="738" w:type="pct"/>
            <w:vAlign w:val="center"/>
          </w:tcPr>
          <w:p w14:paraId="361B54C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机械强度</w:t>
            </w:r>
          </w:p>
        </w:tc>
        <w:tc>
          <w:tcPr>
            <w:tcW w:w="1310" w:type="pct"/>
            <w:vAlign w:val="center"/>
          </w:tcPr>
          <w:p w14:paraId="5190FC1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/21</w:t>
            </w:r>
          </w:p>
          <w:p w14:paraId="4223BA00"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/21</w:t>
            </w:r>
          </w:p>
        </w:tc>
        <w:tc>
          <w:tcPr>
            <w:tcW w:w="1298" w:type="pct"/>
            <w:vAlign w:val="center"/>
          </w:tcPr>
          <w:p w14:paraId="6FA35BF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/21</w:t>
            </w:r>
          </w:p>
          <w:p w14:paraId="690B8431"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/21</w:t>
            </w:r>
          </w:p>
        </w:tc>
        <w:tc>
          <w:tcPr>
            <w:tcW w:w="1298" w:type="pct"/>
            <w:vAlign w:val="center"/>
          </w:tcPr>
          <w:p w14:paraId="2ECF40A5" w14:textId="52685BC9"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7E144BE5" w14:textId="5FEFD4D4" w:rsidTr="006A1989">
        <w:trPr>
          <w:cantSplit/>
          <w:trHeight w:val="397"/>
          <w:jc w:val="center"/>
        </w:trPr>
        <w:tc>
          <w:tcPr>
            <w:tcW w:w="357" w:type="pct"/>
            <w:vAlign w:val="center"/>
          </w:tcPr>
          <w:p w14:paraId="6BA6A38D" w14:textId="5B7A722B"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9</w:t>
            </w:r>
          </w:p>
        </w:tc>
        <w:tc>
          <w:tcPr>
            <w:tcW w:w="738" w:type="pct"/>
            <w:vAlign w:val="center"/>
          </w:tcPr>
          <w:p w14:paraId="72DD53E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结构</w:t>
            </w:r>
          </w:p>
          <w:p w14:paraId="2FE9A71B"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(不</w:t>
            </w:r>
            <w:r>
              <w:rPr>
                <w:rFonts w:asciiTheme="minorEastAsia" w:eastAsiaTheme="minorEastAsia" w:hAnsiTheme="minorEastAsia" w:hint="eastAsia"/>
                <w:sz w:val="21"/>
                <w:szCs w:val="21"/>
              </w:rPr>
              <w:t>测</w:t>
            </w:r>
            <w:r>
              <w:rPr>
                <w:rFonts w:asciiTheme="minorEastAsia" w:eastAsiaTheme="minorEastAsia" w:hAnsiTheme="minorEastAsia"/>
                <w:sz w:val="21"/>
                <w:szCs w:val="21"/>
              </w:rPr>
              <w:t>22.46)</w:t>
            </w:r>
          </w:p>
        </w:tc>
        <w:tc>
          <w:tcPr>
            <w:tcW w:w="1310" w:type="pct"/>
            <w:vAlign w:val="center"/>
          </w:tcPr>
          <w:p w14:paraId="31BC81F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/22</w:t>
            </w:r>
          </w:p>
          <w:p w14:paraId="27D29B5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/22</w:t>
            </w:r>
          </w:p>
        </w:tc>
        <w:tc>
          <w:tcPr>
            <w:tcW w:w="1298" w:type="pct"/>
            <w:vAlign w:val="center"/>
          </w:tcPr>
          <w:p w14:paraId="559D9AA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/22</w:t>
            </w:r>
          </w:p>
          <w:p w14:paraId="1A42571A"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/22</w:t>
            </w:r>
          </w:p>
        </w:tc>
        <w:tc>
          <w:tcPr>
            <w:tcW w:w="1298" w:type="pct"/>
            <w:vAlign w:val="center"/>
          </w:tcPr>
          <w:p w14:paraId="0EC4AF85" w14:textId="0896108E"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1DF0188C" w14:textId="2A8E4760" w:rsidTr="006A1989">
        <w:trPr>
          <w:cantSplit/>
          <w:trHeight w:val="397"/>
          <w:jc w:val="center"/>
        </w:trPr>
        <w:tc>
          <w:tcPr>
            <w:tcW w:w="357" w:type="pct"/>
            <w:vAlign w:val="center"/>
          </w:tcPr>
          <w:p w14:paraId="6BB08D05" w14:textId="037AB743"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10</w:t>
            </w:r>
          </w:p>
        </w:tc>
        <w:tc>
          <w:tcPr>
            <w:tcW w:w="738" w:type="pct"/>
            <w:vAlign w:val="center"/>
          </w:tcPr>
          <w:p w14:paraId="6F1EEA55"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内部布线</w:t>
            </w:r>
          </w:p>
        </w:tc>
        <w:tc>
          <w:tcPr>
            <w:tcW w:w="1310" w:type="pct"/>
            <w:vAlign w:val="center"/>
          </w:tcPr>
          <w:p w14:paraId="10109FEA"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/23</w:t>
            </w:r>
          </w:p>
          <w:p w14:paraId="68D3902C"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/23</w:t>
            </w:r>
          </w:p>
        </w:tc>
        <w:tc>
          <w:tcPr>
            <w:tcW w:w="1298" w:type="pct"/>
            <w:vAlign w:val="center"/>
          </w:tcPr>
          <w:p w14:paraId="174EE2B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/23</w:t>
            </w:r>
          </w:p>
          <w:p w14:paraId="485C748D"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/23</w:t>
            </w:r>
          </w:p>
        </w:tc>
        <w:tc>
          <w:tcPr>
            <w:tcW w:w="1298" w:type="pct"/>
            <w:vAlign w:val="center"/>
          </w:tcPr>
          <w:p w14:paraId="2F550159" w14:textId="0005C599"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7DE4E58E" w14:textId="6B217425" w:rsidTr="006A1989">
        <w:trPr>
          <w:cantSplit/>
          <w:trHeight w:val="397"/>
          <w:jc w:val="center"/>
        </w:trPr>
        <w:tc>
          <w:tcPr>
            <w:tcW w:w="357" w:type="pct"/>
            <w:vAlign w:val="center"/>
          </w:tcPr>
          <w:p w14:paraId="1EEA65BD" w14:textId="15D53E70"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11</w:t>
            </w:r>
          </w:p>
        </w:tc>
        <w:tc>
          <w:tcPr>
            <w:tcW w:w="738" w:type="pct"/>
            <w:vAlign w:val="center"/>
          </w:tcPr>
          <w:p w14:paraId="214DC3F3"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电源连接和外部软线</w:t>
            </w:r>
          </w:p>
        </w:tc>
        <w:tc>
          <w:tcPr>
            <w:tcW w:w="1310" w:type="pct"/>
            <w:vAlign w:val="center"/>
          </w:tcPr>
          <w:p w14:paraId="3F63154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/25</w:t>
            </w:r>
          </w:p>
          <w:p w14:paraId="5733E9A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/25</w:t>
            </w:r>
          </w:p>
        </w:tc>
        <w:tc>
          <w:tcPr>
            <w:tcW w:w="1298" w:type="pct"/>
            <w:vAlign w:val="center"/>
          </w:tcPr>
          <w:p w14:paraId="7D97B9F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/25</w:t>
            </w:r>
          </w:p>
          <w:p w14:paraId="40C5C35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/25</w:t>
            </w:r>
          </w:p>
        </w:tc>
        <w:tc>
          <w:tcPr>
            <w:tcW w:w="1298" w:type="pct"/>
            <w:vAlign w:val="center"/>
          </w:tcPr>
          <w:p w14:paraId="7D718DD9" w14:textId="787A1FEC"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7C64B198" w14:textId="085BB8F1" w:rsidTr="006A1989">
        <w:trPr>
          <w:cantSplit/>
          <w:trHeight w:val="397"/>
          <w:jc w:val="center"/>
        </w:trPr>
        <w:tc>
          <w:tcPr>
            <w:tcW w:w="357" w:type="pct"/>
            <w:vAlign w:val="center"/>
          </w:tcPr>
          <w:p w14:paraId="514774D1" w14:textId="30C911E6"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12</w:t>
            </w:r>
          </w:p>
        </w:tc>
        <w:tc>
          <w:tcPr>
            <w:tcW w:w="738" w:type="pct"/>
            <w:vAlign w:val="center"/>
          </w:tcPr>
          <w:p w14:paraId="3D59560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外部导线用接线端子</w:t>
            </w:r>
          </w:p>
        </w:tc>
        <w:tc>
          <w:tcPr>
            <w:tcW w:w="1310" w:type="pct"/>
            <w:vAlign w:val="center"/>
          </w:tcPr>
          <w:p w14:paraId="27475903"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/26</w:t>
            </w:r>
          </w:p>
          <w:p w14:paraId="772EA09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/26</w:t>
            </w:r>
          </w:p>
        </w:tc>
        <w:tc>
          <w:tcPr>
            <w:tcW w:w="1298" w:type="pct"/>
            <w:vAlign w:val="center"/>
          </w:tcPr>
          <w:p w14:paraId="52D33B7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/26</w:t>
            </w:r>
          </w:p>
          <w:p w14:paraId="0C9CF4B6"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/26</w:t>
            </w:r>
          </w:p>
        </w:tc>
        <w:tc>
          <w:tcPr>
            <w:tcW w:w="1298" w:type="pct"/>
            <w:vAlign w:val="center"/>
          </w:tcPr>
          <w:p w14:paraId="41D2B9D0" w14:textId="00279A6C"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5092A040" w14:textId="4C2F263F" w:rsidTr="006A1989">
        <w:trPr>
          <w:cantSplit/>
          <w:trHeight w:val="397"/>
          <w:jc w:val="center"/>
        </w:trPr>
        <w:tc>
          <w:tcPr>
            <w:tcW w:w="357" w:type="pct"/>
            <w:vAlign w:val="center"/>
          </w:tcPr>
          <w:p w14:paraId="3DFE1F5C" w14:textId="2CC07BC6"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13</w:t>
            </w:r>
          </w:p>
        </w:tc>
        <w:tc>
          <w:tcPr>
            <w:tcW w:w="738" w:type="pct"/>
            <w:vAlign w:val="center"/>
          </w:tcPr>
          <w:p w14:paraId="5905F219"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接地措施</w:t>
            </w:r>
          </w:p>
        </w:tc>
        <w:tc>
          <w:tcPr>
            <w:tcW w:w="1310" w:type="pct"/>
            <w:vAlign w:val="center"/>
          </w:tcPr>
          <w:p w14:paraId="5425959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/27</w:t>
            </w:r>
          </w:p>
          <w:p w14:paraId="40E8293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/27</w:t>
            </w:r>
          </w:p>
        </w:tc>
        <w:tc>
          <w:tcPr>
            <w:tcW w:w="1298" w:type="pct"/>
            <w:vAlign w:val="center"/>
          </w:tcPr>
          <w:p w14:paraId="258192F3"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/27</w:t>
            </w:r>
          </w:p>
          <w:p w14:paraId="76EF2CB2"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/27</w:t>
            </w:r>
          </w:p>
        </w:tc>
        <w:tc>
          <w:tcPr>
            <w:tcW w:w="1298" w:type="pct"/>
            <w:vAlign w:val="center"/>
          </w:tcPr>
          <w:p w14:paraId="47DB15E1" w14:textId="0A5BE20D"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7D09DB75" w14:textId="3AE32E28" w:rsidTr="006A1989">
        <w:trPr>
          <w:cantSplit/>
          <w:trHeight w:val="397"/>
          <w:jc w:val="center"/>
        </w:trPr>
        <w:tc>
          <w:tcPr>
            <w:tcW w:w="357" w:type="pct"/>
            <w:vAlign w:val="center"/>
          </w:tcPr>
          <w:p w14:paraId="241A8D32" w14:textId="6F591EE3"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14</w:t>
            </w:r>
          </w:p>
        </w:tc>
        <w:tc>
          <w:tcPr>
            <w:tcW w:w="738" w:type="pct"/>
            <w:vAlign w:val="center"/>
          </w:tcPr>
          <w:p w14:paraId="29A777C1"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螺钉和连接</w:t>
            </w:r>
          </w:p>
        </w:tc>
        <w:tc>
          <w:tcPr>
            <w:tcW w:w="1310" w:type="pct"/>
            <w:vAlign w:val="center"/>
          </w:tcPr>
          <w:p w14:paraId="18A9F09F"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/28</w:t>
            </w:r>
          </w:p>
          <w:p w14:paraId="4A80BE81"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/28</w:t>
            </w:r>
          </w:p>
        </w:tc>
        <w:tc>
          <w:tcPr>
            <w:tcW w:w="1298" w:type="pct"/>
            <w:vAlign w:val="center"/>
          </w:tcPr>
          <w:p w14:paraId="4819444A"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/28</w:t>
            </w:r>
          </w:p>
          <w:p w14:paraId="0C5D942B"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/28</w:t>
            </w:r>
          </w:p>
        </w:tc>
        <w:tc>
          <w:tcPr>
            <w:tcW w:w="1298" w:type="pct"/>
            <w:vAlign w:val="center"/>
          </w:tcPr>
          <w:p w14:paraId="386E9112" w14:textId="01FBC4C6"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3E37BE9A" w14:textId="04C01F88" w:rsidTr="006A1989">
        <w:trPr>
          <w:cantSplit/>
          <w:trHeight w:val="397"/>
          <w:jc w:val="center"/>
        </w:trPr>
        <w:tc>
          <w:tcPr>
            <w:tcW w:w="357" w:type="pct"/>
            <w:vAlign w:val="center"/>
          </w:tcPr>
          <w:p w14:paraId="7E350D4A" w14:textId="4902E100"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15</w:t>
            </w:r>
          </w:p>
        </w:tc>
        <w:tc>
          <w:tcPr>
            <w:tcW w:w="738" w:type="pct"/>
            <w:vAlign w:val="center"/>
          </w:tcPr>
          <w:p w14:paraId="544BBE67" w14:textId="0E7EA4A1"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电气间隙、爬电距离和固体绝缘</w:t>
            </w:r>
          </w:p>
        </w:tc>
        <w:tc>
          <w:tcPr>
            <w:tcW w:w="1310" w:type="pct"/>
            <w:vAlign w:val="center"/>
          </w:tcPr>
          <w:p w14:paraId="78D44C42"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/29</w:t>
            </w:r>
          </w:p>
          <w:p w14:paraId="037E6DD3"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/29</w:t>
            </w:r>
          </w:p>
        </w:tc>
        <w:tc>
          <w:tcPr>
            <w:tcW w:w="1298" w:type="pct"/>
            <w:vAlign w:val="center"/>
          </w:tcPr>
          <w:p w14:paraId="2447F63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/29</w:t>
            </w:r>
          </w:p>
          <w:p w14:paraId="77BD8F84"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/29</w:t>
            </w:r>
          </w:p>
        </w:tc>
        <w:tc>
          <w:tcPr>
            <w:tcW w:w="1298" w:type="pct"/>
            <w:vAlign w:val="center"/>
          </w:tcPr>
          <w:p w14:paraId="59865C87" w14:textId="32B89CB0" w:rsidR="00542024" w:rsidRDefault="00542024" w:rsidP="00542024">
            <w:pPr>
              <w:pStyle w:val="a9"/>
              <w:rPr>
                <w:rFonts w:asciiTheme="minorEastAsia" w:eastAsiaTheme="minorEastAsia" w:hAnsiTheme="minorEastAsia"/>
                <w:sz w:val="21"/>
                <w:szCs w:val="21"/>
              </w:rPr>
            </w:pPr>
            <w:r w:rsidRPr="00332DF2">
              <w:rPr>
                <w:rFonts w:asciiTheme="minorEastAsia" w:eastAsiaTheme="minorEastAsia" w:hAnsiTheme="minorEastAsia" w:hint="eastAsia"/>
                <w:sz w:val="21"/>
                <w:szCs w:val="21"/>
              </w:rPr>
              <w:t>/</w:t>
            </w:r>
          </w:p>
        </w:tc>
      </w:tr>
      <w:tr w:rsidR="00542024" w14:paraId="6BDB2BE2" w14:textId="129882C2" w:rsidTr="006A1989">
        <w:trPr>
          <w:cantSplit/>
          <w:trHeight w:val="397"/>
          <w:jc w:val="center"/>
        </w:trPr>
        <w:tc>
          <w:tcPr>
            <w:tcW w:w="357" w:type="pct"/>
            <w:vAlign w:val="center"/>
          </w:tcPr>
          <w:p w14:paraId="3F0A797F" w14:textId="2C469C4C"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16</w:t>
            </w:r>
          </w:p>
        </w:tc>
        <w:tc>
          <w:tcPr>
            <w:tcW w:w="738" w:type="pct"/>
            <w:vAlign w:val="center"/>
          </w:tcPr>
          <w:p w14:paraId="0FE3E1D8" w14:textId="404944AF" w:rsidR="00542024" w:rsidRDefault="00542024" w:rsidP="00542024">
            <w:pPr>
              <w:pStyle w:val="a9"/>
              <w:rPr>
                <w:rStyle w:val="aa"/>
                <w:color w:val="000000"/>
                <w:sz w:val="21"/>
                <w:szCs w:val="21"/>
              </w:rPr>
            </w:pPr>
            <w:r>
              <w:rPr>
                <w:rStyle w:val="aa"/>
                <w:rFonts w:hint="eastAsia"/>
                <w:color w:val="000000"/>
                <w:sz w:val="21"/>
                <w:szCs w:val="21"/>
              </w:rPr>
              <w:t>耐热和耐燃</w:t>
            </w:r>
          </w:p>
        </w:tc>
        <w:tc>
          <w:tcPr>
            <w:tcW w:w="1310" w:type="pct"/>
            <w:vAlign w:val="center"/>
          </w:tcPr>
          <w:p w14:paraId="1E940F2A" w14:textId="33031DE0"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/30</w:t>
            </w:r>
          </w:p>
          <w:p w14:paraId="345BD3BE" w14:textId="1ACF01C2" w:rsidR="00542024" w:rsidRDefault="00542024" w:rsidP="00542024">
            <w:pPr>
              <w:pStyle w:val="a9"/>
              <w:rPr>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/30</w:t>
            </w:r>
          </w:p>
        </w:tc>
        <w:tc>
          <w:tcPr>
            <w:tcW w:w="1298" w:type="pct"/>
            <w:vAlign w:val="center"/>
          </w:tcPr>
          <w:p w14:paraId="07BA56C8" w14:textId="77777777" w:rsidR="00542024" w:rsidRDefault="00542024" w:rsidP="00542024">
            <w:pPr>
              <w:pStyle w:val="a9"/>
              <w:rPr>
                <w:rFonts w:asciiTheme="minorEastAsia" w:eastAsiaTheme="minorEastAsia" w:hAnsiTheme="minorEastAsia"/>
                <w:sz w:val="21"/>
                <w:szCs w:val="21"/>
              </w:rPr>
            </w:pPr>
            <w:r>
              <w:rPr>
                <w:rFonts w:asciiTheme="minorEastAsia" w:eastAsiaTheme="minorEastAsia" w:hAnsiTheme="minorEastAsia"/>
                <w:sz w:val="21"/>
                <w:szCs w:val="21"/>
              </w:rPr>
              <w:t>GB 4706.1-2005</w:t>
            </w:r>
            <w:r>
              <w:rPr>
                <w:rFonts w:asciiTheme="minorEastAsia" w:eastAsiaTheme="minorEastAsia" w:hAnsiTheme="minorEastAsia" w:hint="eastAsia"/>
                <w:sz w:val="21"/>
                <w:szCs w:val="21"/>
              </w:rPr>
              <w:t>/30</w:t>
            </w:r>
          </w:p>
          <w:p w14:paraId="41D6E34F" w14:textId="129FE74A" w:rsidR="00542024" w:rsidRDefault="00542024" w:rsidP="00542024">
            <w:pPr>
              <w:pStyle w:val="a9"/>
              <w:rPr>
                <w:sz w:val="21"/>
                <w:szCs w:val="21"/>
              </w:rPr>
            </w:pPr>
            <w:r>
              <w:rPr>
                <w:rFonts w:asciiTheme="minorEastAsia" w:eastAsiaTheme="minorEastAsia" w:hAnsiTheme="minorEastAsia"/>
                <w:sz w:val="21"/>
                <w:szCs w:val="21"/>
              </w:rPr>
              <w:t>GB 4706.48-2009</w:t>
            </w:r>
            <w:r>
              <w:rPr>
                <w:rFonts w:asciiTheme="minorEastAsia" w:eastAsiaTheme="minorEastAsia" w:hAnsiTheme="minorEastAsia" w:hint="eastAsia"/>
                <w:sz w:val="21"/>
                <w:szCs w:val="21"/>
              </w:rPr>
              <w:t>/30</w:t>
            </w:r>
          </w:p>
        </w:tc>
        <w:tc>
          <w:tcPr>
            <w:tcW w:w="1298" w:type="pct"/>
            <w:vAlign w:val="center"/>
          </w:tcPr>
          <w:p w14:paraId="7FDD0C89" w14:textId="6F5FE26F" w:rsidR="00542024" w:rsidRDefault="00542024" w:rsidP="00542024">
            <w:pPr>
              <w:pStyle w:val="a9"/>
              <w:rPr>
                <w:sz w:val="21"/>
                <w:szCs w:val="21"/>
              </w:rPr>
            </w:pPr>
            <w:r w:rsidRPr="00332DF2">
              <w:rPr>
                <w:rFonts w:asciiTheme="minorEastAsia" w:eastAsiaTheme="minorEastAsia" w:hAnsiTheme="minorEastAsia" w:hint="eastAsia"/>
                <w:sz w:val="21"/>
                <w:szCs w:val="21"/>
              </w:rPr>
              <w:t>/</w:t>
            </w:r>
          </w:p>
        </w:tc>
      </w:tr>
      <w:tr w:rsidR="00542024" w14:paraId="052D5699" w14:textId="5E36EF96" w:rsidTr="006A1989">
        <w:trPr>
          <w:cantSplit/>
          <w:trHeight w:val="397"/>
          <w:jc w:val="center"/>
        </w:trPr>
        <w:tc>
          <w:tcPr>
            <w:tcW w:w="357" w:type="pct"/>
            <w:vAlign w:val="center"/>
          </w:tcPr>
          <w:p w14:paraId="165B0A94" w14:textId="2B7E6FFC" w:rsidR="00542024" w:rsidRDefault="008A743B">
            <w:pPr>
              <w:pStyle w:val="a9"/>
              <w:rPr>
                <w:rFonts w:asciiTheme="minorEastAsia" w:eastAsiaTheme="minorEastAsia" w:hAnsiTheme="minorEastAsia"/>
                <w:sz w:val="21"/>
                <w:szCs w:val="21"/>
              </w:rPr>
            </w:pPr>
            <w:r>
              <w:rPr>
                <w:rFonts w:asciiTheme="minorEastAsia" w:eastAsiaTheme="minorEastAsia" w:hAnsiTheme="minorEastAsia" w:hint="eastAsia"/>
                <w:sz w:val="21"/>
                <w:szCs w:val="21"/>
              </w:rPr>
              <w:t>17</w:t>
            </w:r>
          </w:p>
        </w:tc>
        <w:tc>
          <w:tcPr>
            <w:tcW w:w="738" w:type="pct"/>
            <w:vAlign w:val="center"/>
          </w:tcPr>
          <w:p w14:paraId="3DB1930D" w14:textId="77777777" w:rsidR="00542024" w:rsidRDefault="00542024">
            <w:pPr>
              <w:pStyle w:val="a9"/>
              <w:rPr>
                <w:rFonts w:asciiTheme="minorEastAsia" w:eastAsiaTheme="minorEastAsia" w:hAnsiTheme="minorEastAsia"/>
                <w:sz w:val="21"/>
                <w:szCs w:val="21"/>
              </w:rPr>
            </w:pPr>
            <w:r>
              <w:rPr>
                <w:rStyle w:val="aa"/>
                <w:color w:val="000000"/>
                <w:sz w:val="21"/>
                <w:szCs w:val="21"/>
              </w:rPr>
              <w:t>噪声</w:t>
            </w:r>
          </w:p>
        </w:tc>
        <w:tc>
          <w:tcPr>
            <w:tcW w:w="1310" w:type="pct"/>
            <w:vAlign w:val="center"/>
          </w:tcPr>
          <w:p w14:paraId="606337E8" w14:textId="77777777" w:rsidR="00542024" w:rsidRDefault="00542024">
            <w:pPr>
              <w:pStyle w:val="a9"/>
              <w:rPr>
                <w:rFonts w:asciiTheme="minorEastAsia" w:eastAsiaTheme="minorEastAsia" w:hAnsiTheme="minorEastAsia"/>
                <w:sz w:val="21"/>
                <w:szCs w:val="21"/>
              </w:rPr>
            </w:pPr>
            <w:r>
              <w:rPr>
                <w:sz w:val="21"/>
                <w:szCs w:val="21"/>
              </w:rPr>
              <w:t>GB/T 23332—2018</w:t>
            </w:r>
            <w:r>
              <w:rPr>
                <w:rFonts w:hint="eastAsia"/>
                <w:sz w:val="21"/>
                <w:szCs w:val="21"/>
              </w:rPr>
              <w:t>/5.7</w:t>
            </w:r>
          </w:p>
        </w:tc>
        <w:tc>
          <w:tcPr>
            <w:tcW w:w="1298" w:type="pct"/>
            <w:vAlign w:val="center"/>
          </w:tcPr>
          <w:p w14:paraId="5964A57B" w14:textId="4A8CCB1C" w:rsidR="00542024" w:rsidRDefault="004F4090">
            <w:pPr>
              <w:pStyle w:val="a9"/>
              <w:rPr>
                <w:rFonts w:asciiTheme="minorEastAsia" w:eastAsiaTheme="minorEastAsia" w:hAnsiTheme="minorEastAsia"/>
                <w:sz w:val="21"/>
                <w:szCs w:val="21"/>
              </w:rPr>
            </w:pPr>
            <w:r>
              <w:rPr>
                <w:rFonts w:hint="eastAsia"/>
                <w:sz w:val="21"/>
                <w:szCs w:val="21"/>
              </w:rPr>
              <w:t>/</w:t>
            </w:r>
          </w:p>
        </w:tc>
        <w:tc>
          <w:tcPr>
            <w:tcW w:w="1298" w:type="pct"/>
            <w:vAlign w:val="center"/>
          </w:tcPr>
          <w:p w14:paraId="7C92253B" w14:textId="75C805D5" w:rsidR="00542024" w:rsidRDefault="00542024">
            <w:pPr>
              <w:pStyle w:val="a9"/>
              <w:rPr>
                <w:sz w:val="21"/>
                <w:szCs w:val="21"/>
              </w:rPr>
            </w:pPr>
            <w:r>
              <w:rPr>
                <w:sz w:val="21"/>
                <w:szCs w:val="21"/>
              </w:rPr>
              <w:t>GB/T 23332—2018</w:t>
            </w:r>
            <w:r>
              <w:rPr>
                <w:rFonts w:hint="eastAsia"/>
                <w:sz w:val="21"/>
                <w:szCs w:val="21"/>
              </w:rPr>
              <w:t>/5.7</w:t>
            </w:r>
          </w:p>
        </w:tc>
      </w:tr>
    </w:tbl>
    <w:p w14:paraId="375FE92D" w14:textId="77777777" w:rsidR="00A83A66" w:rsidRDefault="00A83A66">
      <w:pPr>
        <w:pStyle w:val="a9"/>
      </w:pPr>
    </w:p>
    <w:p w14:paraId="758122A9" w14:textId="77777777" w:rsidR="00A83A66" w:rsidRDefault="008156FB">
      <w:pPr>
        <w:spacing w:line="460" w:lineRule="exact"/>
        <w:rPr>
          <w:rFonts w:ascii="黑体" w:eastAsia="黑体" w:hAnsi="黑体" w:cs="Calibri"/>
          <w:color w:val="000000"/>
          <w:sz w:val="24"/>
          <w:szCs w:val="21"/>
        </w:rPr>
      </w:pPr>
      <w:r>
        <w:rPr>
          <w:rFonts w:ascii="黑体" w:eastAsia="黑体" w:hAnsi="黑体" w:cs="Calibri" w:hint="eastAsia"/>
          <w:color w:val="000000"/>
          <w:sz w:val="24"/>
          <w:szCs w:val="21"/>
        </w:rPr>
        <w:t>3</w:t>
      </w:r>
      <w:r>
        <w:rPr>
          <w:rFonts w:ascii="黑体" w:eastAsia="黑体" w:hAnsi="黑体" w:cs="Calibri"/>
          <w:color w:val="000000"/>
          <w:sz w:val="24"/>
          <w:szCs w:val="21"/>
        </w:rPr>
        <w:t xml:space="preserve"> </w:t>
      </w:r>
      <w:r>
        <w:rPr>
          <w:rFonts w:ascii="黑体" w:eastAsia="黑体" w:hAnsi="黑体" w:cs="Calibri" w:hint="eastAsia"/>
          <w:color w:val="000000"/>
          <w:sz w:val="24"/>
          <w:szCs w:val="21"/>
        </w:rPr>
        <w:t>检验结果判定</w:t>
      </w:r>
    </w:p>
    <w:p w14:paraId="761B99E3" w14:textId="77777777" w:rsidR="00A83A66" w:rsidRDefault="008156FB">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1BEB9A45" w14:textId="77777777" w:rsidR="00A83A66" w:rsidRDefault="008156FB">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388A05D6" w14:textId="77777777" w:rsidR="00A83A66" w:rsidRDefault="008156FB">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12052FA6" w14:textId="77777777" w:rsidR="008A743B" w:rsidRDefault="008A743B" w:rsidP="008A743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5AC50137" w14:textId="1618D218" w:rsidR="008A743B" w:rsidRPr="006A1989" w:rsidRDefault="008A743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220EA222" w14:textId="77777777" w:rsidR="00A83A66" w:rsidRDefault="008156FB">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266EBF74" w14:textId="77777777" w:rsidR="00A83A66" w:rsidRDefault="008156FB">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w:t>
      </w:r>
      <w:proofErr w:type="gramStart"/>
      <w:r>
        <w:rPr>
          <w:rFonts w:ascii="宋体" w:hAnsi="宋体" w:cs="Calibri"/>
          <w:color w:val="000000"/>
          <w:sz w:val="24"/>
        </w:rPr>
        <w:t>查产品</w:t>
      </w:r>
      <w:proofErr w:type="gramEnd"/>
      <w:r>
        <w:rPr>
          <w:rFonts w:ascii="宋体" w:hAnsi="宋体" w:cs="Calibri"/>
          <w:color w:val="000000"/>
          <w:sz w:val="24"/>
        </w:rPr>
        <w:t>不合格。</w:t>
      </w:r>
    </w:p>
    <w:p w14:paraId="01B39B76" w14:textId="77777777" w:rsidR="00A83A66" w:rsidRDefault="008156FB">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A83A66">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08342" w14:textId="77777777" w:rsidR="00702CF5" w:rsidRDefault="00702CF5">
      <w:r>
        <w:separator/>
      </w:r>
    </w:p>
  </w:endnote>
  <w:endnote w:type="continuationSeparator" w:id="0">
    <w:p w14:paraId="52F18134" w14:textId="77777777" w:rsidR="00702CF5" w:rsidRDefault="0070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3BA5D" w14:textId="77777777" w:rsidR="00A83A66" w:rsidRDefault="008156FB">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67A14225" w14:textId="77777777" w:rsidR="00A83A66" w:rsidRDefault="00A83A6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FAAC" w14:textId="77777777" w:rsidR="00A83A66" w:rsidRDefault="008156FB">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F6E80CA" w14:textId="77777777" w:rsidR="00A83A66" w:rsidRDefault="00A83A6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3726" w14:textId="77777777" w:rsidR="00702CF5" w:rsidRDefault="00702CF5">
      <w:r>
        <w:separator/>
      </w:r>
    </w:p>
  </w:footnote>
  <w:footnote w:type="continuationSeparator" w:id="0">
    <w:p w14:paraId="48517BFF" w14:textId="77777777" w:rsidR="00702CF5" w:rsidRDefault="00702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C81A4" w14:textId="77777777" w:rsidR="00A83A66" w:rsidRDefault="00A83A66">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U1MTRkYjZlNzE3MGRmYWExMjIzZjA0NGUyYmQ3YjgifQ=="/>
  </w:docVars>
  <w:rsids>
    <w:rsidRoot w:val="00B525EF"/>
    <w:rsid w:val="00052216"/>
    <w:rsid w:val="00074373"/>
    <w:rsid w:val="000827A6"/>
    <w:rsid w:val="00083747"/>
    <w:rsid w:val="000B2B2E"/>
    <w:rsid w:val="000B2D0E"/>
    <w:rsid w:val="000C19EC"/>
    <w:rsid w:val="000C5FB2"/>
    <w:rsid w:val="000E0186"/>
    <w:rsid w:val="000E3A23"/>
    <w:rsid w:val="000E6CD5"/>
    <w:rsid w:val="00100AE3"/>
    <w:rsid w:val="0017709F"/>
    <w:rsid w:val="001A1209"/>
    <w:rsid w:val="00200CF2"/>
    <w:rsid w:val="00216553"/>
    <w:rsid w:val="0024337B"/>
    <w:rsid w:val="00250E8F"/>
    <w:rsid w:val="00252F09"/>
    <w:rsid w:val="00287C7A"/>
    <w:rsid w:val="002B5BAA"/>
    <w:rsid w:val="00400B03"/>
    <w:rsid w:val="004754B8"/>
    <w:rsid w:val="004909F9"/>
    <w:rsid w:val="00497ADD"/>
    <w:rsid w:val="004A1061"/>
    <w:rsid w:val="004A2B2E"/>
    <w:rsid w:val="004F4090"/>
    <w:rsid w:val="00500492"/>
    <w:rsid w:val="00522A8A"/>
    <w:rsid w:val="005324E3"/>
    <w:rsid w:val="00532B56"/>
    <w:rsid w:val="00542024"/>
    <w:rsid w:val="00545330"/>
    <w:rsid w:val="005748F3"/>
    <w:rsid w:val="00634372"/>
    <w:rsid w:val="00640C75"/>
    <w:rsid w:val="00651E8D"/>
    <w:rsid w:val="006923B7"/>
    <w:rsid w:val="006A1989"/>
    <w:rsid w:val="006C0A8D"/>
    <w:rsid w:val="00702CF5"/>
    <w:rsid w:val="00730C62"/>
    <w:rsid w:val="00751A8D"/>
    <w:rsid w:val="007558E7"/>
    <w:rsid w:val="007836CE"/>
    <w:rsid w:val="007869C0"/>
    <w:rsid w:val="007A4BA6"/>
    <w:rsid w:val="007A50FB"/>
    <w:rsid w:val="007B2797"/>
    <w:rsid w:val="007B2AF8"/>
    <w:rsid w:val="007C4D6D"/>
    <w:rsid w:val="007E1088"/>
    <w:rsid w:val="007E6351"/>
    <w:rsid w:val="007F7274"/>
    <w:rsid w:val="008156FB"/>
    <w:rsid w:val="00824B30"/>
    <w:rsid w:val="008914CE"/>
    <w:rsid w:val="008A743B"/>
    <w:rsid w:val="008B091B"/>
    <w:rsid w:val="008B6765"/>
    <w:rsid w:val="00912469"/>
    <w:rsid w:val="00913BF5"/>
    <w:rsid w:val="0092325F"/>
    <w:rsid w:val="0093348D"/>
    <w:rsid w:val="00944BF4"/>
    <w:rsid w:val="009A6311"/>
    <w:rsid w:val="00A06109"/>
    <w:rsid w:val="00A656CB"/>
    <w:rsid w:val="00A83A66"/>
    <w:rsid w:val="00A8565D"/>
    <w:rsid w:val="00A90B53"/>
    <w:rsid w:val="00AB0483"/>
    <w:rsid w:val="00AC0658"/>
    <w:rsid w:val="00AF107E"/>
    <w:rsid w:val="00B04FC5"/>
    <w:rsid w:val="00B06622"/>
    <w:rsid w:val="00B525EF"/>
    <w:rsid w:val="00B62772"/>
    <w:rsid w:val="00B6301F"/>
    <w:rsid w:val="00B71D10"/>
    <w:rsid w:val="00B91E15"/>
    <w:rsid w:val="00BA3E2B"/>
    <w:rsid w:val="00BD14FF"/>
    <w:rsid w:val="00C01902"/>
    <w:rsid w:val="00C22D46"/>
    <w:rsid w:val="00C32489"/>
    <w:rsid w:val="00C53409"/>
    <w:rsid w:val="00C56441"/>
    <w:rsid w:val="00CF096B"/>
    <w:rsid w:val="00CF45AF"/>
    <w:rsid w:val="00D477BA"/>
    <w:rsid w:val="00D511B4"/>
    <w:rsid w:val="00D74E5E"/>
    <w:rsid w:val="00D913BE"/>
    <w:rsid w:val="00DD59B1"/>
    <w:rsid w:val="00DE2355"/>
    <w:rsid w:val="00E50798"/>
    <w:rsid w:val="00E557B0"/>
    <w:rsid w:val="00E576C9"/>
    <w:rsid w:val="00F1679A"/>
    <w:rsid w:val="00F23C2A"/>
    <w:rsid w:val="00F332CA"/>
    <w:rsid w:val="00F46687"/>
    <w:rsid w:val="00F57ACD"/>
    <w:rsid w:val="00F6137C"/>
    <w:rsid w:val="00F64452"/>
    <w:rsid w:val="00F722C8"/>
    <w:rsid w:val="00FA1507"/>
    <w:rsid w:val="00FC3148"/>
    <w:rsid w:val="23C325E9"/>
    <w:rsid w:val="44A92641"/>
    <w:rsid w:val="4B176EA1"/>
    <w:rsid w:val="5EA029BD"/>
    <w:rsid w:val="5EA06B60"/>
    <w:rsid w:val="607C5838"/>
    <w:rsid w:val="689F35C3"/>
    <w:rsid w:val="6D0667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562D4"/>
  <w15:docId w15:val="{0A137E66-B322-47DD-9620-C2DF4072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unhideWhenUsed/>
    <w:qFormat/>
    <w:pPr>
      <w:widowControl/>
      <w:shd w:val="clear" w:color="auto" w:fill="FFFFFF"/>
      <w:spacing w:line="360" w:lineRule="atLeast"/>
      <w:jc w:val="center"/>
    </w:pPr>
    <w:rPr>
      <w:rFonts w:ascii="宋体" w:hAnsi="宋体" w:cs="宋体"/>
      <w:kern w:val="0"/>
      <w:sz w:val="24"/>
    </w:rPr>
  </w:style>
  <w:style w:type="character" w:styleId="aa">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b">
    <w:name w:val="List Paragraph"/>
    <w:basedOn w:val="a"/>
    <w:autoRedefine/>
    <w:uiPriority w:val="99"/>
    <w:qFormat/>
    <w:pPr>
      <w:ind w:firstLineChars="200" w:firstLine="420"/>
    </w:pPr>
  </w:style>
  <w:style w:type="paragraph" w:customStyle="1" w:styleId="10">
    <w:name w:val="修订1"/>
    <w:autoRedefine/>
    <w:hidden/>
    <w:uiPriority w:val="99"/>
    <w:semiHidden/>
    <w:qFormat/>
    <w:rPr>
      <w:kern w:val="2"/>
      <w:sz w:val="21"/>
      <w:szCs w:val="24"/>
    </w:rPr>
  </w:style>
  <w:style w:type="paragraph" w:customStyle="1" w:styleId="2">
    <w:name w:val="修订2"/>
    <w:hidden/>
    <w:uiPriority w:val="99"/>
    <w:semiHidden/>
    <w:rPr>
      <w:kern w:val="2"/>
      <w:sz w:val="21"/>
      <w:szCs w:val="24"/>
    </w:rPr>
  </w:style>
  <w:style w:type="paragraph" w:styleId="ac">
    <w:name w:val="Revision"/>
    <w:hidden/>
    <w:uiPriority w:val="99"/>
    <w:semiHidden/>
    <w:rsid w:val="007E635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BDDA6-D283-4DE2-B3B6-D3953D7D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292</Words>
  <Characters>1666</Characters>
  <Application>Microsoft Office Word</Application>
  <DocSecurity>0</DocSecurity>
  <Lines>13</Lines>
  <Paragraphs>3</Paragraphs>
  <ScaleCrop>false</ScaleCrop>
  <Company>Legend (Beijing) Limited</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49</cp:revision>
  <cp:lastPrinted>2019-12-05T15:53:00Z</cp:lastPrinted>
  <dcterms:created xsi:type="dcterms:W3CDTF">2021-01-28T02:46:00Z</dcterms:created>
  <dcterms:modified xsi:type="dcterms:W3CDTF">2025-01-13T07:53:00Z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0438A886FAEE475E9A5A99F8C6A86F83_13</vt:lpwstr>
  </property>
</Properties>
</file>