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924DB" w14:textId="77777777" w:rsidR="002F0227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编号：SHSSXZ0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215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15565CC3" w14:textId="77777777" w:rsidR="002F0227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4CDED928" w14:textId="77777777" w:rsidR="002F0227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民用无人驾驶航空器产品</w:t>
      </w:r>
    </w:p>
    <w:p w14:paraId="6496A316" w14:textId="77777777" w:rsidR="002F0227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50FB7876" w14:textId="77777777" w:rsidR="002F0227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2186E6D3" w14:textId="30361E79" w:rsidR="002F0227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每批次样品抽取3台，其中2台作为检验样品，1台作为备用样品。</w:t>
      </w:r>
    </w:p>
    <w:p w14:paraId="51ECA164" w14:textId="77777777" w:rsidR="002F0227" w:rsidRDefault="00000000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575BDD12" w14:textId="77777777" w:rsidR="002F0227" w:rsidRDefault="0000000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表</w:t>
      </w:r>
      <w:r>
        <w:rPr>
          <w:rFonts w:ascii="宋体" w:hAnsi="宋体"/>
          <w:color w:val="000000" w:themeColor="text1"/>
          <w:sz w:val="24"/>
        </w:rPr>
        <w:t>1</w:t>
      </w:r>
      <w:r>
        <w:rPr>
          <w:rFonts w:ascii="宋体" w:hAnsi="宋体" w:hint="eastAsia"/>
          <w:color w:val="000000" w:themeColor="text1"/>
          <w:sz w:val="24"/>
        </w:rPr>
        <w:t xml:space="preserve"> 民用无人驾驶航空器产品检验项目</w:t>
      </w: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1311"/>
        <w:gridCol w:w="1740"/>
        <w:gridCol w:w="2693"/>
        <w:gridCol w:w="2268"/>
      </w:tblGrid>
      <w:tr w:rsidR="002F0227" w14:paraId="31B7E888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7D21D952" w14:textId="77777777" w:rsidR="002F0227" w:rsidRDefault="00000000">
            <w:pPr>
              <w:jc w:val="center"/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3051" w:type="dxa"/>
            <w:gridSpan w:val="2"/>
            <w:vAlign w:val="center"/>
          </w:tcPr>
          <w:p w14:paraId="295261CB" w14:textId="77777777" w:rsidR="002F0227" w:rsidRDefault="00000000">
            <w:pPr>
              <w:jc w:val="center"/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2693" w:type="dxa"/>
            <w:vAlign w:val="center"/>
          </w:tcPr>
          <w:p w14:paraId="30095153" w14:textId="77777777" w:rsidR="002F0227" w:rsidRDefault="00000000">
            <w:pPr>
              <w:jc w:val="center"/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2268" w:type="dxa"/>
            <w:vAlign w:val="center"/>
          </w:tcPr>
          <w:p w14:paraId="727C65DF" w14:textId="77777777" w:rsidR="002F0227" w:rsidRDefault="00000000">
            <w:pPr>
              <w:jc w:val="center"/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2F0227" w14:paraId="45B9740C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3999AD3A" w14:textId="77777777" w:rsidR="002F0227" w:rsidRDefault="00000000">
            <w:pPr>
              <w:jc w:val="center"/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1</w:t>
            </w:r>
          </w:p>
        </w:tc>
        <w:tc>
          <w:tcPr>
            <w:tcW w:w="3051" w:type="dxa"/>
            <w:gridSpan w:val="2"/>
            <w:vAlign w:val="center"/>
          </w:tcPr>
          <w:p w14:paraId="6956C26E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电子围栏</w:t>
            </w:r>
          </w:p>
        </w:tc>
        <w:tc>
          <w:tcPr>
            <w:tcW w:w="2693" w:type="dxa"/>
            <w:vAlign w:val="center"/>
          </w:tcPr>
          <w:p w14:paraId="5880CED2" w14:textId="77777777" w:rsidR="002F0227" w:rsidRDefault="0000000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42590-2023/5.1</w:t>
            </w:r>
          </w:p>
        </w:tc>
        <w:tc>
          <w:tcPr>
            <w:tcW w:w="2268" w:type="dxa"/>
            <w:vAlign w:val="center"/>
          </w:tcPr>
          <w:p w14:paraId="595BAF86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42590-2023/4.1</w:t>
            </w:r>
          </w:p>
        </w:tc>
      </w:tr>
      <w:tr w:rsidR="002F0227" w14:paraId="1443E012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3827B4A6" w14:textId="77777777" w:rsidR="002F0227" w:rsidRDefault="00000000">
            <w:pPr>
              <w:jc w:val="center"/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2</w:t>
            </w:r>
          </w:p>
        </w:tc>
        <w:tc>
          <w:tcPr>
            <w:tcW w:w="3051" w:type="dxa"/>
            <w:gridSpan w:val="2"/>
            <w:vAlign w:val="center"/>
          </w:tcPr>
          <w:p w14:paraId="3908042F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应急处置</w:t>
            </w:r>
          </w:p>
        </w:tc>
        <w:tc>
          <w:tcPr>
            <w:tcW w:w="2693" w:type="dxa"/>
            <w:vAlign w:val="center"/>
          </w:tcPr>
          <w:p w14:paraId="08F673FD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5.3</w:t>
            </w:r>
          </w:p>
        </w:tc>
        <w:tc>
          <w:tcPr>
            <w:tcW w:w="2268" w:type="dxa"/>
            <w:vAlign w:val="center"/>
          </w:tcPr>
          <w:p w14:paraId="6D201B8C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42590-2023/4.3</w:t>
            </w:r>
          </w:p>
        </w:tc>
      </w:tr>
      <w:tr w:rsidR="002F0227" w14:paraId="44C902C7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71C38990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051" w:type="dxa"/>
            <w:gridSpan w:val="2"/>
            <w:vAlign w:val="center"/>
          </w:tcPr>
          <w:p w14:paraId="7AF0EAC2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机体结构</w:t>
            </w:r>
          </w:p>
        </w:tc>
        <w:tc>
          <w:tcPr>
            <w:tcW w:w="2693" w:type="dxa"/>
            <w:vAlign w:val="center"/>
          </w:tcPr>
          <w:p w14:paraId="17219674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5.5</w:t>
            </w:r>
          </w:p>
        </w:tc>
        <w:tc>
          <w:tcPr>
            <w:tcW w:w="2268" w:type="dxa"/>
            <w:vAlign w:val="center"/>
          </w:tcPr>
          <w:p w14:paraId="3CA0DFE9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42590-2023/4.5</w:t>
            </w:r>
          </w:p>
        </w:tc>
      </w:tr>
      <w:tr w:rsidR="002F0227" w14:paraId="0BAAA1AC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709B97C7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051" w:type="dxa"/>
            <w:gridSpan w:val="2"/>
            <w:vAlign w:val="center"/>
          </w:tcPr>
          <w:p w14:paraId="23D4722D" w14:textId="77777777" w:rsidR="002F0227" w:rsidRDefault="0000000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整机跌落</w:t>
            </w:r>
          </w:p>
        </w:tc>
        <w:tc>
          <w:tcPr>
            <w:tcW w:w="2693" w:type="dxa"/>
            <w:vAlign w:val="center"/>
          </w:tcPr>
          <w:p w14:paraId="0DC268C0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5.6</w:t>
            </w:r>
          </w:p>
        </w:tc>
        <w:tc>
          <w:tcPr>
            <w:tcW w:w="2268" w:type="dxa"/>
            <w:vAlign w:val="center"/>
          </w:tcPr>
          <w:p w14:paraId="21349960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4.6</w:t>
            </w:r>
          </w:p>
        </w:tc>
      </w:tr>
      <w:tr w:rsidR="002F0227" w14:paraId="0E1ABAF9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1667C03E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3051" w:type="dxa"/>
            <w:gridSpan w:val="2"/>
            <w:vAlign w:val="center"/>
          </w:tcPr>
          <w:p w14:paraId="38CBEB35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防差错</w:t>
            </w:r>
          </w:p>
        </w:tc>
        <w:tc>
          <w:tcPr>
            <w:tcW w:w="2693" w:type="dxa"/>
            <w:vAlign w:val="center"/>
          </w:tcPr>
          <w:p w14:paraId="5C50CB41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5.9</w:t>
            </w:r>
          </w:p>
        </w:tc>
        <w:tc>
          <w:tcPr>
            <w:tcW w:w="2268" w:type="dxa"/>
            <w:vAlign w:val="center"/>
          </w:tcPr>
          <w:p w14:paraId="023C7DB4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42590-2023/4.9</w:t>
            </w:r>
          </w:p>
        </w:tc>
      </w:tr>
      <w:tr w:rsidR="002F0227" w14:paraId="420C288C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61C94A63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3051" w:type="dxa"/>
            <w:gridSpan w:val="2"/>
            <w:vAlign w:val="center"/>
          </w:tcPr>
          <w:p w14:paraId="23A0A444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感知和避让</w:t>
            </w:r>
          </w:p>
        </w:tc>
        <w:tc>
          <w:tcPr>
            <w:tcW w:w="2693" w:type="dxa"/>
            <w:vAlign w:val="center"/>
          </w:tcPr>
          <w:p w14:paraId="3F738AC2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5.10</w:t>
            </w:r>
          </w:p>
        </w:tc>
        <w:tc>
          <w:tcPr>
            <w:tcW w:w="2268" w:type="dxa"/>
            <w:vAlign w:val="center"/>
          </w:tcPr>
          <w:p w14:paraId="3E60E36F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42590-2023/4.10</w:t>
            </w:r>
          </w:p>
        </w:tc>
      </w:tr>
      <w:tr w:rsidR="002F0227" w14:paraId="6869668D" w14:textId="77777777">
        <w:trPr>
          <w:trHeight w:val="397"/>
          <w:jc w:val="center"/>
        </w:trPr>
        <w:tc>
          <w:tcPr>
            <w:tcW w:w="688" w:type="dxa"/>
            <w:vMerge w:val="restart"/>
            <w:vAlign w:val="center"/>
          </w:tcPr>
          <w:p w14:paraId="7FF1287E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311" w:type="dxa"/>
            <w:vMerge w:val="restart"/>
            <w:vAlign w:val="center"/>
          </w:tcPr>
          <w:p w14:paraId="14D3145F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电磁兼容性</w:t>
            </w:r>
          </w:p>
        </w:tc>
        <w:tc>
          <w:tcPr>
            <w:tcW w:w="1740" w:type="dxa"/>
            <w:vAlign w:val="center"/>
          </w:tcPr>
          <w:p w14:paraId="7C25D899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辐射发射</w:t>
            </w:r>
          </w:p>
        </w:tc>
        <w:tc>
          <w:tcPr>
            <w:tcW w:w="2693" w:type="dxa"/>
            <w:vAlign w:val="center"/>
          </w:tcPr>
          <w:p w14:paraId="533F45A6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/T 38909-2020</w:t>
            </w: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5.1</w:t>
            </w:r>
          </w:p>
        </w:tc>
        <w:tc>
          <w:tcPr>
            <w:tcW w:w="2268" w:type="dxa"/>
            <w:vAlign w:val="center"/>
          </w:tcPr>
          <w:p w14:paraId="39D952E4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42590-2023/4.12</w:t>
            </w:r>
          </w:p>
        </w:tc>
      </w:tr>
      <w:tr w:rsidR="002F0227" w14:paraId="2942D839" w14:textId="77777777">
        <w:trPr>
          <w:trHeight w:val="397"/>
          <w:jc w:val="center"/>
        </w:trPr>
        <w:tc>
          <w:tcPr>
            <w:tcW w:w="688" w:type="dxa"/>
            <w:vMerge/>
            <w:vAlign w:val="center"/>
          </w:tcPr>
          <w:p w14:paraId="3AA2CBE2" w14:textId="77777777" w:rsidR="002F0227" w:rsidRDefault="002F0227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14:paraId="4F5F512B" w14:textId="77777777" w:rsidR="002F0227" w:rsidRDefault="002F0227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0411012B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工频磁场</w:t>
            </w:r>
          </w:p>
        </w:tc>
        <w:tc>
          <w:tcPr>
            <w:tcW w:w="2693" w:type="dxa"/>
            <w:vAlign w:val="center"/>
          </w:tcPr>
          <w:p w14:paraId="239F4A87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38909-2020/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6.2</w:t>
            </w:r>
          </w:p>
        </w:tc>
        <w:tc>
          <w:tcPr>
            <w:tcW w:w="2268" w:type="dxa"/>
            <w:vAlign w:val="center"/>
          </w:tcPr>
          <w:p w14:paraId="4E11CDD5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42590-2023/4.12</w:t>
            </w:r>
          </w:p>
        </w:tc>
      </w:tr>
      <w:tr w:rsidR="002F0227" w14:paraId="1A853497" w14:textId="77777777">
        <w:trPr>
          <w:trHeight w:val="397"/>
          <w:jc w:val="center"/>
        </w:trPr>
        <w:tc>
          <w:tcPr>
            <w:tcW w:w="688" w:type="dxa"/>
            <w:vMerge/>
            <w:vAlign w:val="center"/>
          </w:tcPr>
          <w:p w14:paraId="5AAD64E2" w14:textId="77777777" w:rsidR="002F0227" w:rsidRDefault="002F0227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14:paraId="44F375CD" w14:textId="77777777" w:rsidR="002F0227" w:rsidRDefault="002F0227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459C537E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射频电磁场辐射</w:t>
            </w:r>
          </w:p>
        </w:tc>
        <w:tc>
          <w:tcPr>
            <w:tcW w:w="2693" w:type="dxa"/>
            <w:vAlign w:val="center"/>
          </w:tcPr>
          <w:p w14:paraId="2D2FA338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38909-2020/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6.3</w:t>
            </w:r>
          </w:p>
        </w:tc>
        <w:tc>
          <w:tcPr>
            <w:tcW w:w="2268" w:type="dxa"/>
            <w:vAlign w:val="center"/>
          </w:tcPr>
          <w:p w14:paraId="6733A825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42590-2023/4.12</w:t>
            </w:r>
          </w:p>
        </w:tc>
      </w:tr>
      <w:tr w:rsidR="002F0227" w14:paraId="6EF085C0" w14:textId="77777777">
        <w:trPr>
          <w:trHeight w:val="397"/>
          <w:jc w:val="center"/>
        </w:trPr>
        <w:tc>
          <w:tcPr>
            <w:tcW w:w="688" w:type="dxa"/>
            <w:vMerge/>
            <w:vAlign w:val="center"/>
          </w:tcPr>
          <w:p w14:paraId="34177094" w14:textId="77777777" w:rsidR="002F0227" w:rsidRDefault="002F0227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14:paraId="595194AC" w14:textId="77777777" w:rsidR="002F0227" w:rsidRDefault="002F0227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83177FB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静电放电</w:t>
            </w:r>
          </w:p>
        </w:tc>
        <w:tc>
          <w:tcPr>
            <w:tcW w:w="2693" w:type="dxa"/>
            <w:vAlign w:val="center"/>
          </w:tcPr>
          <w:p w14:paraId="4936467F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38909-2020/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6.4</w:t>
            </w:r>
          </w:p>
        </w:tc>
        <w:tc>
          <w:tcPr>
            <w:tcW w:w="2268" w:type="dxa"/>
            <w:vAlign w:val="center"/>
          </w:tcPr>
          <w:p w14:paraId="4D39089D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42590-2023/4.12</w:t>
            </w:r>
          </w:p>
        </w:tc>
      </w:tr>
      <w:tr w:rsidR="002F0227" w14:paraId="0DAE813C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2DD116C4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3051" w:type="dxa"/>
            <w:gridSpan w:val="2"/>
            <w:vAlign w:val="center"/>
          </w:tcPr>
          <w:p w14:paraId="48D70064" w14:textId="273BCD1E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噪声</w:t>
            </w:r>
          </w:p>
        </w:tc>
        <w:tc>
          <w:tcPr>
            <w:tcW w:w="2693" w:type="dxa"/>
            <w:vAlign w:val="center"/>
          </w:tcPr>
          <w:p w14:paraId="4CC59454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5.14</w:t>
            </w:r>
          </w:p>
        </w:tc>
        <w:tc>
          <w:tcPr>
            <w:tcW w:w="2268" w:type="dxa"/>
            <w:vAlign w:val="center"/>
          </w:tcPr>
          <w:p w14:paraId="21470F06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42590-2023/4.14</w:t>
            </w:r>
          </w:p>
        </w:tc>
      </w:tr>
      <w:tr w:rsidR="002F0227" w14:paraId="5D08C4D6" w14:textId="77777777">
        <w:trPr>
          <w:trHeight w:val="397"/>
          <w:jc w:val="center"/>
        </w:trPr>
        <w:tc>
          <w:tcPr>
            <w:tcW w:w="688" w:type="dxa"/>
            <w:vAlign w:val="center"/>
          </w:tcPr>
          <w:p w14:paraId="40C0464D" w14:textId="77777777" w:rsidR="002F0227" w:rsidRDefault="0000000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3051" w:type="dxa"/>
            <w:gridSpan w:val="2"/>
            <w:vAlign w:val="center"/>
          </w:tcPr>
          <w:p w14:paraId="0A983750" w14:textId="77777777" w:rsidR="002F0227" w:rsidRDefault="00000000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灯光</w:t>
            </w:r>
          </w:p>
        </w:tc>
        <w:tc>
          <w:tcPr>
            <w:tcW w:w="2693" w:type="dxa"/>
            <w:vAlign w:val="center"/>
          </w:tcPr>
          <w:p w14:paraId="5314C81B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42590-2023/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5.15</w:t>
            </w:r>
          </w:p>
        </w:tc>
        <w:tc>
          <w:tcPr>
            <w:tcW w:w="2268" w:type="dxa"/>
            <w:vAlign w:val="center"/>
          </w:tcPr>
          <w:p w14:paraId="7A2D3AA8" w14:textId="77777777" w:rsidR="002F0227" w:rsidRDefault="00000000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42590-2023/4.15</w:t>
            </w:r>
          </w:p>
        </w:tc>
      </w:tr>
    </w:tbl>
    <w:p w14:paraId="0AA4DDC2" w14:textId="77777777" w:rsidR="002F0227" w:rsidRDefault="002F0227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3C238D1F" w14:textId="77777777" w:rsidR="002F0227" w:rsidRDefault="0000000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562BC8AF" w14:textId="77777777" w:rsidR="002F022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3E0A8999" w14:textId="77777777" w:rsidR="002F022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2D7B1AE6" w14:textId="77777777" w:rsidR="002F022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49A407A7" w14:textId="77777777" w:rsidR="002F022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2512BBA1" w14:textId="77777777" w:rsidR="002F0227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lastRenderedPageBreak/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5310A69D" w14:textId="77777777" w:rsidR="002F0227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2F0227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3EE6D" w14:textId="77777777" w:rsidR="000454C0" w:rsidRDefault="000454C0">
      <w:r>
        <w:separator/>
      </w:r>
    </w:p>
  </w:endnote>
  <w:endnote w:type="continuationSeparator" w:id="0">
    <w:p w14:paraId="075B1312" w14:textId="77777777" w:rsidR="000454C0" w:rsidRDefault="0004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46F3C" w14:textId="77777777" w:rsidR="002F0227" w:rsidRDefault="0000000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068435B2" w14:textId="77777777" w:rsidR="002F0227" w:rsidRDefault="002F022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1396F" w14:textId="77777777" w:rsidR="002F0227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A828BD2" w14:textId="77777777" w:rsidR="002F0227" w:rsidRDefault="002F022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7A242" w14:textId="77777777" w:rsidR="000454C0" w:rsidRDefault="000454C0">
      <w:r>
        <w:separator/>
      </w:r>
    </w:p>
  </w:footnote>
  <w:footnote w:type="continuationSeparator" w:id="0">
    <w:p w14:paraId="3AD91971" w14:textId="77777777" w:rsidR="000454C0" w:rsidRDefault="00045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3293" w14:textId="77777777" w:rsidR="002F0227" w:rsidRDefault="002F022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454C0"/>
    <w:rsid w:val="00052216"/>
    <w:rsid w:val="00074373"/>
    <w:rsid w:val="000827A6"/>
    <w:rsid w:val="000B016E"/>
    <w:rsid w:val="000B2D0E"/>
    <w:rsid w:val="000C5FB2"/>
    <w:rsid w:val="00100AE3"/>
    <w:rsid w:val="0012133A"/>
    <w:rsid w:val="00194156"/>
    <w:rsid w:val="001A1209"/>
    <w:rsid w:val="001C5571"/>
    <w:rsid w:val="001C5A21"/>
    <w:rsid w:val="00220AA4"/>
    <w:rsid w:val="00267541"/>
    <w:rsid w:val="00272E20"/>
    <w:rsid w:val="00287C7A"/>
    <w:rsid w:val="00293CB9"/>
    <w:rsid w:val="002B5BAA"/>
    <w:rsid w:val="002F0227"/>
    <w:rsid w:val="00415E60"/>
    <w:rsid w:val="00456B4C"/>
    <w:rsid w:val="004717DF"/>
    <w:rsid w:val="004754B8"/>
    <w:rsid w:val="004D3B26"/>
    <w:rsid w:val="00522A8A"/>
    <w:rsid w:val="00532B56"/>
    <w:rsid w:val="00545330"/>
    <w:rsid w:val="00564B1A"/>
    <w:rsid w:val="005A2621"/>
    <w:rsid w:val="00634372"/>
    <w:rsid w:val="0063461D"/>
    <w:rsid w:val="00640C75"/>
    <w:rsid w:val="006750A3"/>
    <w:rsid w:val="006974A4"/>
    <w:rsid w:val="006F32EF"/>
    <w:rsid w:val="00730C62"/>
    <w:rsid w:val="007869C0"/>
    <w:rsid w:val="007B2AF8"/>
    <w:rsid w:val="008914CE"/>
    <w:rsid w:val="008E3D93"/>
    <w:rsid w:val="00910B46"/>
    <w:rsid w:val="00912469"/>
    <w:rsid w:val="0093348D"/>
    <w:rsid w:val="00974D55"/>
    <w:rsid w:val="009C6B0B"/>
    <w:rsid w:val="00A03687"/>
    <w:rsid w:val="00A27EDD"/>
    <w:rsid w:val="00A656CB"/>
    <w:rsid w:val="00AB0483"/>
    <w:rsid w:val="00AC0658"/>
    <w:rsid w:val="00AD738C"/>
    <w:rsid w:val="00AF107E"/>
    <w:rsid w:val="00B02F37"/>
    <w:rsid w:val="00B04FC5"/>
    <w:rsid w:val="00B34786"/>
    <w:rsid w:val="00B525EF"/>
    <w:rsid w:val="00B71D10"/>
    <w:rsid w:val="00B774D5"/>
    <w:rsid w:val="00B92A2B"/>
    <w:rsid w:val="00BA29C1"/>
    <w:rsid w:val="00C11DBA"/>
    <w:rsid w:val="00C31EC4"/>
    <w:rsid w:val="00C53409"/>
    <w:rsid w:val="00C662F1"/>
    <w:rsid w:val="00C816E4"/>
    <w:rsid w:val="00CA2770"/>
    <w:rsid w:val="00CC080F"/>
    <w:rsid w:val="00CF096B"/>
    <w:rsid w:val="00D051E7"/>
    <w:rsid w:val="00D34521"/>
    <w:rsid w:val="00D913BE"/>
    <w:rsid w:val="00DA74D8"/>
    <w:rsid w:val="00DE2355"/>
    <w:rsid w:val="00DF488E"/>
    <w:rsid w:val="00E0159C"/>
    <w:rsid w:val="00E83416"/>
    <w:rsid w:val="00EC15CB"/>
    <w:rsid w:val="00F01A84"/>
    <w:rsid w:val="00F1679A"/>
    <w:rsid w:val="00F332CA"/>
    <w:rsid w:val="00F40185"/>
    <w:rsid w:val="00F40C26"/>
    <w:rsid w:val="00F41103"/>
    <w:rsid w:val="00F57ACD"/>
    <w:rsid w:val="00FA7B07"/>
    <w:rsid w:val="00FB19BD"/>
    <w:rsid w:val="00FD6133"/>
    <w:rsid w:val="00FD7E13"/>
    <w:rsid w:val="00FE35E9"/>
    <w:rsid w:val="00FF2C48"/>
    <w:rsid w:val="3D101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28C6CD"/>
  <w15:docId w15:val="{7B5AF96A-7BE6-4258-9B92-E37BE5EE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unhideWhenUsed/>
    <w:rsid w:val="00C816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5BA2E-8194-464F-A2BC-A73AD7BF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810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17</cp:revision>
  <cp:lastPrinted>2019-12-05T15:53:00Z</cp:lastPrinted>
  <dcterms:created xsi:type="dcterms:W3CDTF">2023-12-20T03:43:00Z</dcterms:created>
  <dcterms:modified xsi:type="dcterms:W3CDTF">2025-01-13T08:23:00Z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eyJoZGlkIjoiYWUyYjY0MDJkMmU4NTgxNDQwZGU0ZGRlNGRkNWQzMDciLCJ1c2VySWQiOiI0Mjc5MjgwMjMifQ==</vt:lpwstr>
  </property>
  <property fmtid="{D5CDD505-2E9C-101B-9397-08002B2CF9AE}" pid="4" name="ICV">
    <vt:lpwstr>00A87C721FCC4CB59A8D83C2C90291EF_12</vt:lpwstr>
  </property>
</Properties>
</file>