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60" w:lineRule="auto"/>
        <w:jc w:val="right"/>
        <w:rPr>
          <w:rFonts w:ascii="仿宋_GB2312" w:hAnsi="Calibri" w:eastAsia="仿宋_GB2312" w:cs="Calibri"/>
          <w:color w:val="000000" w:themeColor="text1"/>
          <w:sz w:val="28"/>
          <w:szCs w:val="28"/>
        </w:rPr>
      </w:pPr>
      <w:r>
        <w:rPr>
          <w:rFonts w:hint="eastAsia" w:ascii="仿宋_GB2312" w:hAnsi="Calibri" w:eastAsia="仿宋_GB2312" w:cs="Calibri"/>
          <w:color w:val="000000" w:themeColor="text1"/>
          <w:sz w:val="28"/>
          <w:szCs w:val="28"/>
        </w:rPr>
        <w:t>编号：</w:t>
      </w:r>
      <w:r>
        <w:rPr>
          <w:rFonts w:ascii="仿宋_GB2312" w:hAnsi="Calibri" w:eastAsia="仿宋_GB2312" w:cs="Calibri"/>
          <w:color w:val="000000" w:themeColor="text1"/>
          <w:sz w:val="28"/>
          <w:szCs w:val="28"/>
        </w:rPr>
        <w:t>SHSSXZ0055-2025</w:t>
      </w:r>
    </w:p>
    <w:p>
      <w:pPr>
        <w:snapToGrid w:val="0"/>
        <w:spacing w:line="360" w:lineRule="auto"/>
        <w:jc w:val="center"/>
        <w:rPr>
          <w:rFonts w:ascii="黑体" w:hAnsi="黑体" w:eastAsia="黑体" w:cs="Calibri"/>
          <w:color w:val="000000" w:themeColor="text1"/>
          <w:sz w:val="32"/>
          <w:szCs w:val="32"/>
        </w:rPr>
      </w:pPr>
      <w:r>
        <w:rPr>
          <w:rFonts w:hint="eastAsia" w:ascii="黑体" w:hAnsi="黑体" w:eastAsia="黑体" w:cs="Calibri"/>
          <w:color w:val="000000" w:themeColor="text1"/>
          <w:sz w:val="32"/>
          <w:szCs w:val="32"/>
        </w:rPr>
        <w:t>上海市产品质量监督抽查实施细则</w:t>
      </w:r>
    </w:p>
    <w:p>
      <w:pPr>
        <w:snapToGrid w:val="0"/>
        <w:spacing w:line="360" w:lineRule="auto"/>
        <w:jc w:val="center"/>
        <w:rPr>
          <w:rFonts w:ascii="楷体" w:hAnsi="楷体" w:eastAsia="楷体" w:cs="微软雅黑"/>
          <w:color w:val="000000" w:themeColor="text1"/>
          <w:sz w:val="32"/>
          <w:szCs w:val="32"/>
        </w:rPr>
      </w:pPr>
      <w:r>
        <w:rPr>
          <w:rFonts w:ascii="楷体" w:hAnsi="楷体" w:eastAsia="楷体" w:cs="微软雅黑"/>
          <w:color w:val="000000" w:themeColor="text1"/>
          <w:sz w:val="32"/>
          <w:szCs w:val="32"/>
        </w:rPr>
        <w:t>电饭锅（</w:t>
      </w:r>
      <w:r>
        <w:rPr>
          <w:rFonts w:hint="eastAsia" w:ascii="楷体" w:hAnsi="楷体" w:eastAsia="楷体" w:cs="微软雅黑"/>
          <w:color w:val="000000" w:themeColor="text1"/>
          <w:sz w:val="32"/>
          <w:szCs w:val="32"/>
        </w:rPr>
        <w:t>含</w:t>
      </w:r>
      <w:r>
        <w:rPr>
          <w:rFonts w:ascii="楷体" w:hAnsi="楷体" w:eastAsia="楷体" w:cs="微软雅黑"/>
          <w:color w:val="000000" w:themeColor="text1"/>
          <w:sz w:val="32"/>
          <w:szCs w:val="32"/>
        </w:rPr>
        <w:t>电压力锅）</w:t>
      </w:r>
      <w:r>
        <w:rPr>
          <w:rFonts w:hint="eastAsia" w:ascii="楷体" w:hAnsi="楷体" w:eastAsia="楷体" w:cs="微软雅黑"/>
          <w:color w:val="000000" w:themeColor="text1"/>
          <w:sz w:val="32"/>
          <w:szCs w:val="32"/>
        </w:rPr>
        <w:t>产品</w:t>
      </w:r>
    </w:p>
    <w:p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黑体" w:hAnsi="宋体" w:eastAsia="黑体"/>
          <w:color w:val="000000" w:themeColor="text1"/>
          <w:sz w:val="24"/>
          <w:szCs w:val="21"/>
        </w:rPr>
        <w:t xml:space="preserve">1 </w:t>
      </w:r>
      <w:r>
        <w:rPr>
          <w:rFonts w:hint="eastAsia" w:ascii="黑体" w:hAnsi="宋体" w:eastAsia="黑体"/>
          <w:color w:val="000000" w:themeColor="text1"/>
          <w:sz w:val="24"/>
          <w:szCs w:val="21"/>
        </w:rPr>
        <w:t>抽样方法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color w:val="000000" w:themeColor="text1"/>
          <w:sz w:val="24"/>
          <w:szCs w:val="21"/>
        </w:rPr>
      </w:pPr>
      <w:r>
        <w:rPr>
          <w:rFonts w:hint="eastAsia" w:ascii="宋体" w:hAnsi="宋体" w:cs="Calibri"/>
          <w:color w:val="000000" w:themeColor="text1"/>
          <w:sz w:val="24"/>
          <w:szCs w:val="21"/>
        </w:rPr>
        <w:t>以随机方式在被抽样生产者、销售者的待销产品中抽取样品。</w:t>
      </w:r>
    </w:p>
    <w:p>
      <w:pPr>
        <w:snapToGrid w:val="0"/>
        <w:spacing w:line="440" w:lineRule="exact"/>
        <w:ind w:firstLine="480" w:firstLineChars="200"/>
        <w:rPr>
          <w:rFonts w:ascii="宋体" w:hAnsi="宋体"/>
          <w:color w:val="000000" w:themeColor="text1"/>
          <w:sz w:val="24"/>
          <w:szCs w:val="21"/>
        </w:rPr>
      </w:pPr>
      <w:r>
        <w:rPr>
          <w:rFonts w:hint="eastAsia" w:ascii="宋体" w:hAnsi="宋体"/>
          <w:color w:val="000000" w:themeColor="text1"/>
          <w:sz w:val="24"/>
          <w:szCs w:val="21"/>
        </w:rPr>
        <w:t>每批次样品抽取</w:t>
      </w:r>
      <w:r>
        <w:rPr>
          <w:rFonts w:ascii="宋体" w:hAnsi="宋体"/>
          <w:color w:val="000000" w:themeColor="text1"/>
          <w:sz w:val="24"/>
          <w:szCs w:val="21"/>
        </w:rPr>
        <w:t>2</w:t>
      </w:r>
      <w:r>
        <w:rPr>
          <w:rFonts w:hint="eastAsia" w:ascii="宋体" w:hAnsi="宋体"/>
          <w:color w:val="000000" w:themeColor="text1"/>
          <w:sz w:val="24"/>
          <w:szCs w:val="21"/>
        </w:rPr>
        <w:t>台，其中</w:t>
      </w:r>
      <w:r>
        <w:rPr>
          <w:rFonts w:ascii="宋体" w:hAnsi="宋体"/>
          <w:color w:val="000000" w:themeColor="text1"/>
          <w:sz w:val="24"/>
          <w:szCs w:val="21"/>
        </w:rPr>
        <w:t>1</w:t>
      </w:r>
      <w:r>
        <w:rPr>
          <w:rFonts w:hint="eastAsia" w:ascii="宋体" w:hAnsi="宋体"/>
          <w:color w:val="000000" w:themeColor="text1"/>
          <w:sz w:val="24"/>
          <w:szCs w:val="21"/>
        </w:rPr>
        <w:t>台作为检验样品，</w:t>
      </w:r>
      <w:r>
        <w:rPr>
          <w:rFonts w:ascii="宋体" w:hAnsi="宋体"/>
          <w:color w:val="000000" w:themeColor="text1"/>
          <w:sz w:val="24"/>
          <w:szCs w:val="21"/>
        </w:rPr>
        <w:t>1</w:t>
      </w:r>
      <w:r>
        <w:rPr>
          <w:rFonts w:hint="eastAsia" w:ascii="宋体" w:hAnsi="宋体"/>
          <w:color w:val="000000" w:themeColor="text1"/>
          <w:sz w:val="24"/>
          <w:szCs w:val="21"/>
        </w:rPr>
        <w:t>台作为备用样品。</w:t>
      </w:r>
    </w:p>
    <w:p>
      <w:pPr>
        <w:spacing w:line="460" w:lineRule="exact"/>
        <w:rPr>
          <w:rFonts w:ascii="黑体" w:hAnsi="黑体" w:eastAsia="黑体" w:cs="Calibri"/>
          <w:color w:val="000000" w:themeColor="text1"/>
          <w:sz w:val="24"/>
          <w:szCs w:val="21"/>
        </w:rPr>
      </w:pPr>
      <w:r>
        <w:rPr>
          <w:rFonts w:ascii="黑体" w:hAnsi="黑体" w:eastAsia="黑体" w:cs="Calibri"/>
          <w:color w:val="000000" w:themeColor="text1"/>
          <w:sz w:val="24"/>
          <w:szCs w:val="21"/>
        </w:rPr>
        <w:t xml:space="preserve">2 </w:t>
      </w:r>
      <w:r>
        <w:rPr>
          <w:rFonts w:hint="eastAsia" w:ascii="黑体" w:hAnsi="黑体" w:eastAsia="黑体" w:cs="Calibri"/>
          <w:color w:val="000000" w:themeColor="text1"/>
          <w:sz w:val="24"/>
          <w:szCs w:val="21"/>
        </w:rPr>
        <w:t>检验项目和依据</w:t>
      </w:r>
    </w:p>
    <w:p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hint="eastAsia" w:ascii="宋体" w:hAnsi="宋体"/>
          <w:color w:val="000000" w:themeColor="text1"/>
          <w:sz w:val="24"/>
          <w:szCs w:val="21"/>
        </w:rPr>
        <w:t>表</w:t>
      </w:r>
      <w:r>
        <w:rPr>
          <w:rFonts w:ascii="宋体" w:hAnsi="宋体"/>
          <w:color w:val="000000" w:themeColor="text1"/>
          <w:sz w:val="24"/>
          <w:szCs w:val="21"/>
        </w:rPr>
        <w:t>1 电饭锅（</w:t>
      </w:r>
      <w:r>
        <w:rPr>
          <w:rFonts w:hint="eastAsia" w:ascii="宋体" w:hAnsi="宋体"/>
          <w:color w:val="000000" w:themeColor="text1"/>
          <w:sz w:val="24"/>
          <w:szCs w:val="21"/>
        </w:rPr>
        <w:t>含</w:t>
      </w:r>
      <w:r>
        <w:rPr>
          <w:rFonts w:ascii="宋体" w:hAnsi="宋体"/>
          <w:color w:val="000000" w:themeColor="text1"/>
          <w:sz w:val="24"/>
          <w:szCs w:val="21"/>
        </w:rPr>
        <w:t>电压力锅）</w:t>
      </w:r>
      <w:r>
        <w:rPr>
          <w:rFonts w:hint="eastAsia" w:ascii="宋体" w:hAnsi="宋体"/>
          <w:color w:val="000000" w:themeColor="text1"/>
          <w:sz w:val="24"/>
          <w:szCs w:val="21"/>
        </w:rPr>
        <w:t>产品检验项目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2752"/>
        <w:gridCol w:w="2598"/>
        <w:gridCol w:w="3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417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500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验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41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检验方法</w:t>
            </w:r>
          </w:p>
        </w:tc>
        <w:tc>
          <w:tcPr>
            <w:tcW w:w="1667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1500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标志和说明</w:t>
            </w:r>
          </w:p>
        </w:tc>
        <w:tc>
          <w:tcPr>
            <w:tcW w:w="141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4706.1-2005/7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4706.19-2008/7 </w:t>
            </w:r>
          </w:p>
        </w:tc>
        <w:tc>
          <w:tcPr>
            <w:tcW w:w="166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4706.1-2005/7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500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对触及带电部件的防护</w:t>
            </w:r>
          </w:p>
        </w:tc>
        <w:tc>
          <w:tcPr>
            <w:tcW w:w="141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4706.1-2005/8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4706.19-2008/8 </w:t>
            </w:r>
          </w:p>
        </w:tc>
        <w:tc>
          <w:tcPr>
            <w:tcW w:w="166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4706.1-2005/8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500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输入功率和电流</w:t>
            </w:r>
          </w:p>
        </w:tc>
        <w:tc>
          <w:tcPr>
            <w:tcW w:w="141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4706.1-2005/10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4706.19-2008/10 </w:t>
            </w:r>
          </w:p>
        </w:tc>
        <w:tc>
          <w:tcPr>
            <w:tcW w:w="166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4706.1-2005/10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500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发热</w:t>
            </w:r>
          </w:p>
        </w:tc>
        <w:tc>
          <w:tcPr>
            <w:tcW w:w="141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4706.1-2005/11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4706.19-2008/11 </w:t>
            </w:r>
          </w:p>
        </w:tc>
        <w:tc>
          <w:tcPr>
            <w:tcW w:w="166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4706.1-2005/11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500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工作温度下的泄漏电流和电气强度</w:t>
            </w:r>
          </w:p>
        </w:tc>
        <w:tc>
          <w:tcPr>
            <w:tcW w:w="141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4706.1-2005/13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4706.19-2008/13 </w:t>
            </w:r>
          </w:p>
        </w:tc>
        <w:tc>
          <w:tcPr>
            <w:tcW w:w="166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4706.1-2005/13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500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耐潮湿</w:t>
            </w:r>
          </w:p>
        </w:tc>
        <w:tc>
          <w:tcPr>
            <w:tcW w:w="141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4706.1-2005/15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4706.19-2008/15 </w:t>
            </w:r>
          </w:p>
        </w:tc>
        <w:tc>
          <w:tcPr>
            <w:tcW w:w="166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4706.1-2005/15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500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泄漏电流和电气强度</w:t>
            </w:r>
          </w:p>
        </w:tc>
        <w:tc>
          <w:tcPr>
            <w:tcW w:w="141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4706.1-2005/16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4706.19-2008/16 </w:t>
            </w:r>
          </w:p>
        </w:tc>
        <w:tc>
          <w:tcPr>
            <w:tcW w:w="166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4706.1-2005/16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1500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非正常工作（不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测</w:t>
            </w:r>
            <w:r>
              <w:rPr>
                <w:color w:val="000000" w:themeColor="text1"/>
                <w:sz w:val="21"/>
                <w:szCs w:val="21"/>
              </w:rPr>
              <w:t>19.11.4）</w:t>
            </w:r>
          </w:p>
        </w:tc>
        <w:tc>
          <w:tcPr>
            <w:tcW w:w="141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4706.1-2005/19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4706.19-2008/19 </w:t>
            </w:r>
          </w:p>
        </w:tc>
        <w:tc>
          <w:tcPr>
            <w:tcW w:w="166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4706.1-2005/19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9</w:t>
            </w:r>
          </w:p>
        </w:tc>
        <w:tc>
          <w:tcPr>
            <w:tcW w:w="1500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稳定性和机械危险</w:t>
            </w:r>
          </w:p>
        </w:tc>
        <w:tc>
          <w:tcPr>
            <w:tcW w:w="141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4706.1-2005/20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4706.19-2008/20 </w:t>
            </w:r>
          </w:p>
        </w:tc>
        <w:tc>
          <w:tcPr>
            <w:tcW w:w="166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4706.1-2005/20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</w:t>
            </w:r>
          </w:p>
        </w:tc>
        <w:tc>
          <w:tcPr>
            <w:tcW w:w="1500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机械强度</w:t>
            </w:r>
          </w:p>
        </w:tc>
        <w:tc>
          <w:tcPr>
            <w:tcW w:w="141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4706.1-2005/21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4706.19-2008/21 </w:t>
            </w:r>
          </w:p>
        </w:tc>
        <w:tc>
          <w:tcPr>
            <w:tcW w:w="166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4706.1-2005/21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1500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结构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(不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测</w:t>
            </w:r>
            <w:r>
              <w:rPr>
                <w:color w:val="000000" w:themeColor="text1"/>
                <w:sz w:val="21"/>
                <w:szCs w:val="21"/>
              </w:rPr>
              <w:t>22.46)</w:t>
            </w:r>
          </w:p>
        </w:tc>
        <w:tc>
          <w:tcPr>
            <w:tcW w:w="141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4706.1-2005/22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4706.19-2008/22 </w:t>
            </w:r>
          </w:p>
        </w:tc>
        <w:tc>
          <w:tcPr>
            <w:tcW w:w="166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4706.1-2005/22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12</w:t>
            </w:r>
          </w:p>
        </w:tc>
        <w:tc>
          <w:tcPr>
            <w:tcW w:w="1500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内部布线</w:t>
            </w:r>
          </w:p>
        </w:tc>
        <w:tc>
          <w:tcPr>
            <w:tcW w:w="141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4706.1-2005/23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4706.19-2008/23 </w:t>
            </w:r>
          </w:p>
        </w:tc>
        <w:tc>
          <w:tcPr>
            <w:tcW w:w="166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4706.1-2005/23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13</w:t>
            </w:r>
          </w:p>
        </w:tc>
        <w:tc>
          <w:tcPr>
            <w:tcW w:w="1500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电源连接和外部软线</w:t>
            </w:r>
          </w:p>
        </w:tc>
        <w:tc>
          <w:tcPr>
            <w:tcW w:w="141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4706.1-2005/25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4706.19-2008/25 </w:t>
            </w:r>
          </w:p>
        </w:tc>
        <w:tc>
          <w:tcPr>
            <w:tcW w:w="166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4706.1-2005/25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14</w:t>
            </w:r>
          </w:p>
        </w:tc>
        <w:tc>
          <w:tcPr>
            <w:tcW w:w="1500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外部导线用接线端子</w:t>
            </w:r>
          </w:p>
        </w:tc>
        <w:tc>
          <w:tcPr>
            <w:tcW w:w="141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4706.1-2005/26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4706.19-2008/26 </w:t>
            </w:r>
          </w:p>
        </w:tc>
        <w:tc>
          <w:tcPr>
            <w:tcW w:w="166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4706.1-2005/26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15</w:t>
            </w:r>
          </w:p>
        </w:tc>
        <w:tc>
          <w:tcPr>
            <w:tcW w:w="1500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接地措施</w:t>
            </w:r>
          </w:p>
        </w:tc>
        <w:tc>
          <w:tcPr>
            <w:tcW w:w="141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4706.1-2005/27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4706.19-2008/27 </w:t>
            </w:r>
          </w:p>
        </w:tc>
        <w:tc>
          <w:tcPr>
            <w:tcW w:w="166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4706.1-2005/27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16</w:t>
            </w:r>
          </w:p>
        </w:tc>
        <w:tc>
          <w:tcPr>
            <w:tcW w:w="1500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螺钉和连接</w:t>
            </w:r>
          </w:p>
        </w:tc>
        <w:tc>
          <w:tcPr>
            <w:tcW w:w="141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4706.1-2005/28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4706.19-2008/28 </w:t>
            </w:r>
          </w:p>
        </w:tc>
        <w:tc>
          <w:tcPr>
            <w:tcW w:w="166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4706.1-2005/28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17</w:t>
            </w:r>
          </w:p>
        </w:tc>
        <w:tc>
          <w:tcPr>
            <w:tcW w:w="1500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电气间隙、爬电距离和固体绝缘</w:t>
            </w:r>
          </w:p>
        </w:tc>
        <w:tc>
          <w:tcPr>
            <w:tcW w:w="141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4706.1-2005/29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4706.19-2008/29 </w:t>
            </w:r>
          </w:p>
        </w:tc>
        <w:tc>
          <w:tcPr>
            <w:tcW w:w="166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4706.1-2005/29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GB 4706</w:t>
            </w:r>
            <w:bookmarkStart w:id="0" w:name="_GoBack"/>
            <w:bookmarkEnd w:id="0"/>
            <w:r>
              <w:rPr>
                <w:color w:val="000000" w:themeColor="text1"/>
                <w:sz w:val="21"/>
                <w:szCs w:val="21"/>
              </w:rPr>
              <w:t xml:space="preserve">.19-2008/29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18</w:t>
            </w:r>
          </w:p>
        </w:tc>
        <w:tc>
          <w:tcPr>
            <w:tcW w:w="1500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耐热和耐燃</w:t>
            </w:r>
          </w:p>
        </w:tc>
        <w:tc>
          <w:tcPr>
            <w:tcW w:w="1416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4706.1-2005/30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4706.19-2008/30 </w:t>
            </w:r>
          </w:p>
        </w:tc>
        <w:tc>
          <w:tcPr>
            <w:tcW w:w="1667" w:type="pct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4706.1-2005/30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4706.19-2008/30 </w:t>
            </w:r>
          </w:p>
        </w:tc>
      </w:tr>
    </w:tbl>
    <w:p>
      <w:pPr>
        <w:spacing w:line="460" w:lineRule="exact"/>
        <w:rPr>
          <w:rFonts w:ascii="黑体" w:hAnsi="黑体" w:eastAsia="黑体" w:cs="Calibri"/>
          <w:color w:val="000000" w:themeColor="text1"/>
          <w:sz w:val="24"/>
        </w:rPr>
      </w:pPr>
    </w:p>
    <w:p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黑体" w:hAnsi="黑体" w:eastAsia="黑体" w:cs="Calibri"/>
          <w:color w:val="000000" w:themeColor="text1"/>
          <w:sz w:val="24"/>
        </w:rPr>
        <w:t>3 检验结果判定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3.1 判定</w:t>
      </w:r>
      <w:r>
        <w:rPr>
          <w:rFonts w:hint="eastAsia" w:ascii="宋体" w:hAnsi="宋体" w:cs="Calibri"/>
          <w:color w:val="000000" w:themeColor="text1"/>
          <w:sz w:val="24"/>
        </w:rPr>
        <w:t>规则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3.1.1 若被</w:t>
      </w:r>
      <w:r>
        <w:rPr>
          <w:rFonts w:hint="eastAsia" w:ascii="宋体" w:hAnsi="宋体" w:cs="Calibri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hint="eastAsia" w:ascii="宋体" w:hAnsi="宋体" w:cs="Calibri"/>
          <w:color w:val="000000" w:themeColor="text1"/>
          <w:sz w:val="24"/>
        </w:rPr>
        <w:t>状况</w:t>
      </w:r>
      <w:r>
        <w:rPr>
          <w:rFonts w:ascii="宋体" w:hAnsi="宋体" w:cs="Calibri"/>
          <w:color w:val="000000" w:themeColor="text1"/>
          <w:sz w:val="24"/>
        </w:rPr>
        <w:t>高于本细则中</w:t>
      </w:r>
      <w:r>
        <w:rPr>
          <w:rFonts w:hint="eastAsia" w:ascii="宋体" w:hAnsi="宋体" w:cs="Calibri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hint="eastAsia" w:ascii="宋体" w:hAnsi="宋体" w:cs="Calibri"/>
          <w:color w:val="000000" w:themeColor="text1"/>
          <w:sz w:val="24"/>
        </w:rPr>
        <w:t>对应的质量</w:t>
      </w:r>
      <w:r>
        <w:rPr>
          <w:rFonts w:ascii="宋体" w:hAnsi="宋体" w:cs="Calibri"/>
          <w:color w:val="000000" w:themeColor="text1"/>
          <w:sz w:val="24"/>
        </w:rPr>
        <w:t>要求时，</w:t>
      </w:r>
      <w:r>
        <w:rPr>
          <w:rFonts w:hint="eastAsia" w:ascii="宋体" w:hAnsi="宋体" w:cs="Calibri"/>
          <w:color w:val="000000" w:themeColor="text1"/>
          <w:sz w:val="24"/>
        </w:rPr>
        <w:t>按照</w:t>
      </w:r>
      <w:r>
        <w:rPr>
          <w:rFonts w:ascii="宋体" w:hAnsi="宋体" w:cs="Calibri"/>
          <w:color w:val="000000" w:themeColor="text1"/>
          <w:sz w:val="24"/>
        </w:rPr>
        <w:t>被</w:t>
      </w:r>
      <w:r>
        <w:rPr>
          <w:rFonts w:hint="eastAsia" w:ascii="宋体" w:hAnsi="宋体" w:cs="Calibri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3.1.2 若被</w:t>
      </w:r>
      <w:r>
        <w:rPr>
          <w:rFonts w:hint="eastAsia" w:ascii="宋体" w:hAnsi="宋体" w:cs="Calibri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hint="eastAsia" w:ascii="宋体" w:hAnsi="宋体" w:cs="Calibri"/>
          <w:color w:val="000000" w:themeColor="text1"/>
          <w:sz w:val="24"/>
        </w:rPr>
        <w:t>状况缺少、低于或包含</w:t>
      </w:r>
      <w:r>
        <w:rPr>
          <w:rFonts w:ascii="宋体" w:hAnsi="宋体" w:cs="Calibri"/>
          <w:color w:val="000000" w:themeColor="text1"/>
          <w:sz w:val="24"/>
        </w:rPr>
        <w:t>本细则中</w:t>
      </w:r>
      <w:r>
        <w:rPr>
          <w:rFonts w:hint="eastAsia" w:ascii="宋体" w:hAnsi="宋体" w:cs="Calibri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hint="eastAsia" w:ascii="宋体" w:hAnsi="宋体" w:cs="Calibri"/>
          <w:color w:val="000000" w:themeColor="text1"/>
          <w:sz w:val="24"/>
        </w:rPr>
        <w:t>对应</w:t>
      </w:r>
      <w:r>
        <w:rPr>
          <w:rFonts w:ascii="宋体" w:hAnsi="宋体" w:cs="Calibri"/>
          <w:color w:val="000000" w:themeColor="text1"/>
          <w:sz w:val="24"/>
        </w:rPr>
        <w:t>的强制性</w:t>
      </w:r>
      <w:r>
        <w:rPr>
          <w:rFonts w:hint="eastAsia" w:ascii="宋体" w:hAnsi="宋体" w:cs="Calibri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要求时，按照强制性</w:t>
      </w:r>
      <w:r>
        <w:rPr>
          <w:rFonts w:hint="eastAsia" w:ascii="宋体" w:hAnsi="宋体" w:cs="Calibri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要求判定。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3.2 结果判定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 xml:space="preserve">3.2.1 </w:t>
      </w:r>
      <w:r>
        <w:rPr>
          <w:rFonts w:hint="eastAsia" w:ascii="宋体" w:hAnsi="宋体" w:cs="Calibri"/>
          <w:color w:val="000000" w:themeColor="text1"/>
          <w:sz w:val="24"/>
        </w:rPr>
        <w:t>参与判定的</w:t>
      </w:r>
      <w:r>
        <w:rPr>
          <w:rFonts w:ascii="宋体" w:hAnsi="宋体" w:cs="Calibri"/>
          <w:color w:val="000000" w:themeColor="text1"/>
          <w:sz w:val="24"/>
        </w:rPr>
        <w:t>检</w:t>
      </w:r>
      <w:r>
        <w:rPr>
          <w:rFonts w:hint="eastAsia" w:ascii="宋体" w:hAnsi="宋体" w:cs="Calibri"/>
          <w:color w:val="000000" w:themeColor="text1"/>
          <w:sz w:val="24"/>
        </w:rPr>
        <w:t>验</w:t>
      </w:r>
      <w:r>
        <w:rPr>
          <w:rFonts w:ascii="宋体" w:hAnsi="宋体" w:cs="Calibri"/>
          <w:color w:val="000000" w:themeColor="text1"/>
          <w:sz w:val="24"/>
        </w:rPr>
        <w:t>项目中任一项或一项以上不</w:t>
      </w:r>
      <w:r>
        <w:rPr>
          <w:rFonts w:hint="eastAsia" w:ascii="宋体" w:hAnsi="宋体" w:cs="Calibri"/>
          <w:color w:val="000000" w:themeColor="text1"/>
          <w:sz w:val="24"/>
        </w:rPr>
        <w:t>符合对应的质量要求</w:t>
      </w:r>
      <w:r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 xml:space="preserve">3.2.2 </w:t>
      </w:r>
      <w:r>
        <w:rPr>
          <w:rFonts w:hint="eastAsia" w:ascii="宋体" w:hAnsi="宋体" w:cs="Calibri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>
      <w:headerReference r:id="rId3" w:type="default"/>
      <w:footerReference r:id="rId4" w:type="default"/>
      <w:footerReference r:id="rId5" w:type="even"/>
      <w:pgSz w:w="11906" w:h="16838"/>
      <w:pgMar w:top="1985" w:right="1361" w:bottom="136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2</w:t>
    </w:r>
    <w: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MGQwYTgxZWZiMjhkZDhkOWVhMjZiNTE2OTA4NGJhNmIifQ=="/>
    <w:docVar w:name="KSO_WPS_MARK_KEY" w:val="838f82e9-f977-4a76-b1a6-6a705e88d9d3"/>
  </w:docVars>
  <w:rsids>
    <w:rsidRoot w:val="00B525EF"/>
    <w:rsid w:val="000020F6"/>
    <w:rsid w:val="000162C2"/>
    <w:rsid w:val="000255AC"/>
    <w:rsid w:val="0003019F"/>
    <w:rsid w:val="00052216"/>
    <w:rsid w:val="0007320C"/>
    <w:rsid w:val="00074373"/>
    <w:rsid w:val="000827A6"/>
    <w:rsid w:val="00091DC7"/>
    <w:rsid w:val="000B2D0E"/>
    <w:rsid w:val="000C43D5"/>
    <w:rsid w:val="000C5FB2"/>
    <w:rsid w:val="000E6E8A"/>
    <w:rsid w:val="00100AE3"/>
    <w:rsid w:val="00101403"/>
    <w:rsid w:val="00141541"/>
    <w:rsid w:val="001A1209"/>
    <w:rsid w:val="001B765C"/>
    <w:rsid w:val="001D5109"/>
    <w:rsid w:val="001E2196"/>
    <w:rsid w:val="00276D78"/>
    <w:rsid w:val="00287C7A"/>
    <w:rsid w:val="002A087D"/>
    <w:rsid w:val="002B5BAA"/>
    <w:rsid w:val="00334886"/>
    <w:rsid w:val="00385CBA"/>
    <w:rsid w:val="003F2206"/>
    <w:rsid w:val="003F4CDC"/>
    <w:rsid w:val="004435BB"/>
    <w:rsid w:val="00464CCE"/>
    <w:rsid w:val="004754B8"/>
    <w:rsid w:val="004A187D"/>
    <w:rsid w:val="004E0E1C"/>
    <w:rsid w:val="004E4BB7"/>
    <w:rsid w:val="004E5DF3"/>
    <w:rsid w:val="00511852"/>
    <w:rsid w:val="00522A8A"/>
    <w:rsid w:val="00532B56"/>
    <w:rsid w:val="005336B3"/>
    <w:rsid w:val="00545330"/>
    <w:rsid w:val="00564D58"/>
    <w:rsid w:val="0057712B"/>
    <w:rsid w:val="005A255F"/>
    <w:rsid w:val="005A2DA7"/>
    <w:rsid w:val="005B4973"/>
    <w:rsid w:val="006118C2"/>
    <w:rsid w:val="00634372"/>
    <w:rsid w:val="00640C75"/>
    <w:rsid w:val="006933B3"/>
    <w:rsid w:val="0069408B"/>
    <w:rsid w:val="00707D20"/>
    <w:rsid w:val="007162FA"/>
    <w:rsid w:val="00730C62"/>
    <w:rsid w:val="007459CE"/>
    <w:rsid w:val="0077402C"/>
    <w:rsid w:val="007869C0"/>
    <w:rsid w:val="00794227"/>
    <w:rsid w:val="007A5893"/>
    <w:rsid w:val="007B2AF8"/>
    <w:rsid w:val="007E68E6"/>
    <w:rsid w:val="00827ED7"/>
    <w:rsid w:val="008914CE"/>
    <w:rsid w:val="008C058A"/>
    <w:rsid w:val="008C5C9D"/>
    <w:rsid w:val="008D0480"/>
    <w:rsid w:val="008F2F84"/>
    <w:rsid w:val="00912469"/>
    <w:rsid w:val="009222C9"/>
    <w:rsid w:val="0093348D"/>
    <w:rsid w:val="009419B7"/>
    <w:rsid w:val="009F392D"/>
    <w:rsid w:val="00A06ED6"/>
    <w:rsid w:val="00A318C2"/>
    <w:rsid w:val="00A560A3"/>
    <w:rsid w:val="00A656CB"/>
    <w:rsid w:val="00A917DA"/>
    <w:rsid w:val="00AB0483"/>
    <w:rsid w:val="00AC0658"/>
    <w:rsid w:val="00AC450D"/>
    <w:rsid w:val="00AE0733"/>
    <w:rsid w:val="00AF107E"/>
    <w:rsid w:val="00AF507A"/>
    <w:rsid w:val="00B01B97"/>
    <w:rsid w:val="00B04FC5"/>
    <w:rsid w:val="00B2259D"/>
    <w:rsid w:val="00B525EF"/>
    <w:rsid w:val="00B71D10"/>
    <w:rsid w:val="00BC1388"/>
    <w:rsid w:val="00BC4362"/>
    <w:rsid w:val="00C05AC7"/>
    <w:rsid w:val="00C24076"/>
    <w:rsid w:val="00C30CDA"/>
    <w:rsid w:val="00C53409"/>
    <w:rsid w:val="00C7723A"/>
    <w:rsid w:val="00C9581E"/>
    <w:rsid w:val="00CA48DE"/>
    <w:rsid w:val="00CF096B"/>
    <w:rsid w:val="00D00081"/>
    <w:rsid w:val="00D10EE7"/>
    <w:rsid w:val="00D17189"/>
    <w:rsid w:val="00D4306A"/>
    <w:rsid w:val="00D913BE"/>
    <w:rsid w:val="00DA49F5"/>
    <w:rsid w:val="00DB28E5"/>
    <w:rsid w:val="00DC3396"/>
    <w:rsid w:val="00DD4A6A"/>
    <w:rsid w:val="00DE2355"/>
    <w:rsid w:val="00DF754A"/>
    <w:rsid w:val="00E11682"/>
    <w:rsid w:val="00E51DC7"/>
    <w:rsid w:val="00EA7C0F"/>
    <w:rsid w:val="00ED439A"/>
    <w:rsid w:val="00EE4B55"/>
    <w:rsid w:val="00F02C99"/>
    <w:rsid w:val="00F1679A"/>
    <w:rsid w:val="00F332CA"/>
    <w:rsid w:val="00F4309F"/>
    <w:rsid w:val="00F57ACD"/>
    <w:rsid w:val="3B573EBE"/>
    <w:rsid w:val="5DCD148A"/>
    <w:rsid w:val="5F502F04"/>
    <w:rsid w:val="BFFE7A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annotation subject"/>
    <w:basedOn w:val="2"/>
    <w:next w:val="2"/>
    <w:link w:val="19"/>
    <w:semiHidden/>
    <w:unhideWhenUsed/>
    <w:qFormat/>
    <w:uiPriority w:val="99"/>
    <w:rPr>
      <w:b/>
      <w:bCs/>
    </w:rPr>
  </w:style>
  <w:style w:type="character" w:styleId="10">
    <w:name w:val="page number"/>
    <w:basedOn w:val="9"/>
    <w:qFormat/>
    <w:uiPriority w:val="0"/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  <w:szCs w:val="18"/>
    </w:rPr>
  </w:style>
  <w:style w:type="character" w:customStyle="1" w:styleId="14">
    <w:name w:val="页眉 字符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paragraph" w:customStyle="1" w:styleId="17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8">
    <w:name w:val="批注文字 字符"/>
    <w:basedOn w:val="9"/>
    <w:link w:val="2"/>
    <w:semiHidden/>
    <w:qFormat/>
    <w:uiPriority w:val="99"/>
    <w:rPr>
      <w:kern w:val="2"/>
      <w:sz w:val="21"/>
      <w:szCs w:val="24"/>
    </w:rPr>
  </w:style>
  <w:style w:type="character" w:customStyle="1" w:styleId="19">
    <w:name w:val="批注主题 字符"/>
    <w:basedOn w:val="18"/>
    <w:link w:val="7"/>
    <w:qFormat/>
    <w:uiPriority w:val="0"/>
    <w:rPr>
      <w:kern w:val="2"/>
      <w:sz w:val="21"/>
      <w:szCs w:val="24"/>
    </w:rPr>
  </w:style>
  <w:style w:type="paragraph" w:customStyle="1" w:styleId="20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301</Words>
  <Characters>1719</Characters>
  <Lines>14</Lines>
  <Paragraphs>4</Paragraphs>
  <TotalTime>12</TotalTime>
  <ScaleCrop>false</ScaleCrop>
  <LinksUpToDate>false</LinksUpToDate>
  <CharactersWithSpaces>2016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2023-01-04T10:41:00Z</dcterms:created>
  <dc:creator>Legend User</dc:creator>
  <cp:lastModifiedBy>scjuser</cp:lastModifiedBy>
  <cp:lastPrinted>2019-12-06T07:53:00Z</cp:lastPrinted>
  <dcterms:modified xsi:type="dcterms:W3CDTF">2025-01-22T09:05:57Z</dcterms:modified>
  <dc:title>××产品质量监督抽查实施细则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F21E999DAB994FDBB922ABC06EEF2F8C</vt:lpwstr>
  </property>
</Properties>
</file>