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verflowPunct w:val="0"/>
        <w:adjustRightInd w:val="0"/>
        <w:snapToGrid w:val="0"/>
        <w:spacing w:line="336" w:lineRule="auto"/>
        <w:rPr>
          <w:rFonts w:hint="eastAsia" w:ascii="黑体" w:eastAsia="黑体"/>
          <w:kern w:val="2"/>
          <w:szCs w:val="32"/>
        </w:rPr>
      </w:pPr>
      <w:bookmarkStart w:id="1" w:name="_GoBack"/>
      <w:bookmarkEnd w:id="1"/>
    </w:p>
    <w:p>
      <w:pPr>
        <w:overflowPunct w:val="0"/>
        <w:adjustRightInd w:val="0"/>
        <w:snapToGrid w:val="0"/>
        <w:spacing w:line="336" w:lineRule="auto"/>
        <w:rPr>
          <w:rFonts w:hint="eastAsia" w:ascii="黑体" w:eastAsia="黑体"/>
          <w:kern w:val="2"/>
          <w:szCs w:val="32"/>
        </w:rPr>
      </w:pPr>
    </w:p>
    <w:p>
      <w:pPr>
        <w:overflowPunct w:val="0"/>
        <w:adjustRightInd w:val="0"/>
        <w:snapToGrid w:val="0"/>
        <w:spacing w:line="336" w:lineRule="auto"/>
        <w:rPr>
          <w:rFonts w:hint="eastAsia" w:ascii="黑体" w:eastAsia="黑体"/>
          <w:kern w:val="2"/>
          <w:szCs w:val="32"/>
        </w:rPr>
      </w:pPr>
    </w:p>
    <w:p>
      <w:pPr>
        <w:keepNext w:val="0"/>
        <w:keepLines w:val="0"/>
        <w:pageBreakBefore w:val="0"/>
        <w:widowControl w:val="0"/>
        <w:kinsoku/>
        <w:wordWrap/>
        <w:overflowPunct w:val="0"/>
        <w:topLinePunct w:val="0"/>
        <w:autoSpaceDE/>
        <w:autoSpaceDN/>
        <w:bidi w:val="0"/>
        <w:adjustRightInd w:val="0"/>
        <w:snapToGrid w:val="0"/>
        <w:ind w:left="170" w:right="170"/>
        <w:jc w:val="distribute"/>
        <w:textAlignment w:val="auto"/>
        <w:rPr>
          <w:rFonts w:hint="eastAsia" w:ascii="方正小标宋简体" w:hAnsi="宋体" w:eastAsia="方正小标宋简体"/>
          <w:color w:val="FF0000"/>
          <w:kern w:val="2"/>
          <w:sz w:val="72"/>
          <w:szCs w:val="72"/>
          <w:lang w:val="en-US" w:eastAsia="zh-CN"/>
        </w:rPr>
      </w:pPr>
      <w:r>
        <w:rPr>
          <w:rFonts w:hint="eastAsia" w:ascii="方正小标宋简体" w:hAnsi="宋体" w:eastAsia="方正小标宋简体"/>
          <w:color w:val="FF0000"/>
          <w:kern w:val="2"/>
          <w:sz w:val="72"/>
          <w:szCs w:val="72"/>
        </w:rPr>
        <w:t>上海市市场监督管理局</w:t>
      </w:r>
    </w:p>
    <w:p>
      <w:pPr>
        <w:keepNext w:val="0"/>
        <w:keepLines w:val="0"/>
        <w:pageBreakBefore w:val="0"/>
        <w:widowControl w:val="0"/>
        <w:kinsoku/>
        <w:wordWrap/>
        <w:overflowPunct w:val="0"/>
        <w:topLinePunct w:val="0"/>
        <w:autoSpaceDE/>
        <w:autoSpaceDN/>
        <w:bidi w:val="0"/>
        <w:adjustRightInd w:val="0"/>
        <w:snapToGrid w:val="0"/>
        <w:ind w:left="170" w:right="170"/>
        <w:jc w:val="distribute"/>
        <w:textAlignment w:val="auto"/>
        <w:rPr>
          <w:rFonts w:hint="eastAsia" w:ascii="方正小标宋简体" w:hAnsi="宋体" w:eastAsia="方正小标宋简体"/>
          <w:color w:val="FF0000"/>
          <w:kern w:val="2"/>
          <w:sz w:val="72"/>
          <w:szCs w:val="72"/>
          <w:lang w:val="en" w:eastAsia="zh-CN"/>
        </w:rPr>
      </w:pPr>
      <w:r>
        <w:rPr>
          <w:rFonts w:hint="eastAsia" w:ascii="方正小标宋简体" w:hAnsi="宋体" w:eastAsia="方正小标宋简体"/>
          <w:color w:val="FF0000"/>
          <w:kern w:val="2"/>
          <w:sz w:val="72"/>
          <w:szCs w:val="72"/>
          <w:lang w:val="en" w:eastAsia="zh-CN"/>
        </w:rPr>
        <w:t>上海市药品监督管理局</w:t>
      </w:r>
    </w:p>
    <w:p>
      <w:pPr>
        <w:tabs>
          <w:tab w:val="left" w:pos="790"/>
        </w:tabs>
        <w:overflowPunct w:val="0"/>
        <w:adjustRightInd w:val="0"/>
        <w:snapToGrid w:val="0"/>
        <w:spacing w:line="252" w:lineRule="auto"/>
        <w:jc w:val="center"/>
        <w:rPr>
          <w:rFonts w:hint="eastAsia" w:ascii="黑体" w:eastAsia="黑体"/>
          <w:kern w:val="2"/>
          <w:szCs w:val="32"/>
        </w:rPr>
      </w:pPr>
    </w:p>
    <w:p>
      <w:pPr>
        <w:tabs>
          <w:tab w:val="left" w:pos="790"/>
        </w:tabs>
        <w:overflowPunct w:val="0"/>
        <w:adjustRightInd w:val="0"/>
        <w:snapToGrid w:val="0"/>
        <w:spacing w:line="252" w:lineRule="auto"/>
        <w:jc w:val="center"/>
        <w:rPr>
          <w:rFonts w:hint="eastAsia" w:ascii="黑体" w:eastAsia="黑体"/>
          <w:kern w:val="2"/>
          <w:szCs w:val="32"/>
        </w:rPr>
      </w:pPr>
    </w:p>
    <w:p>
      <w:pPr>
        <w:tabs>
          <w:tab w:val="left" w:pos="790"/>
        </w:tabs>
        <w:overflowPunct w:val="0"/>
        <w:adjustRightInd w:val="0"/>
        <w:snapToGrid w:val="0"/>
        <w:spacing w:line="336" w:lineRule="auto"/>
        <w:jc w:val="center"/>
        <w:rPr>
          <w:rFonts w:hint="eastAsia"/>
          <w:kern w:val="2"/>
          <w:szCs w:val="32"/>
        </w:rPr>
      </w:pPr>
      <w:r>
        <w:rPr>
          <w:rFonts w:hint="eastAsia"/>
          <w:kern w:val="2"/>
          <w:szCs w:val="30"/>
        </w:rPr>
        <mc:AlternateContent>
          <mc:Choice Requires="wps">
            <w:drawing>
              <wp:anchor distT="0" distB="0" distL="114300" distR="114300" simplePos="0" relativeHeight="251658240" behindDoc="0" locked="1" layoutInCell="1" allowOverlap="1">
                <wp:simplePos x="0" y="0"/>
                <wp:positionH relativeFrom="column">
                  <wp:posOffset>635</wp:posOffset>
                </wp:positionH>
                <wp:positionV relativeFrom="paragraph">
                  <wp:posOffset>386080</wp:posOffset>
                </wp:positionV>
                <wp:extent cx="5615940" cy="0"/>
                <wp:effectExtent l="0" t="9525" r="3810" b="9525"/>
                <wp:wrapNone/>
                <wp:docPr id="1" name="直接连接符 1"/>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true"/>
                    </wps:wsp>
                  </a:graphicData>
                </a:graphic>
              </wp:anchor>
            </w:drawing>
          </mc:Choice>
          <mc:Fallback>
            <w:pict>
              <v:line id="_x0000_s1026" o:spid="_x0000_s1026" o:spt="20" style="position:absolute;left:0pt;margin-left:0.05pt;margin-top:30.4pt;height:0pt;width:442.2pt;z-index:251658240;mso-width-relative:page;mso-height-relative:page;" filled="f" stroked="t" coordsize="21600,21600" o:gfxdata="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BYAAABkcnMvUEsBAhQAFAAAAAgA&#10;h07iQIgOgsDUAAAABgEAAA8AAAAAAAAAAQAgAAAAOAAAAGRycy9kb3ducmV2LnhtbFBLAQIUABQA&#10;AAAIAIdO4kApw8Qv3gEAAJoDAAAOAAAAAAAAAAEAIAAAADkBAABkcnMvZTJvRG9jLnhtbFBLBQYA&#10;AAAABgAGAFkBAACJBQAAAAA=&#10;">
                <v:fill on="f" focussize="0,0"/>
                <v:stroke weight="1.5pt" color="#FF0000" joinstyle="round"/>
                <v:imagedata o:title=""/>
                <o:lock v:ext="edit" aspectratio="f"/>
                <w10:anchorlock/>
              </v:line>
            </w:pict>
          </mc:Fallback>
        </mc:AlternateContent>
      </w:r>
      <w:r>
        <w:rPr>
          <w:rFonts w:hint="eastAsia"/>
          <w:kern w:val="2"/>
          <w:szCs w:val="32"/>
        </w:rPr>
        <w:t>沪市监</w:t>
      </w:r>
      <w:r>
        <w:rPr>
          <w:rFonts w:hint="eastAsia"/>
          <w:kern w:val="2"/>
          <w:szCs w:val="32"/>
          <w:lang w:eastAsia="zh-CN"/>
        </w:rPr>
        <w:t>网监</w:t>
      </w:r>
      <w:r>
        <w:rPr>
          <w:rFonts w:hint="eastAsia"/>
          <w:kern w:val="2"/>
          <w:szCs w:val="32"/>
        </w:rPr>
        <w:t>〔202</w:t>
      </w:r>
      <w:r>
        <w:rPr>
          <w:rFonts w:hint="default"/>
          <w:kern w:val="2"/>
          <w:szCs w:val="32"/>
          <w:lang w:val="en"/>
        </w:rPr>
        <w:t>3</w:t>
      </w:r>
      <w:r>
        <w:rPr>
          <w:rFonts w:hint="eastAsia"/>
          <w:kern w:val="2"/>
          <w:szCs w:val="32"/>
        </w:rPr>
        <w:t>〕</w:t>
      </w:r>
      <w:r>
        <w:rPr>
          <w:rFonts w:hint="default"/>
          <w:kern w:val="2"/>
          <w:szCs w:val="32"/>
          <w:lang w:val="en"/>
        </w:rPr>
        <w:t>515</w:t>
      </w:r>
      <w:r>
        <w:rPr>
          <w:rFonts w:hint="eastAsia"/>
          <w:kern w:val="2"/>
          <w:szCs w:val="32"/>
        </w:rPr>
        <w:t>号</w:t>
      </w:r>
    </w:p>
    <w:p>
      <w:pPr>
        <w:tabs>
          <w:tab w:val="left" w:pos="790"/>
        </w:tabs>
        <w:overflowPunct w:val="0"/>
        <w:adjustRightInd w:val="0"/>
        <w:snapToGrid w:val="0"/>
        <w:spacing w:line="336" w:lineRule="auto"/>
        <w:jc w:val="center"/>
        <w:rPr>
          <w:rFonts w:hint="eastAsia"/>
          <w:kern w:val="2"/>
          <w:szCs w:val="30"/>
        </w:rPr>
      </w:pPr>
    </w:p>
    <w:p>
      <w:pPr>
        <w:tabs>
          <w:tab w:val="left" w:pos="790"/>
        </w:tabs>
        <w:overflowPunct w:val="0"/>
        <w:adjustRightInd w:val="0"/>
        <w:snapToGrid w:val="0"/>
        <w:spacing w:line="336" w:lineRule="auto"/>
        <w:jc w:val="center"/>
        <w:rPr>
          <w:rFonts w:hint="eastAsia"/>
          <w:kern w:val="2"/>
          <w:szCs w:val="30"/>
        </w:rPr>
      </w:pPr>
    </w:p>
    <w:p>
      <w:pPr>
        <w:tabs>
          <w:tab w:val="left" w:pos="790"/>
        </w:tabs>
        <w:overflowPunct w:val="0"/>
        <w:adjustRightInd w:val="0"/>
        <w:snapToGrid w:val="0"/>
        <w:jc w:val="center"/>
        <w:rPr>
          <w:rFonts w:hint="eastAsia" w:ascii="方正小标宋简体" w:hAnsi="宋体" w:eastAsia="方正小标宋简体"/>
          <w:kern w:val="2"/>
          <w:sz w:val="44"/>
          <w:szCs w:val="44"/>
          <w:lang w:val="en-US" w:eastAsia="zh-CN"/>
        </w:rPr>
      </w:pPr>
      <w:r>
        <w:rPr>
          <w:rFonts w:hint="eastAsia" w:ascii="方正小标宋简体" w:hAnsi="宋体" w:eastAsia="方正小标宋简体"/>
          <w:kern w:val="2"/>
          <w:sz w:val="44"/>
          <w:szCs w:val="44"/>
        </w:rPr>
        <w:t>上海市市场监督管理局</w:t>
      </w:r>
      <w:r>
        <w:rPr>
          <w:rFonts w:hint="eastAsia" w:ascii="方正小标宋简体" w:hAnsi="宋体" w:eastAsia="方正小标宋简体"/>
          <w:kern w:val="2"/>
          <w:sz w:val="44"/>
          <w:szCs w:val="44"/>
          <w:lang w:val="en-US" w:eastAsia="zh-CN"/>
        </w:rPr>
        <w:t>　</w:t>
      </w:r>
    </w:p>
    <w:p>
      <w:pPr>
        <w:tabs>
          <w:tab w:val="left" w:pos="790"/>
        </w:tabs>
        <w:overflowPunct w:val="0"/>
        <w:adjustRightInd w:val="0"/>
        <w:snapToGrid w:val="0"/>
        <w:jc w:val="center"/>
        <w:rPr>
          <w:rFonts w:hint="eastAsia" w:ascii="方正小标宋简体" w:hAnsi="宋体" w:eastAsia="方正小标宋简体"/>
          <w:kern w:val="2"/>
          <w:sz w:val="44"/>
          <w:szCs w:val="44"/>
        </w:rPr>
      </w:pPr>
      <w:r>
        <w:rPr>
          <w:rFonts w:hint="eastAsia" w:ascii="方正小标宋简体" w:hAnsi="宋体" w:eastAsia="方正小标宋简体"/>
          <w:kern w:val="2"/>
          <w:sz w:val="44"/>
          <w:szCs w:val="44"/>
          <w:lang w:val="en" w:eastAsia="zh-CN"/>
        </w:rPr>
        <w:t>上海市药品监督管理局</w:t>
      </w:r>
      <w:r>
        <w:rPr>
          <w:rFonts w:hint="eastAsia" w:ascii="方正小标宋简体" w:hAnsi="宋体" w:eastAsia="方正小标宋简体"/>
          <w:kern w:val="2"/>
          <w:sz w:val="44"/>
          <w:szCs w:val="44"/>
        </w:rPr>
        <w:t>关于印发</w:t>
      </w:r>
    </w:p>
    <w:p>
      <w:pPr>
        <w:tabs>
          <w:tab w:val="left" w:pos="790"/>
        </w:tabs>
        <w:overflowPunct w:val="0"/>
        <w:adjustRightInd w:val="0"/>
        <w:snapToGrid w:val="0"/>
        <w:jc w:val="center"/>
        <w:rPr>
          <w:rFonts w:hint="eastAsia" w:ascii="方正小标宋简体" w:hAnsi="宋体" w:eastAsia="方正小标宋简体"/>
          <w:kern w:val="2"/>
          <w:sz w:val="44"/>
          <w:szCs w:val="44"/>
        </w:rPr>
      </w:pPr>
      <w:r>
        <w:rPr>
          <w:rFonts w:hint="eastAsia" w:ascii="方正小标宋简体" w:hAnsi="宋体" w:eastAsia="方正小标宋简体"/>
          <w:kern w:val="2"/>
          <w:sz w:val="44"/>
          <w:szCs w:val="44"/>
        </w:rPr>
        <w:t>《</w:t>
      </w:r>
      <w:r>
        <w:rPr>
          <w:rFonts w:hint="eastAsia" w:ascii="方正小标宋简体" w:hAnsi="宋体" w:eastAsia="方正小标宋简体"/>
          <w:kern w:val="2"/>
          <w:sz w:val="44"/>
          <w:szCs w:val="44"/>
          <w:lang w:eastAsia="zh-CN"/>
        </w:rPr>
        <w:t>上海市</w:t>
      </w:r>
      <w:r>
        <w:rPr>
          <w:rFonts w:hint="eastAsia" w:ascii="方正小标宋简体" w:hAnsi="宋体" w:eastAsia="方正小标宋简体"/>
          <w:kern w:val="2"/>
          <w:sz w:val="44"/>
          <w:szCs w:val="44"/>
        </w:rPr>
        <w:t>网络零售平台合规指引》的通知</w:t>
      </w:r>
    </w:p>
    <w:p>
      <w:pPr>
        <w:tabs>
          <w:tab w:val="left" w:pos="790"/>
          <w:tab w:val="left" w:pos="1264"/>
        </w:tabs>
        <w:overflowPunct w:val="0"/>
        <w:adjustRightInd w:val="0"/>
        <w:snapToGrid w:val="0"/>
        <w:spacing w:line="336" w:lineRule="auto"/>
        <w:ind w:firstLine="624"/>
        <w:jc w:val="both"/>
        <w:rPr>
          <w:rFonts w:hint="eastAsia" w:hAnsi="宋体"/>
          <w:kern w:val="2"/>
          <w:szCs w:val="30"/>
          <w:lang w:eastAsia="zh-CN"/>
        </w:rPr>
      </w:pPr>
    </w:p>
    <w:p>
      <w:pPr>
        <w:tabs>
          <w:tab w:val="left" w:pos="790"/>
          <w:tab w:val="left" w:pos="1264"/>
        </w:tabs>
        <w:overflowPunct w:val="0"/>
        <w:adjustRightInd w:val="0"/>
        <w:snapToGrid w:val="0"/>
        <w:spacing w:line="336" w:lineRule="auto"/>
        <w:jc w:val="both"/>
        <w:rPr>
          <w:rFonts w:hint="eastAsia" w:hAnsi="宋体"/>
          <w:kern w:val="2"/>
          <w:szCs w:val="30"/>
        </w:rPr>
      </w:pPr>
      <w:r>
        <w:rPr>
          <w:rFonts w:hint="eastAsia" w:hAnsi="宋体"/>
          <w:kern w:val="2"/>
          <w:szCs w:val="30"/>
        </w:rPr>
        <w:t>各区市场监管局，临港新片区市场监管局，市市场监管局</w:t>
      </w:r>
      <w:r>
        <w:rPr>
          <w:rFonts w:hint="eastAsia" w:hAnsi="宋体"/>
          <w:kern w:val="2"/>
          <w:szCs w:val="30"/>
          <w:lang w:eastAsia="zh-CN"/>
        </w:rPr>
        <w:t>有关</w:t>
      </w:r>
      <w:r>
        <w:rPr>
          <w:rFonts w:hint="eastAsia" w:hAnsi="宋体"/>
          <w:kern w:val="2"/>
          <w:szCs w:val="30"/>
        </w:rPr>
        <w:t>处室、执法总队、机场分局，市药品监管局</w:t>
      </w:r>
      <w:r>
        <w:rPr>
          <w:rFonts w:hint="eastAsia" w:hAnsi="宋体"/>
          <w:kern w:val="2"/>
          <w:szCs w:val="30"/>
          <w:lang w:eastAsia="zh-CN"/>
        </w:rPr>
        <w:t>有关</w:t>
      </w:r>
      <w:r>
        <w:rPr>
          <w:rFonts w:hint="eastAsia" w:hAnsi="宋体"/>
          <w:kern w:val="2"/>
          <w:szCs w:val="30"/>
        </w:rPr>
        <w:t>处室、稽查局</w:t>
      </w:r>
      <w:r>
        <w:rPr>
          <w:rFonts w:hint="eastAsia" w:hAnsi="宋体"/>
          <w:kern w:val="2"/>
          <w:szCs w:val="30"/>
          <w:lang w:eastAsia="zh-CN"/>
        </w:rPr>
        <w:t>，各有关单位</w:t>
      </w:r>
      <w:r>
        <w:rPr>
          <w:rFonts w:hint="eastAsia" w:hAnsi="宋体"/>
          <w:kern w:val="2"/>
          <w:szCs w:val="30"/>
        </w:rPr>
        <w:t>：</w:t>
      </w:r>
    </w:p>
    <w:p>
      <w:pPr>
        <w:tabs>
          <w:tab w:val="left" w:pos="790"/>
          <w:tab w:val="left" w:pos="1264"/>
        </w:tabs>
        <w:overflowPunct w:val="0"/>
        <w:adjustRightInd w:val="0"/>
        <w:snapToGrid w:val="0"/>
        <w:spacing w:line="336" w:lineRule="auto"/>
        <w:ind w:firstLine="624"/>
        <w:jc w:val="both"/>
        <w:rPr>
          <w:rFonts w:hint="eastAsia" w:hAnsi="宋体"/>
          <w:kern w:val="2"/>
          <w:szCs w:val="30"/>
          <w:lang w:eastAsia="zh-CN"/>
        </w:rPr>
      </w:pPr>
      <w:r>
        <w:rPr>
          <w:rFonts w:hint="eastAsia" w:hAnsi="宋体"/>
          <w:kern w:val="2"/>
          <w:szCs w:val="30"/>
          <w:lang w:eastAsia="zh-CN"/>
        </w:rPr>
        <w:t>为贯彻落实平台经济常态化监管要求，引导本市网络零售平台</w:t>
      </w:r>
      <w:r>
        <w:rPr>
          <w:rFonts w:hint="eastAsia" w:hAnsi="宋体"/>
          <w:kern w:val="2"/>
          <w:szCs w:val="30"/>
          <w:lang w:val="en"/>
        </w:rPr>
        <w:t>加强</w:t>
      </w:r>
      <w:r>
        <w:rPr>
          <w:rFonts w:hint="eastAsia" w:hAnsi="宋体"/>
          <w:kern w:val="2"/>
          <w:szCs w:val="30"/>
        </w:rPr>
        <w:t>合规管理，落实平台主体责任，</w:t>
      </w:r>
      <w:r>
        <w:rPr>
          <w:rFonts w:hint="eastAsia" w:hAnsi="宋体"/>
          <w:kern w:val="2"/>
          <w:szCs w:val="30"/>
          <w:lang w:eastAsia="zh-CN"/>
        </w:rPr>
        <w:t>维护公平竞争市场秩序，促进本市平台经济高质量发展，依</w:t>
      </w:r>
      <w:r>
        <w:rPr>
          <w:rFonts w:hint="eastAsia" w:hAnsi="宋体"/>
          <w:kern w:val="2"/>
          <w:szCs w:val="30"/>
        </w:rPr>
        <w:t>据相关法律法规，市市场监管局、市药品监管局制定</w:t>
      </w:r>
      <w:r>
        <w:rPr>
          <w:rFonts w:hint="eastAsia" w:hAnsi="宋体"/>
          <w:kern w:val="2"/>
          <w:szCs w:val="30"/>
          <w:lang w:eastAsia="zh-CN"/>
        </w:rPr>
        <w:t>了《上海市网络零售平台合规指引》，现印发给你们。</w:t>
      </w:r>
      <w:r>
        <w:rPr>
          <w:rFonts w:hint="eastAsia" w:hAnsi="宋体"/>
          <w:kern w:val="2"/>
          <w:szCs w:val="30"/>
        </w:rPr>
        <w:t>请各单位加强宣传，</w:t>
      </w:r>
      <w:r>
        <w:rPr>
          <w:rFonts w:hint="eastAsia" w:hAnsi="宋体"/>
          <w:kern w:val="2"/>
          <w:szCs w:val="30"/>
          <w:lang w:eastAsia="zh-CN"/>
        </w:rPr>
        <w:t>指导</w:t>
      </w:r>
      <w:r>
        <w:rPr>
          <w:rFonts w:hint="eastAsia" w:hAnsi="宋体"/>
          <w:kern w:val="2"/>
          <w:szCs w:val="30"/>
        </w:rPr>
        <w:t>相关</w:t>
      </w:r>
      <w:r>
        <w:rPr>
          <w:rFonts w:hint="eastAsia" w:hAnsi="宋体"/>
          <w:kern w:val="2"/>
          <w:szCs w:val="30"/>
          <w:lang w:eastAsia="zh-CN"/>
        </w:rPr>
        <w:t>网络零售平台</w:t>
      </w:r>
      <w:r>
        <w:rPr>
          <w:rFonts w:hint="eastAsia" w:hAnsi="宋体"/>
          <w:kern w:val="2"/>
          <w:szCs w:val="30"/>
        </w:rPr>
        <w:t>落实主体责任，加强</w:t>
      </w:r>
      <w:r>
        <w:rPr>
          <w:rFonts w:hint="eastAsia" w:hAnsi="宋体"/>
          <w:kern w:val="2"/>
          <w:szCs w:val="30"/>
          <w:lang w:eastAsia="zh-CN"/>
        </w:rPr>
        <w:t>合规管理建设，完善</w:t>
      </w:r>
      <w:r>
        <w:rPr>
          <w:rFonts w:hint="eastAsia" w:hAnsi="宋体"/>
          <w:kern w:val="2"/>
          <w:szCs w:val="30"/>
        </w:rPr>
        <w:t>合规运行机制</w:t>
      </w:r>
      <w:r>
        <w:rPr>
          <w:rFonts w:hint="eastAsia" w:hAnsi="宋体"/>
          <w:kern w:val="2"/>
          <w:szCs w:val="30"/>
          <w:lang w:eastAsia="zh-CN"/>
        </w:rPr>
        <w:t>，推动平台高质量发展。</w:t>
      </w:r>
    </w:p>
    <w:p>
      <w:pPr>
        <w:tabs>
          <w:tab w:val="left" w:pos="790"/>
          <w:tab w:val="left" w:pos="1264"/>
        </w:tabs>
        <w:overflowPunct w:val="0"/>
        <w:adjustRightInd w:val="0"/>
        <w:snapToGrid w:val="0"/>
        <w:spacing w:line="336" w:lineRule="auto"/>
        <w:ind w:firstLine="624"/>
        <w:jc w:val="both"/>
        <w:rPr>
          <w:rFonts w:hint="eastAsia" w:hAnsi="宋体"/>
          <w:kern w:val="2"/>
          <w:szCs w:val="30"/>
        </w:rPr>
      </w:pPr>
      <w:r>
        <w:rPr>
          <w:rFonts w:hint="eastAsia" w:hAnsi="宋体"/>
          <w:kern w:val="2"/>
          <w:szCs w:val="30"/>
        </w:rPr>
        <w:t>特此通知。</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8" w:lineRule="auto"/>
        <w:ind w:firstLine="624"/>
        <w:jc w:val="both"/>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8" w:lineRule="auto"/>
        <w:ind w:firstLine="624"/>
        <w:jc w:val="both"/>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8" w:lineRule="auto"/>
        <w:ind w:firstLine="624"/>
        <w:jc w:val="both"/>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right="1088" w:firstLine="624"/>
        <w:jc w:val="right"/>
        <w:textAlignment w:val="auto"/>
        <w:rPr>
          <w:rFonts w:hint="eastAsia" w:hAnsi="宋体"/>
          <w:spacing w:val="-6"/>
          <w:kern w:val="2"/>
          <w:sz w:val="32"/>
          <w:szCs w:val="30"/>
          <w:lang w:eastAsia="zh-CN"/>
        </w:rPr>
      </w:pPr>
      <w:r>
        <w:rPr>
          <w:rFonts w:hint="eastAsia" w:hAnsi="宋体"/>
          <w:spacing w:val="-6"/>
          <w:kern w:val="2"/>
          <w:sz w:val="32"/>
          <w:szCs w:val="30"/>
        </w:rPr>
        <w:t>上海市市场监督管理局</w:t>
      </w:r>
      <w:r>
        <w:rPr>
          <w:rFonts w:hint="eastAsia" w:hAnsi="宋体"/>
          <w:spacing w:val="-6"/>
          <w:kern w:val="2"/>
          <w:sz w:val="32"/>
          <w:szCs w:val="30"/>
          <w:lang w:eastAsia="zh-CN"/>
        </w:rPr>
        <w:t>　</w:t>
      </w:r>
      <w:r>
        <w:rPr>
          <w:rFonts w:hint="eastAsia" w:hAnsi="宋体"/>
          <w:spacing w:val="-6"/>
          <w:kern w:val="2"/>
          <w:sz w:val="32"/>
          <w:szCs w:val="30"/>
          <w:lang w:val="en-US" w:eastAsia="zh-CN"/>
        </w:rPr>
        <w:t>　　</w:t>
      </w:r>
      <w:r>
        <w:rPr>
          <w:rFonts w:hint="eastAsia" w:hAnsi="宋体"/>
          <w:spacing w:val="-6"/>
          <w:kern w:val="2"/>
          <w:sz w:val="32"/>
          <w:szCs w:val="30"/>
          <w:lang w:eastAsia="zh-CN"/>
        </w:rPr>
        <w:t>上海市药品监督管理局</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right="1247" w:firstLine="624"/>
        <w:jc w:val="right"/>
        <w:textAlignment w:val="auto"/>
        <w:rPr>
          <w:rFonts w:hint="eastAsia" w:hAnsi="宋体"/>
          <w:kern w:val="2"/>
          <w:szCs w:val="30"/>
        </w:rPr>
      </w:pPr>
      <w:r>
        <w:rPr>
          <w:rFonts w:hint="eastAsia" w:hAnsi="宋体"/>
          <w:kern w:val="2"/>
          <w:szCs w:val="30"/>
        </w:rPr>
        <w:t>202</w:t>
      </w:r>
      <w:r>
        <w:rPr>
          <w:rFonts w:hint="eastAsia" w:hAnsi="宋体"/>
          <w:kern w:val="2"/>
          <w:szCs w:val="30"/>
          <w:lang w:val="en-US" w:eastAsia="zh-CN"/>
        </w:rPr>
        <w:t>3</w:t>
      </w:r>
      <w:r>
        <w:rPr>
          <w:rFonts w:hint="eastAsia" w:hAnsi="宋体"/>
          <w:kern w:val="2"/>
          <w:szCs w:val="30"/>
        </w:rPr>
        <w:t>年</w:t>
      </w:r>
      <w:r>
        <w:rPr>
          <w:rFonts w:hint="eastAsia" w:hAnsi="宋体"/>
          <w:kern w:val="2"/>
          <w:szCs w:val="30"/>
          <w:lang w:val="en-US" w:eastAsia="zh-CN"/>
        </w:rPr>
        <w:t>11</w:t>
      </w:r>
      <w:r>
        <w:rPr>
          <w:rFonts w:hint="eastAsia" w:hAnsi="宋体"/>
          <w:kern w:val="2"/>
          <w:szCs w:val="30"/>
        </w:rPr>
        <w:t>月</w:t>
      </w:r>
      <w:r>
        <w:rPr>
          <w:rFonts w:hint="eastAsia" w:hAnsi="宋体"/>
          <w:kern w:val="2"/>
          <w:szCs w:val="30"/>
          <w:lang w:val="en-US" w:eastAsia="zh-CN"/>
        </w:rPr>
        <w:t>10</w:t>
      </w:r>
      <w:r>
        <w:rPr>
          <w:rFonts w:hint="eastAsia" w:hAnsi="宋体"/>
          <w:kern w:val="2"/>
          <w:szCs w:val="30"/>
        </w:rPr>
        <w:t>日</w:t>
      </w:r>
    </w:p>
    <w:p>
      <w:pPr>
        <w:tabs>
          <w:tab w:val="left" w:pos="790"/>
          <w:tab w:val="left" w:pos="1264"/>
        </w:tabs>
        <w:overflowPunct w:val="0"/>
        <w:adjustRightInd w:val="0"/>
        <w:snapToGrid w:val="0"/>
        <w:spacing w:line="336" w:lineRule="auto"/>
        <w:ind w:firstLine="624"/>
        <w:jc w:val="both"/>
        <w:rPr>
          <w:rFonts w:hint="eastAsia" w:hAnsi="宋体"/>
          <w:kern w:val="2"/>
          <w:szCs w:val="30"/>
        </w:rPr>
      </w:pPr>
      <w:r>
        <w:rPr>
          <w:rFonts w:hint="eastAsia" w:hAnsi="宋体"/>
          <w:kern w:val="2"/>
          <w:szCs w:val="30"/>
        </w:rPr>
        <w:t>（此件公开发布）</w:t>
      </w:r>
    </w:p>
    <w:p>
      <w:pPr>
        <w:tabs>
          <w:tab w:val="left" w:pos="790"/>
          <w:tab w:val="left" w:pos="1264"/>
        </w:tabs>
        <w:overflowPunct w:val="0"/>
        <w:adjustRightInd w:val="0"/>
        <w:snapToGrid w:val="0"/>
        <w:spacing w:line="336" w:lineRule="auto"/>
        <w:ind w:firstLine="624"/>
        <w:jc w:val="both"/>
        <w:rPr>
          <w:rFonts w:hint="eastAsia" w:hAnsi="宋体"/>
          <w:kern w:val="2"/>
          <w:szCs w:val="30"/>
        </w:rPr>
      </w:pPr>
    </w:p>
    <w:p>
      <w:pPr>
        <w:tabs>
          <w:tab w:val="left" w:pos="790"/>
          <w:tab w:val="left" w:pos="1264"/>
        </w:tabs>
        <w:overflowPunct w:val="0"/>
        <w:adjustRightInd w:val="0"/>
        <w:snapToGrid w:val="0"/>
        <w:spacing w:line="336" w:lineRule="auto"/>
        <w:ind w:firstLine="624"/>
        <w:jc w:val="both"/>
        <w:rPr>
          <w:rFonts w:hint="eastAsia" w:hAnsi="宋体"/>
          <w:kern w:val="2"/>
          <w:szCs w:val="30"/>
        </w:rPr>
      </w:pPr>
    </w:p>
    <w:p>
      <w:pPr>
        <w:tabs>
          <w:tab w:val="left" w:pos="790"/>
          <w:tab w:val="left" w:pos="1264"/>
        </w:tabs>
        <w:overflowPunct w:val="0"/>
        <w:adjustRightInd w:val="0"/>
        <w:snapToGrid w:val="0"/>
        <w:spacing w:line="336" w:lineRule="auto"/>
        <w:ind w:firstLine="624"/>
        <w:jc w:val="both"/>
        <w:rPr>
          <w:rFonts w:hint="eastAsia" w:hAnsi="宋体"/>
          <w:kern w:val="2"/>
          <w:szCs w:val="30"/>
        </w:rPr>
      </w:pPr>
    </w:p>
    <w:p>
      <w:pPr>
        <w:tabs>
          <w:tab w:val="left" w:pos="790"/>
          <w:tab w:val="left" w:pos="1264"/>
        </w:tabs>
        <w:overflowPunct w:val="0"/>
        <w:adjustRightInd w:val="0"/>
        <w:snapToGrid w:val="0"/>
        <w:spacing w:line="336" w:lineRule="auto"/>
        <w:ind w:firstLine="624"/>
        <w:jc w:val="both"/>
        <w:rPr>
          <w:rFonts w:hint="eastAsia" w:hAnsi="宋体"/>
          <w:kern w:val="2"/>
          <w:szCs w:val="30"/>
        </w:rPr>
      </w:pPr>
    </w:p>
    <w:p>
      <w:pPr>
        <w:tabs>
          <w:tab w:val="left" w:pos="790"/>
          <w:tab w:val="left" w:pos="1264"/>
        </w:tabs>
        <w:overflowPunct w:val="0"/>
        <w:adjustRightInd w:val="0"/>
        <w:snapToGrid w:val="0"/>
        <w:spacing w:line="336" w:lineRule="auto"/>
        <w:ind w:firstLine="624"/>
        <w:jc w:val="both"/>
        <w:rPr>
          <w:rFonts w:hint="eastAsia" w:hAnsi="宋体"/>
          <w:kern w:val="2"/>
          <w:szCs w:val="30"/>
        </w:rPr>
      </w:pPr>
    </w:p>
    <w:p>
      <w:pPr>
        <w:tabs>
          <w:tab w:val="left" w:pos="790"/>
          <w:tab w:val="left" w:pos="1264"/>
        </w:tabs>
        <w:overflowPunct w:val="0"/>
        <w:adjustRightInd w:val="0"/>
        <w:snapToGrid w:val="0"/>
        <w:spacing w:line="336" w:lineRule="auto"/>
        <w:ind w:firstLine="624"/>
        <w:jc w:val="both"/>
        <w:rPr>
          <w:rFonts w:hint="eastAsia" w:hAnsi="宋体"/>
          <w:kern w:val="2"/>
          <w:szCs w:val="30"/>
        </w:rPr>
      </w:pPr>
    </w:p>
    <w:p>
      <w:pPr>
        <w:tabs>
          <w:tab w:val="left" w:pos="790"/>
          <w:tab w:val="left" w:pos="1264"/>
        </w:tabs>
        <w:overflowPunct w:val="0"/>
        <w:adjustRightInd w:val="0"/>
        <w:snapToGrid w:val="0"/>
        <w:spacing w:line="336" w:lineRule="auto"/>
        <w:ind w:firstLine="624"/>
        <w:jc w:val="both"/>
        <w:rPr>
          <w:rFonts w:hint="eastAsia" w:hAnsi="宋体"/>
          <w:kern w:val="2"/>
          <w:szCs w:val="30"/>
        </w:rPr>
      </w:pPr>
    </w:p>
    <w:p>
      <w:pPr>
        <w:tabs>
          <w:tab w:val="left" w:pos="790"/>
          <w:tab w:val="left" w:pos="1264"/>
        </w:tabs>
        <w:overflowPunct w:val="0"/>
        <w:adjustRightInd w:val="0"/>
        <w:snapToGrid w:val="0"/>
        <w:spacing w:line="336" w:lineRule="auto"/>
        <w:ind w:firstLine="624"/>
        <w:jc w:val="both"/>
        <w:rPr>
          <w:rFonts w:hint="eastAsia" w:hAnsi="宋体"/>
          <w:kern w:val="2"/>
          <w:szCs w:val="30"/>
        </w:rPr>
      </w:pPr>
    </w:p>
    <w:p>
      <w:pPr>
        <w:tabs>
          <w:tab w:val="left" w:pos="790"/>
          <w:tab w:val="left" w:pos="1264"/>
        </w:tabs>
        <w:overflowPunct w:val="0"/>
        <w:adjustRightInd w:val="0"/>
        <w:snapToGrid w:val="0"/>
        <w:spacing w:line="336" w:lineRule="auto"/>
        <w:ind w:firstLine="624"/>
        <w:jc w:val="both"/>
        <w:rPr>
          <w:rFonts w:hint="eastAsia" w:hAnsi="宋体"/>
          <w:kern w:val="2"/>
          <w:szCs w:val="30"/>
        </w:rPr>
      </w:pPr>
    </w:p>
    <w:p>
      <w:pPr>
        <w:tabs>
          <w:tab w:val="left" w:pos="790"/>
          <w:tab w:val="left" w:pos="1264"/>
        </w:tabs>
        <w:overflowPunct w:val="0"/>
        <w:adjustRightInd w:val="0"/>
        <w:snapToGrid w:val="0"/>
        <w:spacing w:line="336" w:lineRule="auto"/>
        <w:ind w:firstLine="624"/>
        <w:jc w:val="both"/>
        <w:rPr>
          <w:rFonts w:hint="eastAsia" w:hAnsi="宋体"/>
          <w:kern w:val="2"/>
          <w:szCs w:val="30"/>
        </w:rPr>
      </w:pPr>
    </w:p>
    <w:p>
      <w:pPr>
        <w:tabs>
          <w:tab w:val="left" w:pos="790"/>
          <w:tab w:val="left" w:pos="1264"/>
        </w:tabs>
        <w:overflowPunct w:val="0"/>
        <w:adjustRightInd w:val="0"/>
        <w:snapToGrid w:val="0"/>
        <w:spacing w:line="336" w:lineRule="auto"/>
        <w:ind w:firstLine="624"/>
        <w:jc w:val="both"/>
        <w:rPr>
          <w:rFonts w:hint="eastAsia" w:hAnsi="宋体"/>
          <w:kern w:val="2"/>
          <w:szCs w:val="30"/>
        </w:rPr>
      </w:pPr>
    </w:p>
    <w:p>
      <w:pPr>
        <w:tabs>
          <w:tab w:val="left" w:pos="790"/>
        </w:tabs>
        <w:overflowPunct w:val="0"/>
        <w:adjustRightInd w:val="0"/>
        <w:snapToGrid w:val="0"/>
        <w:jc w:val="center"/>
        <w:rPr>
          <w:rFonts w:hint="eastAsia" w:ascii="方正小标宋简体" w:hAnsi="宋体" w:eastAsia="方正小标宋简体"/>
          <w:kern w:val="2"/>
          <w:sz w:val="44"/>
          <w:szCs w:val="44"/>
        </w:rPr>
      </w:pPr>
      <w:r>
        <w:rPr>
          <w:rFonts w:hint="eastAsia" w:ascii="方正小标宋简体" w:hAnsi="宋体" w:eastAsia="方正小标宋简体"/>
          <w:kern w:val="2"/>
          <w:sz w:val="44"/>
          <w:szCs w:val="44"/>
          <w:lang w:eastAsia="zh-CN"/>
        </w:rPr>
        <w:t>上海市</w:t>
      </w:r>
      <w:r>
        <w:rPr>
          <w:rFonts w:hint="eastAsia" w:ascii="方正小标宋简体" w:hAnsi="宋体" w:eastAsia="方正小标宋简体"/>
          <w:kern w:val="2"/>
          <w:sz w:val="44"/>
          <w:szCs w:val="44"/>
        </w:rPr>
        <w:t>网络零售平台合规指引</w:t>
      </w:r>
    </w:p>
    <w:p>
      <w:pPr>
        <w:tabs>
          <w:tab w:val="left" w:pos="790"/>
          <w:tab w:val="left" w:pos="1264"/>
        </w:tabs>
        <w:overflowPunct w:val="0"/>
        <w:adjustRightInd w:val="0"/>
        <w:snapToGrid w:val="0"/>
        <w:spacing w:line="336" w:lineRule="auto"/>
        <w:ind w:firstLine="624"/>
        <w:jc w:val="both"/>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before="180" w:after="120" w:line="336" w:lineRule="auto"/>
        <w:jc w:val="center"/>
        <w:textAlignment w:val="auto"/>
        <w:rPr>
          <w:rFonts w:hint="eastAsia" w:ascii="方正小标宋简体" w:hAnsi="宋体" w:eastAsia="方正小标宋简体"/>
          <w:kern w:val="2"/>
          <w:sz w:val="36"/>
          <w:szCs w:val="36"/>
        </w:rPr>
      </w:pPr>
      <w:r>
        <w:rPr>
          <w:rFonts w:hint="eastAsia" w:ascii="方正小标宋简体" w:hAnsi="宋体" w:eastAsia="方正小标宋简体"/>
          <w:kern w:val="2"/>
          <w:sz w:val="36"/>
          <w:szCs w:val="36"/>
        </w:rPr>
        <w:t>第一章</w:t>
      </w:r>
      <w:r>
        <w:rPr>
          <w:rFonts w:hint="eastAsia" w:ascii="方正小标宋简体" w:hAnsi="宋体" w:eastAsia="方正小标宋简体"/>
          <w:kern w:val="2"/>
          <w:sz w:val="36"/>
          <w:szCs w:val="36"/>
          <w:lang w:eastAsia="zh-CN"/>
        </w:rPr>
        <w:t>　</w:t>
      </w:r>
      <w:r>
        <w:rPr>
          <w:rFonts w:hint="eastAsia" w:ascii="方正小标宋简体" w:hAnsi="宋体" w:eastAsia="方正小标宋简体"/>
          <w:kern w:val="2"/>
          <w:sz w:val="36"/>
          <w:szCs w:val="36"/>
        </w:rPr>
        <w:t>总</w:t>
      </w:r>
      <w:r>
        <w:rPr>
          <w:rFonts w:hint="eastAsia" w:ascii="方正小标宋简体" w:hAnsi="宋体" w:eastAsia="方正小标宋简体"/>
          <w:kern w:val="2"/>
          <w:sz w:val="36"/>
          <w:szCs w:val="36"/>
          <w:lang w:eastAsia="zh-CN"/>
        </w:rPr>
        <w:t>　</w:t>
      </w:r>
      <w:r>
        <w:rPr>
          <w:rFonts w:hint="eastAsia" w:ascii="方正小标宋简体" w:hAnsi="宋体" w:eastAsia="方正小标宋简体"/>
          <w:kern w:val="2"/>
          <w:sz w:val="36"/>
          <w:szCs w:val="36"/>
        </w:rPr>
        <w:t>则</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US" w:eastAsia="zh-CN"/>
        </w:rPr>
      </w:pPr>
      <w:r>
        <w:rPr>
          <w:rFonts w:hint="eastAsia" w:ascii="黑体" w:hAnsi="黑体" w:eastAsia="黑体" w:cs="黑体"/>
          <w:kern w:val="2"/>
          <w:szCs w:val="30"/>
          <w:lang w:val="en" w:eastAsia="zh-CN"/>
        </w:rPr>
        <w:t>第一条（目的与依据</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hAnsi="宋体"/>
          <w:kern w:val="2"/>
          <w:szCs w:val="30"/>
        </w:rPr>
      </w:pPr>
      <w:r>
        <w:rPr>
          <w:rFonts w:hint="eastAsia" w:hAnsi="宋体"/>
          <w:kern w:val="2"/>
          <w:szCs w:val="30"/>
        </w:rPr>
        <w:t>为引导本市</w:t>
      </w:r>
      <w:r>
        <w:rPr>
          <w:rFonts w:hint="eastAsia" w:hAnsi="宋体"/>
          <w:kern w:val="2"/>
          <w:szCs w:val="30"/>
          <w:lang w:val="en"/>
        </w:rPr>
        <w:t>网络零售平台</w:t>
      </w:r>
      <w:r>
        <w:rPr>
          <w:rFonts w:hint="eastAsia" w:hAnsi="宋体"/>
          <w:kern w:val="2"/>
          <w:szCs w:val="30"/>
        </w:rPr>
        <w:t>经营者</w:t>
      </w:r>
      <w:r>
        <w:rPr>
          <w:rFonts w:hint="eastAsia" w:hAnsi="宋体"/>
          <w:kern w:val="2"/>
          <w:szCs w:val="30"/>
          <w:lang w:val="en"/>
        </w:rPr>
        <w:t>加强</w:t>
      </w:r>
      <w:r>
        <w:rPr>
          <w:rFonts w:hint="eastAsia" w:hAnsi="宋体"/>
          <w:kern w:val="2"/>
          <w:szCs w:val="30"/>
        </w:rPr>
        <w:t>合规管理，落实平台主体责任，保障各方主体合法权益，维护公平竞争市场秩序，促进本市平台经济健康发展，根据《中华人民共和国电子商务法》</w:t>
      </w:r>
      <w:r>
        <w:rPr>
          <w:rFonts w:hint="eastAsia" w:hAnsi="宋体"/>
          <w:kern w:val="2"/>
          <w:szCs w:val="30"/>
          <w:lang w:eastAsia="zh-CN"/>
        </w:rPr>
        <w:t>《中华人民共和国反不正当竞争法》《中华人民共和国消费者权益保护法》《中华人民共和国广告法》</w:t>
      </w:r>
      <w:r>
        <w:rPr>
          <w:rFonts w:hint="eastAsia" w:hAnsi="宋体"/>
          <w:kern w:val="2"/>
          <w:szCs w:val="30"/>
        </w:rPr>
        <w:t>《</w:t>
      </w:r>
      <w:r>
        <w:rPr>
          <w:rFonts w:hint="eastAsia" w:hAnsi="宋体"/>
          <w:kern w:val="2"/>
          <w:szCs w:val="30"/>
          <w:lang w:eastAsia="zh-CN"/>
        </w:rPr>
        <w:t>中华人民共和国</w:t>
      </w:r>
      <w:r>
        <w:rPr>
          <w:rFonts w:hint="eastAsia" w:hAnsi="宋体"/>
          <w:kern w:val="2"/>
          <w:szCs w:val="30"/>
        </w:rPr>
        <w:t>个人信息保护法》《网络交易监督管理办法》</w:t>
      </w:r>
      <w:r>
        <w:rPr>
          <w:rFonts w:hint="default" w:hAnsi="宋体"/>
          <w:kern w:val="2"/>
          <w:szCs w:val="30"/>
          <w:lang w:eastAsia="zh-CN"/>
        </w:rPr>
        <w:t>《</w:t>
      </w:r>
      <w:r>
        <w:rPr>
          <w:rFonts w:hint="default" w:hAnsi="宋体"/>
          <w:kern w:val="2"/>
          <w:szCs w:val="30"/>
          <w:lang w:val="en-US" w:eastAsia="zh-CN"/>
        </w:rPr>
        <w:t>互联网广告管理办法</w:t>
      </w:r>
      <w:r>
        <w:rPr>
          <w:rFonts w:hint="default" w:hAnsi="宋体"/>
          <w:kern w:val="2"/>
          <w:szCs w:val="30"/>
          <w:lang w:eastAsia="zh-CN"/>
        </w:rPr>
        <w:t>》</w:t>
      </w:r>
      <w:r>
        <w:rPr>
          <w:rFonts w:hint="eastAsia" w:hAnsi="宋体"/>
          <w:kern w:val="2"/>
          <w:szCs w:val="30"/>
        </w:rPr>
        <w:t>《网络食品安全违法行为查处办法》《药品网络销售监督管理办法》《医疗器械网络销售监督管理办法》《化妆品网络经营监督管理办法》等</w:t>
      </w:r>
      <w:r>
        <w:rPr>
          <w:rFonts w:hint="eastAsia" w:hAnsi="宋体"/>
          <w:kern w:val="2"/>
          <w:szCs w:val="30"/>
          <w:lang w:eastAsia="zh-CN"/>
        </w:rPr>
        <w:t>法律、法规、规章及相关规范性文件</w:t>
      </w:r>
      <w:r>
        <w:rPr>
          <w:rFonts w:hint="eastAsia" w:hAnsi="宋体"/>
          <w:kern w:val="2"/>
          <w:szCs w:val="30"/>
        </w:rPr>
        <w:t>，制定本指引。</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US" w:eastAsia="zh-CN"/>
        </w:rPr>
      </w:pPr>
      <w:r>
        <w:rPr>
          <w:rFonts w:hint="eastAsia" w:ascii="黑体" w:hAnsi="黑体" w:eastAsia="黑体" w:cs="黑体"/>
          <w:kern w:val="2"/>
          <w:szCs w:val="30"/>
          <w:lang w:val="en" w:eastAsia="zh-CN"/>
        </w:rPr>
        <w:t>第二条（基本概念</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hAnsi="宋体"/>
          <w:kern w:val="2"/>
          <w:szCs w:val="30"/>
        </w:rPr>
      </w:pPr>
      <w:r>
        <w:rPr>
          <w:rFonts w:hint="eastAsia" w:hAnsi="宋体"/>
          <w:kern w:val="2"/>
          <w:szCs w:val="30"/>
        </w:rPr>
        <w:t>本指引所称</w:t>
      </w:r>
      <w:r>
        <w:rPr>
          <w:rFonts w:hint="eastAsia" w:hAnsi="宋体"/>
          <w:kern w:val="2"/>
          <w:szCs w:val="30"/>
          <w:lang w:val="en"/>
        </w:rPr>
        <w:t>网络零售平台</w:t>
      </w:r>
      <w:r>
        <w:rPr>
          <w:rFonts w:hint="eastAsia" w:hAnsi="宋体"/>
          <w:kern w:val="2"/>
          <w:szCs w:val="30"/>
          <w:lang w:val="en" w:eastAsia="zh-CN"/>
        </w:rPr>
        <w:t>经营者</w:t>
      </w:r>
      <w:r>
        <w:rPr>
          <w:rFonts w:hint="eastAsia" w:hAnsi="宋体"/>
          <w:kern w:val="2"/>
          <w:szCs w:val="30"/>
        </w:rPr>
        <w:t>是指</w:t>
      </w:r>
      <w:r>
        <w:rPr>
          <w:rFonts w:hint="eastAsia" w:hAnsi="宋体"/>
          <w:kern w:val="2"/>
          <w:szCs w:val="30"/>
          <w:lang w:eastAsia="zh-CN"/>
        </w:rPr>
        <w:t>在网络零售交易中</w:t>
      </w:r>
      <w:r>
        <w:rPr>
          <w:rFonts w:hint="eastAsia" w:hAnsi="宋体"/>
          <w:kern w:val="2"/>
          <w:szCs w:val="30"/>
        </w:rPr>
        <w:t>为交易双方或者多方提供网络经营场所、交易撮合、信息发布等服务</w:t>
      </w:r>
      <w:r>
        <w:rPr>
          <w:rFonts w:hint="eastAsia" w:hAnsi="宋体"/>
          <w:kern w:val="2"/>
          <w:szCs w:val="30"/>
          <w:lang w:eastAsia="zh-CN"/>
        </w:rPr>
        <w:t>，供交易双方或者多方独立开展网络零售交易活动</w:t>
      </w:r>
      <w:r>
        <w:rPr>
          <w:rFonts w:hint="eastAsia" w:hAnsi="宋体"/>
          <w:kern w:val="2"/>
          <w:szCs w:val="30"/>
        </w:rPr>
        <w:t>的法人或者非法人组织。</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第三条（适用范围</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hAnsi="宋体"/>
          <w:kern w:val="2"/>
          <w:szCs w:val="30"/>
        </w:rPr>
      </w:pPr>
      <w:r>
        <w:rPr>
          <w:rFonts w:hint="eastAsia" w:hAnsi="宋体"/>
          <w:kern w:val="2"/>
          <w:szCs w:val="30"/>
        </w:rPr>
        <w:t>本指引适用于在本市行政区域内开展经营活动的</w:t>
      </w:r>
      <w:r>
        <w:rPr>
          <w:rFonts w:hint="eastAsia" w:hAnsi="宋体"/>
          <w:kern w:val="2"/>
          <w:szCs w:val="30"/>
          <w:lang w:val="en"/>
        </w:rPr>
        <w:t>网络零售平台</w:t>
      </w:r>
      <w:r>
        <w:rPr>
          <w:rFonts w:hint="eastAsia" w:hAnsi="宋体"/>
          <w:kern w:val="2"/>
          <w:szCs w:val="30"/>
        </w:rPr>
        <w:t>经营者。</w:t>
      </w:r>
    </w:p>
    <w:p>
      <w:pPr>
        <w:tabs>
          <w:tab w:val="left" w:pos="790"/>
          <w:tab w:val="left" w:pos="1264"/>
        </w:tabs>
        <w:overflowPunct w:val="0"/>
        <w:adjustRightInd w:val="0"/>
        <w:snapToGrid w:val="0"/>
        <w:spacing w:line="336" w:lineRule="auto"/>
        <w:ind w:firstLine="624"/>
        <w:jc w:val="both"/>
        <w:rPr>
          <w:rFonts w:hint="eastAsia" w:hAnsi="宋体"/>
          <w:kern w:val="2"/>
          <w:szCs w:val="30"/>
        </w:rPr>
      </w:pPr>
      <w:r>
        <w:rPr>
          <w:rFonts w:hint="eastAsia" w:hAnsi="宋体"/>
          <w:kern w:val="2"/>
          <w:szCs w:val="30"/>
          <w:lang w:val="en-US" w:eastAsia="zh-CN"/>
        </w:rPr>
        <w:t>网络社交、网络直播等网络服务提供者为经营者提供网络经营场所、商品浏览、订单生成、在线支付等网络零售平台服务的，应当遵守本指引。</w:t>
      </w:r>
    </w:p>
    <w:p>
      <w:pPr>
        <w:tabs>
          <w:tab w:val="left" w:pos="790"/>
          <w:tab w:val="left" w:pos="1264"/>
        </w:tabs>
        <w:overflowPunct w:val="0"/>
        <w:adjustRightInd w:val="0"/>
        <w:snapToGrid w:val="0"/>
        <w:spacing w:line="336" w:lineRule="auto"/>
        <w:ind w:firstLine="624"/>
        <w:jc w:val="both"/>
        <w:rPr>
          <w:rFonts w:hint="default" w:ascii="黑体" w:hAnsi="黑体" w:eastAsia="黑体" w:cs="黑体"/>
          <w:kern w:val="2"/>
          <w:szCs w:val="30"/>
          <w:lang w:val="en" w:eastAsia="zh-CN"/>
        </w:rPr>
      </w:pPr>
      <w:r>
        <w:rPr>
          <w:rFonts w:hint="eastAsia" w:ascii="黑体" w:hAnsi="黑体" w:eastAsia="黑体" w:cs="黑体"/>
          <w:kern w:val="2"/>
          <w:szCs w:val="30"/>
          <w:lang w:val="en" w:eastAsia="zh-CN"/>
        </w:rPr>
        <w:t>第四条（合规管理建设</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hAnsi="宋体"/>
          <w:kern w:val="2"/>
          <w:szCs w:val="30"/>
        </w:rPr>
      </w:pPr>
      <w:r>
        <w:rPr>
          <w:rFonts w:hint="eastAsia" w:hAnsi="宋体"/>
          <w:kern w:val="2"/>
          <w:szCs w:val="30"/>
          <w:lang w:val="en"/>
        </w:rPr>
        <w:t>网络零售平台</w:t>
      </w:r>
      <w:r>
        <w:rPr>
          <w:rFonts w:hint="eastAsia" w:hAnsi="宋体"/>
          <w:kern w:val="2"/>
          <w:szCs w:val="30"/>
        </w:rPr>
        <w:t>经营者</w:t>
      </w:r>
      <w:r>
        <w:rPr>
          <w:rFonts w:hint="eastAsia" w:hAnsi="宋体"/>
          <w:kern w:val="2"/>
          <w:szCs w:val="30"/>
          <w:lang w:eastAsia="zh-CN"/>
        </w:rPr>
        <w:t>应当积极落实平台主体责任，强化企业主要负责人管理责任，</w:t>
      </w:r>
      <w:r>
        <w:rPr>
          <w:rFonts w:hint="eastAsia" w:hAnsi="宋体"/>
          <w:kern w:val="2"/>
          <w:szCs w:val="30"/>
        </w:rPr>
        <w:t>可以参照本指引确定平台合规管理工作内容，完善合规运行机制，加强合规风险识别、评估、处置，开展合规评审与改进。</w:t>
      </w:r>
    </w:p>
    <w:p>
      <w:pPr>
        <w:tabs>
          <w:tab w:val="left" w:pos="790"/>
          <w:tab w:val="left" w:pos="1264"/>
        </w:tabs>
        <w:overflowPunct w:val="0"/>
        <w:adjustRightInd w:val="0"/>
        <w:snapToGrid w:val="0"/>
        <w:spacing w:line="336" w:lineRule="auto"/>
        <w:ind w:firstLine="624"/>
        <w:jc w:val="both"/>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before="180" w:after="120" w:line="336" w:lineRule="auto"/>
        <w:jc w:val="center"/>
        <w:textAlignment w:val="auto"/>
        <w:rPr>
          <w:rFonts w:hint="eastAsia" w:ascii="方正小标宋简体" w:hAnsi="宋体" w:eastAsia="方正小标宋简体"/>
          <w:kern w:val="2"/>
          <w:sz w:val="36"/>
          <w:szCs w:val="36"/>
        </w:rPr>
      </w:pPr>
      <w:r>
        <w:rPr>
          <w:rFonts w:hint="eastAsia" w:ascii="方正小标宋简体" w:hAnsi="宋体" w:eastAsia="方正小标宋简体"/>
          <w:kern w:val="2"/>
          <w:sz w:val="36"/>
          <w:szCs w:val="36"/>
        </w:rPr>
        <w:t>第二章</w:t>
      </w:r>
      <w:r>
        <w:rPr>
          <w:rFonts w:hint="eastAsia" w:ascii="方正小标宋简体" w:hAnsi="宋体" w:eastAsia="方正小标宋简体"/>
          <w:kern w:val="2"/>
          <w:sz w:val="36"/>
          <w:szCs w:val="36"/>
          <w:lang w:eastAsia="zh-CN"/>
        </w:rPr>
        <w:t>　</w:t>
      </w:r>
      <w:r>
        <w:rPr>
          <w:rFonts w:hint="eastAsia" w:ascii="方正小标宋简体" w:hAnsi="宋体" w:eastAsia="方正小标宋简体"/>
          <w:kern w:val="2"/>
          <w:sz w:val="36"/>
          <w:szCs w:val="36"/>
        </w:rPr>
        <w:t>平台主体合规要求</w:t>
      </w:r>
    </w:p>
    <w:p>
      <w:pPr>
        <w:tabs>
          <w:tab w:val="left" w:pos="790"/>
          <w:tab w:val="left" w:pos="1264"/>
        </w:tabs>
        <w:overflowPunct w:val="0"/>
        <w:adjustRightInd w:val="0"/>
        <w:snapToGrid w:val="0"/>
        <w:spacing w:line="336" w:lineRule="auto"/>
        <w:ind w:firstLine="624"/>
        <w:jc w:val="both"/>
        <w:rPr>
          <w:rFonts w:hint="default" w:ascii="黑体" w:hAnsi="黑体" w:eastAsia="黑体" w:cs="黑体"/>
          <w:kern w:val="2"/>
          <w:szCs w:val="30"/>
          <w:lang w:val="en" w:eastAsia="zh-CN"/>
        </w:rPr>
      </w:pPr>
      <w:r>
        <w:rPr>
          <w:rFonts w:hint="eastAsia" w:ascii="黑体" w:hAnsi="黑体" w:eastAsia="黑体" w:cs="黑体"/>
          <w:kern w:val="2"/>
          <w:szCs w:val="30"/>
          <w:lang w:val="en" w:eastAsia="zh-CN"/>
        </w:rPr>
        <w:t>第五条（资质要求</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hAnsi="宋体"/>
          <w:kern w:val="2"/>
          <w:szCs w:val="30"/>
        </w:rPr>
      </w:pPr>
      <w:r>
        <w:rPr>
          <w:rFonts w:hint="eastAsia" w:hAnsi="宋体"/>
          <w:kern w:val="2"/>
          <w:szCs w:val="30"/>
          <w:lang w:val="en"/>
        </w:rPr>
        <w:t>网络零售平台</w:t>
      </w:r>
      <w:r>
        <w:rPr>
          <w:rFonts w:hint="eastAsia" w:hAnsi="宋体"/>
          <w:kern w:val="2"/>
          <w:szCs w:val="30"/>
        </w:rPr>
        <w:t>经营者应当依法办理市场主体登记，并根据实际开展的经营活动，依法取得相关行政许可或备案，包括：</w:t>
      </w:r>
    </w:p>
    <w:p>
      <w:pPr>
        <w:tabs>
          <w:tab w:val="left" w:pos="790"/>
          <w:tab w:val="left" w:pos="1264"/>
        </w:tabs>
        <w:overflowPunct w:val="0"/>
        <w:adjustRightInd w:val="0"/>
        <w:snapToGrid w:val="0"/>
        <w:spacing w:line="336" w:lineRule="auto"/>
        <w:ind w:firstLine="624"/>
        <w:jc w:val="both"/>
        <w:rPr>
          <w:rFonts w:hint="eastAsia" w:hAnsi="宋体"/>
          <w:kern w:val="2"/>
          <w:szCs w:val="30"/>
        </w:rPr>
      </w:pPr>
      <w:r>
        <w:rPr>
          <w:rFonts w:hint="eastAsia" w:hAnsi="宋体"/>
          <w:kern w:val="2"/>
          <w:szCs w:val="30"/>
        </w:rPr>
        <w:t>（一）提供食品（含食用农产品、食品添加剂）</w:t>
      </w:r>
      <w:r>
        <w:rPr>
          <w:rFonts w:hint="eastAsia" w:hAnsi="宋体"/>
          <w:kern w:val="2"/>
          <w:szCs w:val="30"/>
          <w:lang w:val="en"/>
        </w:rPr>
        <w:t>网络零售平台</w:t>
      </w:r>
      <w:r>
        <w:rPr>
          <w:rFonts w:hint="eastAsia" w:hAnsi="宋体"/>
          <w:kern w:val="2"/>
          <w:szCs w:val="30"/>
        </w:rPr>
        <w:t>服务的，应当依法取得网络食品交易第三方平台备案</w:t>
      </w:r>
      <w:r>
        <w:rPr>
          <w:rFonts w:hint="eastAsia" w:hAnsi="宋体"/>
          <w:kern w:val="2"/>
          <w:szCs w:val="30"/>
          <w:lang w:eastAsia="zh-CN"/>
        </w:rPr>
        <w:t>凭证</w:t>
      </w:r>
      <w:r>
        <w:rPr>
          <w:rFonts w:hint="eastAsia" w:hAnsi="宋体"/>
          <w:kern w:val="2"/>
          <w:szCs w:val="30"/>
        </w:rPr>
        <w:t>；</w:t>
      </w:r>
    </w:p>
    <w:p>
      <w:pPr>
        <w:tabs>
          <w:tab w:val="left" w:pos="790"/>
          <w:tab w:val="left" w:pos="1264"/>
        </w:tabs>
        <w:overflowPunct w:val="0"/>
        <w:adjustRightInd w:val="0"/>
        <w:snapToGrid w:val="0"/>
        <w:spacing w:line="336" w:lineRule="auto"/>
        <w:ind w:firstLine="624"/>
        <w:jc w:val="both"/>
        <w:rPr>
          <w:rFonts w:hint="eastAsia" w:hAnsi="宋体"/>
          <w:kern w:val="2"/>
          <w:szCs w:val="30"/>
        </w:rPr>
      </w:pPr>
      <w:r>
        <w:rPr>
          <w:rFonts w:hint="eastAsia" w:hAnsi="宋体"/>
          <w:kern w:val="2"/>
          <w:szCs w:val="30"/>
        </w:rPr>
        <w:t>（二）提供药品</w:t>
      </w:r>
      <w:r>
        <w:rPr>
          <w:rFonts w:hint="eastAsia" w:hAnsi="宋体"/>
          <w:kern w:val="2"/>
          <w:szCs w:val="30"/>
          <w:lang w:val="en"/>
        </w:rPr>
        <w:t>网络零售平台</w:t>
      </w:r>
      <w:r>
        <w:rPr>
          <w:rFonts w:hint="eastAsia" w:hAnsi="宋体"/>
          <w:kern w:val="2"/>
          <w:szCs w:val="30"/>
        </w:rPr>
        <w:t>服务的，应当依法取得《互联网药品信息服务资格证书》</w:t>
      </w:r>
      <w:r>
        <w:rPr>
          <w:rFonts w:hint="eastAsia" w:hAnsi="宋体"/>
          <w:kern w:val="2"/>
          <w:szCs w:val="30"/>
          <w:lang w:eastAsia="zh-CN"/>
        </w:rPr>
        <w:t>和</w:t>
      </w:r>
      <w:r>
        <w:rPr>
          <w:rFonts w:hint="eastAsia" w:hAnsi="宋体"/>
          <w:kern w:val="2"/>
          <w:szCs w:val="30"/>
        </w:rPr>
        <w:t>药品网络交易服务第三方平台备案</w:t>
      </w:r>
      <w:r>
        <w:rPr>
          <w:rFonts w:hint="eastAsia" w:hAnsi="宋体"/>
          <w:kern w:val="2"/>
          <w:szCs w:val="30"/>
          <w:lang w:eastAsia="zh-CN"/>
        </w:rPr>
        <w:t>凭证</w:t>
      </w:r>
      <w:r>
        <w:rPr>
          <w:rFonts w:hint="eastAsia" w:hAnsi="宋体"/>
          <w:kern w:val="2"/>
          <w:szCs w:val="30"/>
        </w:rPr>
        <w:t>；</w:t>
      </w:r>
    </w:p>
    <w:p>
      <w:pPr>
        <w:tabs>
          <w:tab w:val="left" w:pos="790"/>
          <w:tab w:val="left" w:pos="1264"/>
        </w:tabs>
        <w:overflowPunct w:val="0"/>
        <w:adjustRightInd w:val="0"/>
        <w:snapToGrid w:val="0"/>
        <w:spacing w:line="336" w:lineRule="auto"/>
        <w:ind w:firstLine="624"/>
        <w:jc w:val="both"/>
        <w:rPr>
          <w:rFonts w:hint="eastAsia" w:hAnsi="宋体"/>
          <w:kern w:val="2"/>
          <w:szCs w:val="30"/>
        </w:rPr>
      </w:pPr>
      <w:r>
        <w:rPr>
          <w:rFonts w:hint="eastAsia" w:hAnsi="宋体"/>
          <w:kern w:val="2"/>
          <w:szCs w:val="30"/>
        </w:rPr>
        <w:t>（</w:t>
      </w:r>
      <w:r>
        <w:rPr>
          <w:rFonts w:hint="eastAsia" w:hAnsi="宋体"/>
          <w:kern w:val="2"/>
          <w:szCs w:val="30"/>
          <w:lang w:eastAsia="zh-CN"/>
        </w:rPr>
        <w:t>三</w:t>
      </w:r>
      <w:r>
        <w:rPr>
          <w:rFonts w:hint="eastAsia" w:hAnsi="宋体"/>
          <w:kern w:val="2"/>
          <w:szCs w:val="30"/>
        </w:rPr>
        <w:t>）提供医疗器械</w:t>
      </w:r>
      <w:r>
        <w:rPr>
          <w:rFonts w:hint="eastAsia" w:hAnsi="宋体"/>
          <w:kern w:val="2"/>
          <w:szCs w:val="30"/>
          <w:lang w:val="en"/>
        </w:rPr>
        <w:t>网络零售平台</w:t>
      </w:r>
      <w:r>
        <w:rPr>
          <w:rFonts w:hint="eastAsia" w:hAnsi="宋体"/>
          <w:kern w:val="2"/>
          <w:szCs w:val="30"/>
        </w:rPr>
        <w:t>服务的，应当依法取得《互联网药品信息服务资格证书》</w:t>
      </w:r>
      <w:r>
        <w:rPr>
          <w:rFonts w:hint="eastAsia" w:hAnsi="宋体"/>
          <w:kern w:val="2"/>
          <w:szCs w:val="30"/>
          <w:lang w:eastAsia="zh-CN"/>
        </w:rPr>
        <w:t>和</w:t>
      </w:r>
      <w:r>
        <w:rPr>
          <w:rFonts w:hint="eastAsia" w:hAnsi="宋体"/>
          <w:kern w:val="2"/>
          <w:szCs w:val="30"/>
        </w:rPr>
        <w:t>医疗器械网络交易服务第三方平台备案</w:t>
      </w:r>
      <w:r>
        <w:rPr>
          <w:rFonts w:hint="eastAsia" w:hAnsi="宋体"/>
          <w:kern w:val="2"/>
          <w:szCs w:val="30"/>
          <w:lang w:eastAsia="zh-CN"/>
        </w:rPr>
        <w:t>凭证</w:t>
      </w:r>
      <w:r>
        <w:rPr>
          <w:rFonts w:hint="eastAsia" w:hAnsi="宋体"/>
          <w:kern w:val="2"/>
          <w:szCs w:val="30"/>
        </w:rPr>
        <w:t>；</w:t>
      </w:r>
    </w:p>
    <w:p>
      <w:pPr>
        <w:tabs>
          <w:tab w:val="left" w:pos="790"/>
          <w:tab w:val="left" w:pos="1264"/>
        </w:tabs>
        <w:overflowPunct w:val="0"/>
        <w:adjustRightInd w:val="0"/>
        <w:snapToGrid w:val="0"/>
        <w:spacing w:line="336" w:lineRule="auto"/>
        <w:ind w:firstLine="624"/>
        <w:jc w:val="both"/>
        <w:rPr>
          <w:rFonts w:hint="eastAsia" w:hAnsi="宋体"/>
          <w:kern w:val="2"/>
          <w:szCs w:val="30"/>
        </w:rPr>
      </w:pPr>
      <w:r>
        <w:rPr>
          <w:rFonts w:hint="eastAsia" w:hAnsi="宋体"/>
          <w:kern w:val="2"/>
          <w:szCs w:val="30"/>
        </w:rPr>
        <w:t>（</w:t>
      </w:r>
      <w:r>
        <w:rPr>
          <w:rFonts w:hint="eastAsia" w:hAnsi="宋体"/>
          <w:kern w:val="2"/>
          <w:szCs w:val="30"/>
          <w:lang w:eastAsia="zh-CN"/>
        </w:rPr>
        <w:t>四</w:t>
      </w:r>
      <w:r>
        <w:rPr>
          <w:rFonts w:hint="eastAsia" w:hAnsi="宋体"/>
          <w:kern w:val="2"/>
          <w:szCs w:val="30"/>
        </w:rPr>
        <w:t>）其他依法应取得的行政许可或备案</w:t>
      </w:r>
      <w:r>
        <w:rPr>
          <w:rFonts w:hint="eastAsia" w:hAnsi="宋体"/>
          <w:kern w:val="2"/>
          <w:szCs w:val="30"/>
          <w:lang w:eastAsia="zh-CN"/>
        </w:rPr>
        <w:t>凭证</w:t>
      </w:r>
      <w:r>
        <w:rPr>
          <w:rFonts w:hint="eastAsia" w:hAnsi="宋体"/>
          <w:kern w:val="2"/>
          <w:szCs w:val="30"/>
        </w:rPr>
        <w:t>。</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第六条（资质信息公示</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hAnsi="宋体"/>
          <w:kern w:val="2"/>
          <w:szCs w:val="30"/>
        </w:rPr>
      </w:pPr>
      <w:r>
        <w:rPr>
          <w:rFonts w:hint="eastAsia" w:hAnsi="宋体"/>
          <w:kern w:val="2"/>
          <w:szCs w:val="30"/>
          <w:lang w:val="en"/>
        </w:rPr>
        <w:t>网络零售平台</w:t>
      </w:r>
      <w:r>
        <w:rPr>
          <w:rFonts w:hint="eastAsia" w:hAnsi="宋体"/>
          <w:kern w:val="2"/>
          <w:szCs w:val="30"/>
        </w:rPr>
        <w:t>经营者应依法在</w:t>
      </w:r>
      <w:r>
        <w:rPr>
          <w:rFonts w:hint="default" w:hAnsi="宋体"/>
          <w:kern w:val="2"/>
          <w:szCs w:val="30"/>
          <w:lang w:val="en"/>
        </w:rPr>
        <w:t>其网站首页或者从事经营活动的主页面显著位置</w:t>
      </w:r>
      <w:r>
        <w:rPr>
          <w:rFonts w:hint="eastAsia" w:hAnsi="宋体"/>
          <w:kern w:val="2"/>
          <w:szCs w:val="30"/>
        </w:rPr>
        <w:t>，持续公示营业执照、相关行政许可或备案等信息，或者上述信息的链接标识。相关信息发生变更的，应当在十个工作日内完成更新公示。</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第七条（终止服务</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hAnsi="宋体"/>
          <w:kern w:val="2"/>
          <w:szCs w:val="30"/>
        </w:rPr>
      </w:pPr>
      <w:r>
        <w:rPr>
          <w:rFonts w:hint="eastAsia" w:hAnsi="宋体"/>
          <w:kern w:val="2"/>
          <w:szCs w:val="30"/>
          <w:lang w:val="en"/>
        </w:rPr>
        <w:t>网络零售平台</w:t>
      </w:r>
      <w:r>
        <w:rPr>
          <w:rFonts w:hint="eastAsia" w:hAnsi="宋体"/>
          <w:kern w:val="2"/>
          <w:szCs w:val="30"/>
        </w:rPr>
        <w:t>经营者拟自行终止提供平台服务的，应当提前三十日在其网站首页或者从事经营活动的主页面显著位置，持续公示终止网络交易活动公告等有关信息，并采取合理、必要、及时的措施保障消费者和相关经营者的合法权益。</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第八条（平台协议与交易规则</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hAnsi="宋体"/>
          <w:kern w:val="2"/>
          <w:szCs w:val="30"/>
        </w:rPr>
      </w:pPr>
      <w:r>
        <w:rPr>
          <w:rFonts w:hint="eastAsia" w:hAnsi="宋体"/>
          <w:kern w:val="2"/>
          <w:szCs w:val="30"/>
          <w:lang w:val="en"/>
        </w:rPr>
        <w:t>网络零售平台</w:t>
      </w:r>
      <w:r>
        <w:rPr>
          <w:rFonts w:hint="eastAsia" w:hAnsi="宋体"/>
          <w:kern w:val="2"/>
          <w:szCs w:val="30"/>
        </w:rPr>
        <w:t>经营者应当遵循公开、公平、公正的原则制定平台服务协议和交易规则，明确</w:t>
      </w:r>
      <w:r>
        <w:rPr>
          <w:rFonts w:hint="eastAsia" w:hAnsi="宋体"/>
          <w:kern w:val="2"/>
          <w:szCs w:val="30"/>
          <w:lang w:eastAsia="zh-CN"/>
        </w:rPr>
        <w:t>与各方主体</w:t>
      </w:r>
      <w:r>
        <w:rPr>
          <w:rFonts w:hint="eastAsia" w:hAnsi="宋体"/>
          <w:kern w:val="2"/>
          <w:szCs w:val="30"/>
        </w:rPr>
        <w:t>的权利和义务，包括：</w:t>
      </w:r>
    </w:p>
    <w:p>
      <w:pPr>
        <w:tabs>
          <w:tab w:val="left" w:pos="790"/>
          <w:tab w:val="left" w:pos="1264"/>
        </w:tabs>
        <w:overflowPunct w:val="0"/>
        <w:adjustRightInd w:val="0"/>
        <w:snapToGrid w:val="0"/>
        <w:spacing w:line="336" w:lineRule="auto"/>
        <w:ind w:firstLine="624"/>
        <w:jc w:val="both"/>
        <w:rPr>
          <w:rFonts w:hint="eastAsia" w:hAnsi="宋体"/>
          <w:kern w:val="2"/>
          <w:szCs w:val="30"/>
        </w:rPr>
      </w:pPr>
      <w:r>
        <w:rPr>
          <w:rFonts w:hint="eastAsia" w:hAnsi="宋体"/>
          <w:kern w:val="2"/>
          <w:szCs w:val="30"/>
        </w:rPr>
        <w:t>（一）与平台内经营</w:t>
      </w:r>
      <w:r>
        <w:rPr>
          <w:rFonts w:hint="eastAsia" w:hAnsi="宋体"/>
          <w:kern w:val="2"/>
          <w:szCs w:val="30"/>
          <w:lang w:eastAsia="zh-CN"/>
        </w:rPr>
        <w:t>者相关</w:t>
      </w:r>
      <w:r>
        <w:rPr>
          <w:rFonts w:hint="eastAsia" w:hAnsi="宋体"/>
          <w:kern w:val="2"/>
          <w:szCs w:val="30"/>
        </w:rPr>
        <w:t>的服务协议和交易规则，如经营者入驻及退出、信息公示、商品信息发布、食品药品等特殊商品安全保障、产品质量安全保障、消费者权益保护、知识产权保护、广告营销、违法违规行为处理等方面的协议和规则；</w:t>
      </w:r>
    </w:p>
    <w:p>
      <w:pPr>
        <w:tabs>
          <w:tab w:val="left" w:pos="790"/>
          <w:tab w:val="left" w:pos="1264"/>
        </w:tabs>
        <w:overflowPunct w:val="0"/>
        <w:adjustRightInd w:val="0"/>
        <w:snapToGrid w:val="0"/>
        <w:spacing w:line="336" w:lineRule="auto"/>
        <w:ind w:firstLine="624"/>
        <w:jc w:val="both"/>
        <w:rPr>
          <w:rFonts w:hint="eastAsia" w:hAnsi="宋体"/>
          <w:kern w:val="2"/>
          <w:szCs w:val="30"/>
        </w:rPr>
      </w:pPr>
      <w:r>
        <w:rPr>
          <w:rFonts w:hint="eastAsia" w:hAnsi="宋体"/>
          <w:kern w:val="2"/>
          <w:szCs w:val="30"/>
        </w:rPr>
        <w:t>（二）与消费者</w:t>
      </w:r>
      <w:r>
        <w:rPr>
          <w:rFonts w:hint="eastAsia" w:hAnsi="宋体"/>
          <w:kern w:val="2"/>
          <w:szCs w:val="30"/>
          <w:lang w:eastAsia="zh-CN"/>
        </w:rPr>
        <w:t>相关</w:t>
      </w:r>
      <w:r>
        <w:rPr>
          <w:rFonts w:hint="eastAsia" w:hAnsi="宋体"/>
          <w:kern w:val="2"/>
          <w:szCs w:val="30"/>
        </w:rPr>
        <w:t>的服务协议和交易规则，如用户注册及退出、个人信息保护、支付服务、交易履约、退换货、争议</w:t>
      </w:r>
      <w:r>
        <w:rPr>
          <w:rFonts w:hint="default" w:hAnsi="宋体"/>
          <w:kern w:val="2"/>
          <w:szCs w:val="30"/>
        </w:rPr>
        <w:t>处理</w:t>
      </w:r>
      <w:r>
        <w:rPr>
          <w:rFonts w:hint="eastAsia" w:hAnsi="宋体"/>
          <w:kern w:val="2"/>
          <w:szCs w:val="30"/>
        </w:rPr>
        <w:t>、信用评价等方面的协议和规则；</w:t>
      </w:r>
    </w:p>
    <w:p>
      <w:pPr>
        <w:tabs>
          <w:tab w:val="left" w:pos="790"/>
          <w:tab w:val="left" w:pos="1264"/>
        </w:tabs>
        <w:overflowPunct w:val="0"/>
        <w:adjustRightInd w:val="0"/>
        <w:snapToGrid w:val="0"/>
        <w:spacing w:line="336" w:lineRule="auto"/>
        <w:ind w:firstLine="624"/>
        <w:jc w:val="both"/>
        <w:rPr>
          <w:rFonts w:hint="eastAsia" w:hAnsi="宋体"/>
          <w:kern w:val="2"/>
          <w:szCs w:val="30"/>
        </w:rPr>
      </w:pPr>
      <w:r>
        <w:rPr>
          <w:rFonts w:hint="eastAsia" w:hAnsi="宋体"/>
          <w:kern w:val="2"/>
          <w:szCs w:val="30"/>
        </w:rPr>
        <w:t>（三）平台制定的其他服务协议和交易规则。</w:t>
      </w:r>
    </w:p>
    <w:p>
      <w:pPr>
        <w:tabs>
          <w:tab w:val="left" w:pos="790"/>
          <w:tab w:val="left" w:pos="1264"/>
        </w:tabs>
        <w:overflowPunct w:val="0"/>
        <w:adjustRightInd w:val="0"/>
        <w:snapToGrid w:val="0"/>
        <w:spacing w:line="336" w:lineRule="auto"/>
        <w:ind w:firstLine="624"/>
        <w:jc w:val="both"/>
        <w:rPr>
          <w:rFonts w:hint="eastAsia" w:hAnsi="宋体"/>
          <w:kern w:val="2"/>
          <w:szCs w:val="30"/>
        </w:rPr>
      </w:pPr>
      <w:r>
        <w:rPr>
          <w:rFonts w:hint="eastAsia" w:hAnsi="宋体"/>
          <w:kern w:val="2"/>
          <w:szCs w:val="30"/>
          <w:lang w:val="en"/>
        </w:rPr>
        <w:t>网络零售平台</w:t>
      </w:r>
      <w:r>
        <w:rPr>
          <w:rFonts w:hint="eastAsia" w:hAnsi="宋体"/>
          <w:kern w:val="2"/>
          <w:szCs w:val="30"/>
        </w:rPr>
        <w:t>经营者应当在其</w:t>
      </w:r>
      <w:r>
        <w:rPr>
          <w:rFonts w:hint="default" w:hAnsi="宋体"/>
          <w:kern w:val="2"/>
          <w:szCs w:val="30"/>
          <w:lang w:val="en"/>
        </w:rPr>
        <w:t>网站首页或者从事经营活动的主页面显著位置</w:t>
      </w:r>
      <w:r>
        <w:rPr>
          <w:rFonts w:hint="eastAsia" w:hAnsi="宋体"/>
          <w:kern w:val="2"/>
          <w:szCs w:val="30"/>
        </w:rPr>
        <w:t>持续公示平台服务协议和交易规则信息或者上述信息的链接标识，并保证经营者和消费者能够便利、完整地阅览和下载。</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第九条（规则修改</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hAnsi="宋体"/>
          <w:kern w:val="2"/>
          <w:szCs w:val="30"/>
          <w:lang w:eastAsia="zh-CN"/>
        </w:rPr>
      </w:pPr>
      <w:r>
        <w:rPr>
          <w:rFonts w:hint="eastAsia" w:hAnsi="宋体"/>
          <w:kern w:val="2"/>
          <w:szCs w:val="30"/>
          <w:lang w:val="en"/>
        </w:rPr>
        <w:t>网络零售平台</w:t>
      </w:r>
      <w:r>
        <w:rPr>
          <w:rFonts w:hint="eastAsia" w:hAnsi="宋体"/>
          <w:kern w:val="2"/>
          <w:szCs w:val="30"/>
        </w:rPr>
        <w:t>经营者修改平台服务协议和交易规则，应当在其网站首页或者从事经营活动的主页面显著位置公开征求意见</w:t>
      </w:r>
      <w:r>
        <w:rPr>
          <w:rFonts w:hint="eastAsia" w:hAnsi="宋体"/>
          <w:kern w:val="2"/>
          <w:szCs w:val="30"/>
          <w:lang w:eastAsia="zh-CN"/>
        </w:rPr>
        <w:t>，</w:t>
      </w:r>
      <w:r>
        <w:rPr>
          <w:rFonts w:hint="eastAsia" w:hAnsi="宋体"/>
          <w:kern w:val="2"/>
          <w:szCs w:val="30"/>
        </w:rPr>
        <w:t>修改内容应当至少在实施前七日予以公示。</w:t>
      </w:r>
    </w:p>
    <w:p>
      <w:pPr>
        <w:tabs>
          <w:tab w:val="left" w:pos="790"/>
          <w:tab w:val="left" w:pos="1264"/>
        </w:tabs>
        <w:overflowPunct w:val="0"/>
        <w:adjustRightInd w:val="0"/>
        <w:snapToGrid w:val="0"/>
        <w:spacing w:line="336" w:lineRule="auto"/>
        <w:ind w:firstLine="624"/>
        <w:jc w:val="both"/>
        <w:rPr>
          <w:rFonts w:hint="eastAsia" w:hAnsi="宋体"/>
          <w:kern w:val="2"/>
          <w:szCs w:val="30"/>
        </w:rPr>
      </w:pPr>
      <w:r>
        <w:rPr>
          <w:rFonts w:hint="eastAsia" w:hAnsi="宋体"/>
          <w:kern w:val="2"/>
          <w:szCs w:val="30"/>
          <w:lang w:val="en"/>
        </w:rPr>
        <w:t>网络零售平台</w:t>
      </w:r>
      <w:r>
        <w:rPr>
          <w:rFonts w:hint="eastAsia" w:hAnsi="宋体"/>
          <w:kern w:val="2"/>
          <w:szCs w:val="30"/>
        </w:rPr>
        <w:t>经营者</w:t>
      </w:r>
      <w:r>
        <w:rPr>
          <w:rFonts w:hint="eastAsia" w:hAnsi="宋体"/>
          <w:kern w:val="2"/>
          <w:szCs w:val="30"/>
          <w:lang w:eastAsia="zh-CN"/>
        </w:rPr>
        <w:t>应提供意见反馈渠道，</w:t>
      </w:r>
      <w:r>
        <w:rPr>
          <w:rFonts w:hint="eastAsia" w:hAnsi="宋体"/>
          <w:kern w:val="2"/>
          <w:szCs w:val="30"/>
        </w:rPr>
        <w:t>采取合理措施确保消费者、平台内经营者等有关各方能够及时充分表达意见</w:t>
      </w:r>
      <w:r>
        <w:rPr>
          <w:rFonts w:hint="eastAsia" w:hAnsi="宋体"/>
          <w:kern w:val="2"/>
          <w:szCs w:val="30"/>
          <w:lang w:eastAsia="zh-CN"/>
        </w:rPr>
        <w:t>，对可能影响消费者、平台内经营者重大权益的内容应事先进行充分的风险评估，及时修改不公平、不合理内容。</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第十条（规则保存</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hAnsi="宋体"/>
          <w:kern w:val="2"/>
          <w:szCs w:val="30"/>
        </w:rPr>
      </w:pPr>
      <w:r>
        <w:rPr>
          <w:rFonts w:hint="eastAsia" w:hAnsi="宋体"/>
          <w:kern w:val="2"/>
          <w:szCs w:val="30"/>
          <w:lang w:val="en"/>
        </w:rPr>
        <w:t>网络零售平台</w:t>
      </w:r>
      <w:r>
        <w:rPr>
          <w:rFonts w:hint="eastAsia" w:hAnsi="宋体"/>
          <w:kern w:val="2"/>
          <w:szCs w:val="30"/>
        </w:rPr>
        <w:t>经营者修改平台服务协议和交易规则的，应当完整保存修改后的版本生效之日前三年的全部历史版本，并保证经营者和消费者能够便利、完整地阅览和下载。</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第十一条（合规管理机构</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hAnsi="宋体"/>
          <w:kern w:val="2"/>
          <w:szCs w:val="30"/>
        </w:rPr>
      </w:pPr>
      <w:r>
        <w:rPr>
          <w:rFonts w:hint="eastAsia" w:hAnsi="宋体"/>
          <w:kern w:val="2"/>
          <w:szCs w:val="30"/>
          <w:lang w:val="en"/>
        </w:rPr>
        <w:t>网络零售平台</w:t>
      </w:r>
      <w:r>
        <w:rPr>
          <w:rFonts w:hint="eastAsia" w:hAnsi="宋体"/>
          <w:kern w:val="2"/>
          <w:szCs w:val="30"/>
        </w:rPr>
        <w:t>经营者应当设置与其经营规模、风险等级、管理水平、安全状况相适应的合规管理机构</w:t>
      </w:r>
      <w:r>
        <w:rPr>
          <w:rFonts w:hint="eastAsia" w:hAnsi="宋体"/>
          <w:kern w:val="2"/>
          <w:szCs w:val="30"/>
          <w:lang w:eastAsia="zh-CN"/>
        </w:rPr>
        <w:t>，配备相适应的人员</w:t>
      </w:r>
      <w:r>
        <w:rPr>
          <w:rFonts w:hint="eastAsia" w:hAnsi="宋体"/>
          <w:kern w:val="2"/>
          <w:szCs w:val="30"/>
        </w:rPr>
        <w:t>，明确合规管理负责人，定期开展培训和考核。</w:t>
      </w:r>
    </w:p>
    <w:p>
      <w:pPr>
        <w:tabs>
          <w:tab w:val="left" w:pos="790"/>
          <w:tab w:val="left" w:pos="1264"/>
        </w:tabs>
        <w:overflowPunct w:val="0"/>
        <w:adjustRightInd w:val="0"/>
        <w:snapToGrid w:val="0"/>
        <w:spacing w:line="336" w:lineRule="auto"/>
        <w:ind w:firstLine="624"/>
        <w:jc w:val="both"/>
        <w:rPr>
          <w:rFonts w:hint="default" w:hAnsi="宋体"/>
          <w:kern w:val="2"/>
          <w:szCs w:val="30"/>
        </w:rPr>
      </w:pPr>
      <w:r>
        <w:rPr>
          <w:rFonts w:hint="eastAsia" w:hAnsi="宋体"/>
          <w:kern w:val="2"/>
          <w:szCs w:val="30"/>
        </w:rPr>
        <w:t>为食品、药品、医疗器械、化妆品等特殊商品提供网络零售</w:t>
      </w:r>
      <w:r>
        <w:rPr>
          <w:rFonts w:hint="eastAsia" w:hAnsi="宋体"/>
          <w:kern w:val="2"/>
          <w:szCs w:val="30"/>
          <w:lang w:val="en-US" w:eastAsia="zh-CN"/>
        </w:rPr>
        <w:t>平台服务的，应依法设置食品、药品、医疗器械、化妆品等质量</w:t>
      </w:r>
      <w:r>
        <w:rPr>
          <w:rFonts w:hint="eastAsia" w:hAnsi="宋体"/>
          <w:kern w:val="2"/>
          <w:szCs w:val="30"/>
        </w:rPr>
        <w:t>安全管理机构</w:t>
      </w:r>
      <w:r>
        <w:rPr>
          <w:rFonts w:hint="eastAsia" w:hAnsi="宋体"/>
          <w:kern w:val="2"/>
          <w:szCs w:val="30"/>
          <w:lang w:val="en-US" w:eastAsia="zh-CN"/>
        </w:rPr>
        <w:t>或</w:t>
      </w:r>
      <w:r>
        <w:rPr>
          <w:rFonts w:hint="eastAsia" w:hAnsi="宋体"/>
          <w:kern w:val="2"/>
          <w:szCs w:val="30"/>
        </w:rPr>
        <w:t>配备专业人员承担相关商品的质量安全管理工作。</w:t>
      </w:r>
    </w:p>
    <w:p>
      <w:pPr>
        <w:tabs>
          <w:tab w:val="left" w:pos="790"/>
          <w:tab w:val="left" w:pos="1264"/>
        </w:tabs>
        <w:overflowPunct w:val="0"/>
        <w:adjustRightInd w:val="0"/>
        <w:snapToGrid w:val="0"/>
        <w:spacing w:line="336" w:lineRule="auto"/>
        <w:ind w:firstLine="624"/>
        <w:jc w:val="both"/>
        <w:rPr>
          <w:rFonts w:hint="default" w:ascii="黑体" w:hAnsi="黑体" w:eastAsia="黑体" w:cs="黑体"/>
          <w:kern w:val="2"/>
          <w:szCs w:val="30"/>
          <w:lang w:val="en" w:eastAsia="zh-CN"/>
        </w:rPr>
      </w:pPr>
      <w:r>
        <w:rPr>
          <w:rFonts w:hint="default" w:ascii="黑体" w:hAnsi="黑体" w:eastAsia="黑体" w:cs="黑体"/>
          <w:kern w:val="2"/>
          <w:szCs w:val="30"/>
          <w:lang w:val="en" w:eastAsia="zh-CN"/>
        </w:rPr>
        <w:t>第十</w:t>
      </w:r>
      <w:r>
        <w:rPr>
          <w:rFonts w:hint="eastAsia" w:ascii="黑体" w:hAnsi="黑体" w:eastAsia="黑体" w:cs="黑体"/>
          <w:kern w:val="2"/>
          <w:szCs w:val="30"/>
          <w:lang w:val="en" w:eastAsia="zh-CN"/>
        </w:rPr>
        <w:t>二条（合规管理制度</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hAnsi="宋体"/>
          <w:kern w:val="2"/>
          <w:szCs w:val="30"/>
        </w:rPr>
      </w:pPr>
      <w:r>
        <w:rPr>
          <w:rFonts w:hint="eastAsia" w:hAnsi="宋体"/>
          <w:kern w:val="2"/>
          <w:szCs w:val="30"/>
          <w:lang w:val="en"/>
        </w:rPr>
        <w:t>网络零售平台</w:t>
      </w:r>
      <w:r>
        <w:rPr>
          <w:rFonts w:hint="eastAsia" w:hAnsi="宋体"/>
          <w:kern w:val="2"/>
          <w:szCs w:val="30"/>
        </w:rPr>
        <w:t>经营者应根据实际开展的经营活动，依法建立并实施主体准入管理、商品准入管理、质量安全管理、规则管理、信息发布管理、信用管理、广告营销管理、知识产权</w:t>
      </w:r>
      <w:r>
        <w:rPr>
          <w:rFonts w:hint="eastAsia" w:hAnsi="宋体"/>
          <w:kern w:val="2"/>
          <w:szCs w:val="30"/>
          <w:lang w:eastAsia="zh-CN"/>
        </w:rPr>
        <w:t>保护</w:t>
      </w:r>
      <w:r>
        <w:rPr>
          <w:rFonts w:hint="eastAsia" w:hAnsi="宋体"/>
          <w:kern w:val="2"/>
          <w:szCs w:val="30"/>
        </w:rPr>
        <w:t>管理、</w:t>
      </w:r>
      <w:r>
        <w:rPr>
          <w:rFonts w:hint="eastAsia" w:hAnsi="宋体"/>
          <w:kern w:val="2"/>
          <w:szCs w:val="30"/>
          <w:lang w:eastAsia="zh-CN"/>
        </w:rPr>
        <w:t>个人信息保护管理、</w:t>
      </w:r>
      <w:r>
        <w:rPr>
          <w:rFonts w:hint="eastAsia" w:hAnsi="宋体"/>
          <w:kern w:val="2"/>
          <w:szCs w:val="30"/>
        </w:rPr>
        <w:t>数据安全管理、交易安全管理、消费者权益保护、投诉举报处理、安全事故处置、违法行为处置及报告等管理制度。</w:t>
      </w:r>
    </w:p>
    <w:p>
      <w:pPr>
        <w:tabs>
          <w:tab w:val="left" w:pos="790"/>
          <w:tab w:val="left" w:pos="1264"/>
        </w:tabs>
        <w:overflowPunct w:val="0"/>
        <w:adjustRightInd w:val="0"/>
        <w:snapToGrid w:val="0"/>
        <w:spacing w:line="336" w:lineRule="auto"/>
        <w:ind w:firstLine="624"/>
        <w:jc w:val="both"/>
        <w:rPr>
          <w:rFonts w:hint="eastAsia" w:hAnsi="宋体"/>
          <w:kern w:val="2"/>
          <w:szCs w:val="30"/>
        </w:rPr>
      </w:pPr>
      <w:r>
        <w:rPr>
          <w:rFonts w:hint="eastAsia" w:hAnsi="宋体"/>
          <w:kern w:val="2"/>
          <w:szCs w:val="30"/>
          <w:lang w:eastAsia="zh-CN"/>
        </w:rPr>
        <w:t>为</w:t>
      </w:r>
      <w:r>
        <w:rPr>
          <w:rFonts w:hint="eastAsia" w:hAnsi="宋体"/>
          <w:kern w:val="2"/>
          <w:szCs w:val="30"/>
        </w:rPr>
        <w:t>食品、药品、医疗器械、化妆品</w:t>
      </w:r>
      <w:r>
        <w:rPr>
          <w:rFonts w:hint="eastAsia" w:hAnsi="宋体"/>
          <w:kern w:val="2"/>
          <w:szCs w:val="30"/>
          <w:lang w:eastAsia="zh-CN"/>
        </w:rPr>
        <w:t>等特殊商品提供</w:t>
      </w:r>
      <w:r>
        <w:rPr>
          <w:rFonts w:hint="eastAsia" w:hAnsi="宋体"/>
          <w:kern w:val="2"/>
          <w:szCs w:val="30"/>
          <w:lang w:val="en"/>
        </w:rPr>
        <w:t>网络零售平台</w:t>
      </w:r>
      <w:r>
        <w:rPr>
          <w:rFonts w:hint="eastAsia" w:hAnsi="宋体"/>
          <w:kern w:val="2"/>
          <w:szCs w:val="30"/>
        </w:rPr>
        <w:t>服务的，还应当依法建立食品安全自查、药品处方审核及实名购买、药品配送管理、医疗器械质量安全监测、医疗器械质量安全信息公告、化妆品日常检查、不良反应报告等管理制度。</w:t>
      </w:r>
    </w:p>
    <w:p>
      <w:pPr>
        <w:tabs>
          <w:tab w:val="left" w:pos="790"/>
          <w:tab w:val="left" w:pos="1264"/>
        </w:tabs>
        <w:overflowPunct w:val="0"/>
        <w:adjustRightInd w:val="0"/>
        <w:snapToGrid w:val="0"/>
        <w:spacing w:line="336" w:lineRule="auto"/>
        <w:ind w:firstLine="624"/>
        <w:jc w:val="both"/>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before="180" w:after="120" w:line="336" w:lineRule="auto"/>
        <w:jc w:val="center"/>
        <w:textAlignment w:val="auto"/>
        <w:rPr>
          <w:rFonts w:hint="eastAsia" w:ascii="方正小标宋简体" w:hAnsi="宋体" w:eastAsia="方正小标宋简体"/>
          <w:kern w:val="2"/>
          <w:sz w:val="36"/>
          <w:szCs w:val="36"/>
        </w:rPr>
      </w:pPr>
      <w:r>
        <w:rPr>
          <w:rFonts w:hint="eastAsia" w:ascii="方正小标宋简体" w:hAnsi="宋体" w:eastAsia="方正小标宋简体"/>
          <w:kern w:val="2"/>
          <w:sz w:val="36"/>
          <w:szCs w:val="36"/>
        </w:rPr>
        <w:t>第三章</w:t>
      </w:r>
      <w:r>
        <w:rPr>
          <w:rFonts w:hint="eastAsia" w:ascii="方正小标宋简体" w:hAnsi="宋体" w:eastAsia="方正小标宋简体"/>
          <w:kern w:val="2"/>
          <w:sz w:val="36"/>
          <w:szCs w:val="36"/>
          <w:lang w:eastAsia="zh-CN"/>
        </w:rPr>
        <w:t>　</w:t>
      </w:r>
      <w:r>
        <w:rPr>
          <w:rFonts w:hint="eastAsia" w:ascii="方正小标宋简体" w:hAnsi="宋体" w:eastAsia="方正小标宋简体"/>
          <w:kern w:val="2"/>
          <w:sz w:val="36"/>
          <w:szCs w:val="36"/>
        </w:rPr>
        <w:t>商户及商品管理要求</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第十三条（入驻主体审核</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hAnsi="宋体"/>
          <w:kern w:val="2"/>
          <w:szCs w:val="30"/>
          <w:lang w:val="en"/>
        </w:rPr>
      </w:pPr>
      <w:r>
        <w:rPr>
          <w:rFonts w:hint="eastAsia" w:hAnsi="宋体"/>
          <w:kern w:val="2"/>
          <w:szCs w:val="30"/>
          <w:lang w:val="en"/>
        </w:rPr>
        <w:t>网络零售平台经营者应当依法对申请进入平台的经营者</w:t>
      </w:r>
      <w:r>
        <w:rPr>
          <w:rFonts w:hint="eastAsia" w:hAnsi="宋体"/>
          <w:kern w:val="2"/>
          <w:szCs w:val="30"/>
          <w:lang w:val="en" w:eastAsia="zh-CN"/>
        </w:rPr>
        <w:t>提交的</w:t>
      </w:r>
      <w:r>
        <w:rPr>
          <w:rFonts w:hint="eastAsia" w:hAnsi="宋体"/>
          <w:kern w:val="2"/>
          <w:szCs w:val="30"/>
          <w:lang w:val="en"/>
        </w:rPr>
        <w:t>营业执照、行政许可、个人身份、地址、联系方式等主体资质或信息进行核验、登记，建立登记档案，并至少每六个月核验更新一次。一般应重点对以下内容进行核验：</w:t>
      </w:r>
    </w:p>
    <w:p>
      <w:pPr>
        <w:tabs>
          <w:tab w:val="left" w:pos="790"/>
          <w:tab w:val="left" w:pos="1264"/>
        </w:tabs>
        <w:overflowPunct w:val="0"/>
        <w:adjustRightInd w:val="0"/>
        <w:snapToGrid w:val="0"/>
        <w:spacing w:line="336" w:lineRule="auto"/>
        <w:ind w:firstLine="624"/>
        <w:jc w:val="both"/>
        <w:rPr>
          <w:rFonts w:hint="eastAsia" w:hAnsi="宋体"/>
          <w:kern w:val="2"/>
          <w:szCs w:val="30"/>
          <w:lang w:val="en"/>
        </w:rPr>
      </w:pPr>
      <w:r>
        <w:rPr>
          <w:rFonts w:hint="eastAsia" w:hAnsi="宋体"/>
          <w:kern w:val="2"/>
          <w:szCs w:val="30"/>
          <w:lang w:val="en"/>
        </w:rPr>
        <w:t>（一）未取得营业执照的自然人经营者是否符合《中华人民共和国电子商务法》</w:t>
      </w:r>
      <w:r>
        <w:rPr>
          <w:rFonts w:hint="eastAsia" w:hAnsi="宋体"/>
          <w:kern w:val="2"/>
          <w:szCs w:val="30"/>
          <w:lang w:val="en" w:eastAsia="zh-CN"/>
        </w:rPr>
        <w:t>规定的</w:t>
      </w:r>
      <w:r>
        <w:rPr>
          <w:rFonts w:hint="eastAsia" w:hAnsi="宋体"/>
          <w:kern w:val="2"/>
          <w:szCs w:val="30"/>
          <w:lang w:val="en"/>
        </w:rPr>
        <w:t>免于主体登记的情形；</w:t>
      </w:r>
    </w:p>
    <w:p>
      <w:pPr>
        <w:tabs>
          <w:tab w:val="left" w:pos="790"/>
          <w:tab w:val="left" w:pos="1264"/>
        </w:tabs>
        <w:overflowPunct w:val="0"/>
        <w:adjustRightInd w:val="0"/>
        <w:snapToGrid w:val="0"/>
        <w:spacing w:line="336" w:lineRule="auto"/>
        <w:ind w:firstLine="624"/>
        <w:jc w:val="both"/>
        <w:rPr>
          <w:rFonts w:hint="eastAsia" w:hAnsi="宋体"/>
          <w:kern w:val="2"/>
          <w:szCs w:val="30"/>
          <w:lang w:val="en"/>
        </w:rPr>
      </w:pPr>
      <w:r>
        <w:rPr>
          <w:rFonts w:hint="eastAsia" w:hAnsi="宋体"/>
          <w:kern w:val="2"/>
          <w:szCs w:val="30"/>
          <w:lang w:val="en"/>
        </w:rPr>
        <w:t>（二）平台内经营者提供的营业执照</w:t>
      </w:r>
      <w:r>
        <w:rPr>
          <w:rFonts w:hint="eastAsia" w:hAnsi="宋体"/>
          <w:kern w:val="2"/>
          <w:szCs w:val="30"/>
          <w:lang w:val="en" w:eastAsia="zh-CN"/>
        </w:rPr>
        <w:t>和</w:t>
      </w:r>
      <w:r>
        <w:rPr>
          <w:rFonts w:hint="eastAsia" w:hAnsi="宋体"/>
          <w:kern w:val="2"/>
          <w:szCs w:val="30"/>
          <w:lang w:val="en"/>
        </w:rPr>
        <w:t>相关许可资质证明的主体信息是否一致，是否存在伪造、变造、冒用、过期等情形；</w:t>
      </w:r>
    </w:p>
    <w:p>
      <w:pPr>
        <w:tabs>
          <w:tab w:val="left" w:pos="790"/>
          <w:tab w:val="left" w:pos="1264"/>
        </w:tabs>
        <w:overflowPunct w:val="0"/>
        <w:adjustRightInd w:val="0"/>
        <w:snapToGrid w:val="0"/>
        <w:spacing w:line="336" w:lineRule="auto"/>
        <w:ind w:firstLine="624"/>
        <w:jc w:val="both"/>
        <w:rPr>
          <w:rFonts w:hint="eastAsia" w:hAnsi="宋体"/>
          <w:kern w:val="2"/>
          <w:szCs w:val="30"/>
          <w:lang w:val="en"/>
        </w:rPr>
      </w:pPr>
      <w:r>
        <w:rPr>
          <w:rFonts w:hint="eastAsia" w:hAnsi="宋体"/>
          <w:kern w:val="2"/>
          <w:szCs w:val="30"/>
          <w:lang w:val="en"/>
        </w:rPr>
        <w:t>（三）平台内经营者是否按照相关许可资质证明载明的主体业态、经营范围、批准的经营方式从事经营活动；</w:t>
      </w:r>
    </w:p>
    <w:p>
      <w:pPr>
        <w:tabs>
          <w:tab w:val="left" w:pos="790"/>
          <w:tab w:val="left" w:pos="1264"/>
        </w:tabs>
        <w:overflowPunct w:val="0"/>
        <w:adjustRightInd w:val="0"/>
        <w:snapToGrid w:val="0"/>
        <w:spacing w:line="336" w:lineRule="auto"/>
        <w:ind w:firstLine="624"/>
        <w:jc w:val="both"/>
        <w:rPr>
          <w:rFonts w:hint="eastAsia" w:hAnsi="宋体"/>
          <w:kern w:val="2"/>
          <w:szCs w:val="30"/>
          <w:lang w:val="en"/>
        </w:rPr>
      </w:pPr>
      <w:r>
        <w:rPr>
          <w:rFonts w:hint="eastAsia" w:hAnsi="宋体"/>
          <w:kern w:val="2"/>
          <w:szCs w:val="30"/>
          <w:lang w:val="en"/>
        </w:rPr>
        <w:t>（四）提供药品网络零售平台服务的，应当对平台内药品经营者</w:t>
      </w:r>
      <w:r>
        <w:rPr>
          <w:rFonts w:hint="eastAsia" w:hAnsi="宋体"/>
          <w:kern w:val="2"/>
          <w:szCs w:val="30"/>
          <w:lang w:val="en" w:eastAsia="zh-CN"/>
        </w:rPr>
        <w:t>经营方式为零售的药品经营许可证和质</w:t>
      </w:r>
      <w:r>
        <w:rPr>
          <w:rFonts w:hint="eastAsia" w:hAnsi="宋体"/>
          <w:kern w:val="2"/>
          <w:szCs w:val="30"/>
          <w:lang w:val="en"/>
        </w:rPr>
        <w:t>量安全保证能力进行</w:t>
      </w:r>
      <w:r>
        <w:rPr>
          <w:rFonts w:hint="eastAsia" w:hAnsi="宋体"/>
          <w:kern w:val="2"/>
          <w:szCs w:val="30"/>
          <w:lang w:val="en" w:eastAsia="zh-CN"/>
        </w:rPr>
        <w:t>核验</w:t>
      </w:r>
      <w:r>
        <w:rPr>
          <w:rFonts w:hint="eastAsia" w:hAnsi="宋体"/>
          <w:kern w:val="2"/>
          <w:szCs w:val="30"/>
          <w:lang w:val="en"/>
        </w:rPr>
        <w:t>；</w:t>
      </w:r>
    </w:p>
    <w:p>
      <w:pPr>
        <w:tabs>
          <w:tab w:val="left" w:pos="790"/>
          <w:tab w:val="left" w:pos="1264"/>
        </w:tabs>
        <w:overflowPunct w:val="0"/>
        <w:adjustRightInd w:val="0"/>
        <w:snapToGrid w:val="0"/>
        <w:spacing w:line="336" w:lineRule="auto"/>
        <w:ind w:firstLine="624"/>
        <w:jc w:val="both"/>
        <w:rPr>
          <w:rFonts w:hint="eastAsia" w:hAnsi="宋体"/>
          <w:kern w:val="2"/>
          <w:szCs w:val="30"/>
          <w:lang w:val="en"/>
        </w:rPr>
      </w:pPr>
      <w:r>
        <w:rPr>
          <w:rFonts w:hint="eastAsia" w:hAnsi="宋体"/>
          <w:kern w:val="2"/>
          <w:szCs w:val="30"/>
          <w:lang w:val="en"/>
        </w:rPr>
        <w:t>（五）提供医疗器械网络零售平台服务的，应当对平台内医疗器械经营者资质和网络销售告知登记进行审核。</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第十四条（资质更新管理</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hAnsi="宋体"/>
          <w:kern w:val="2"/>
          <w:szCs w:val="30"/>
          <w:lang w:val="en"/>
        </w:rPr>
      </w:pPr>
      <w:r>
        <w:rPr>
          <w:rFonts w:hint="eastAsia" w:hAnsi="宋体"/>
          <w:kern w:val="2"/>
          <w:szCs w:val="30"/>
          <w:lang w:val="en"/>
        </w:rPr>
        <w:t>网络零售平台经营者应当对平台内经营者进行动态监测，提示平台内经营者及时变更证照、个人身份等信息，及时提醒已不符合免于办理市场主体登记情形的平台内经营者</w:t>
      </w:r>
      <w:r>
        <w:rPr>
          <w:rFonts w:hint="eastAsia" w:hAnsi="宋体"/>
          <w:kern w:val="2"/>
          <w:szCs w:val="30"/>
          <w:lang w:val="en" w:eastAsia="zh-CN"/>
        </w:rPr>
        <w:t>依法</w:t>
      </w:r>
      <w:r>
        <w:rPr>
          <w:rFonts w:hint="eastAsia" w:hAnsi="宋体"/>
          <w:kern w:val="2"/>
          <w:szCs w:val="30"/>
          <w:lang w:val="en"/>
        </w:rPr>
        <w:t>办理市场主体登记，并应当在七个工作日内对平台内经营者报送的变更信息进行审核，完成更新公示。</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第十五条（平台内经营者信息公示</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hAnsi="宋体"/>
          <w:kern w:val="2"/>
          <w:szCs w:val="30"/>
          <w:lang w:val="en"/>
        </w:rPr>
      </w:pPr>
      <w:r>
        <w:rPr>
          <w:rFonts w:hint="eastAsia" w:hAnsi="宋体"/>
          <w:kern w:val="2"/>
          <w:szCs w:val="30"/>
          <w:lang w:val="en"/>
        </w:rPr>
        <w:t>网络零售平台经营者应当指导平台内经营者在从事经营活动的主页面显著位置，依法持续公示营业执照、行政许可、免于办理市场主体登记具体情形等信息，或者上述信息的链接标识，并为平台内经营者依法办理市场主体登记、履行信息公示义务提供便利条件、技术支持。</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第十六条（知识产权授权审核</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rPr>
      </w:pPr>
      <w:r>
        <w:rPr>
          <w:rFonts w:hint="eastAsia" w:ascii="仿宋_GB2312" w:hAnsi="仿宋_GB2312" w:eastAsia="仿宋_GB2312" w:cs="仿宋_GB2312"/>
          <w:kern w:val="2"/>
          <w:szCs w:val="30"/>
          <w:lang w:val="en"/>
        </w:rPr>
        <w:t>网络零售平台经营者应当加强对平台内经营者知识产权授权情况审核，对平台内店铺类型标注为“旗舰店”“品牌店”“专营店”“专卖店”等字样的平台内经营者，应要求其提供相关权利证明</w:t>
      </w:r>
      <w:r>
        <w:rPr>
          <w:rFonts w:hint="eastAsia" w:ascii="仿宋_GB2312" w:hAnsi="仿宋_GB2312" w:eastAsia="仿宋_GB2312" w:cs="仿宋_GB2312"/>
          <w:kern w:val="2"/>
          <w:szCs w:val="30"/>
          <w:lang w:val="en" w:eastAsia="zh-CN"/>
        </w:rPr>
        <w:t>并进行</w:t>
      </w:r>
      <w:r>
        <w:rPr>
          <w:rFonts w:hint="eastAsia" w:ascii="仿宋_GB2312" w:hAnsi="仿宋_GB2312" w:eastAsia="仿宋_GB2312" w:cs="仿宋_GB2312"/>
          <w:kern w:val="2"/>
          <w:szCs w:val="30"/>
          <w:lang w:val="en"/>
        </w:rPr>
        <w:t>审核。</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第十七条（商品信息管理</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rPr>
      </w:pPr>
      <w:r>
        <w:rPr>
          <w:rFonts w:hint="eastAsia" w:ascii="仿宋_GB2312" w:hAnsi="仿宋_GB2312" w:eastAsia="仿宋_GB2312" w:cs="仿宋_GB2312"/>
          <w:kern w:val="2"/>
          <w:szCs w:val="30"/>
          <w:lang w:val="en"/>
        </w:rPr>
        <w:t>网络零售平台经营者应当建立健全商品发布规范，依法加强商品准入审核</w:t>
      </w:r>
      <w:r>
        <w:rPr>
          <w:rFonts w:hint="eastAsia" w:ascii="仿宋_GB2312" w:hAnsi="仿宋_GB2312" w:eastAsia="仿宋_GB2312" w:cs="仿宋_GB2312"/>
          <w:kern w:val="2"/>
          <w:szCs w:val="30"/>
          <w:lang w:val="en" w:eastAsia="zh-CN"/>
        </w:rPr>
        <w:t>和</w:t>
      </w:r>
      <w:r>
        <w:rPr>
          <w:rFonts w:hint="eastAsia" w:ascii="仿宋_GB2312" w:hAnsi="仿宋_GB2312" w:eastAsia="仿宋_GB2312" w:cs="仿宋_GB2312"/>
          <w:kern w:val="2"/>
          <w:szCs w:val="30"/>
          <w:lang w:val="en"/>
        </w:rPr>
        <w:t>商品信息检查，督促平台内经营者依法全面、真实、准确</w:t>
      </w:r>
      <w:r>
        <w:rPr>
          <w:rFonts w:hint="eastAsia" w:ascii="仿宋_GB2312" w:hAnsi="仿宋_GB2312" w:eastAsia="仿宋_GB2312" w:cs="仿宋_GB2312"/>
          <w:kern w:val="2"/>
          <w:szCs w:val="30"/>
          <w:lang w:val="en" w:eastAsia="zh-CN"/>
        </w:rPr>
        <w:t>、及时</w:t>
      </w:r>
      <w:r>
        <w:rPr>
          <w:rFonts w:hint="eastAsia" w:ascii="仿宋_GB2312" w:hAnsi="仿宋_GB2312" w:eastAsia="仿宋_GB2312" w:cs="仿宋_GB2312"/>
          <w:kern w:val="2"/>
          <w:szCs w:val="30"/>
          <w:lang w:val="en"/>
        </w:rPr>
        <w:t>地披露商品资质信息及其他相关必要信息，为信息披露提供必要技术支持。</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提供</w:t>
      </w:r>
      <w:r>
        <w:rPr>
          <w:rFonts w:hint="eastAsia" w:ascii="仿宋_GB2312" w:hAnsi="仿宋_GB2312" w:eastAsia="仿宋_GB2312" w:cs="仿宋_GB2312"/>
          <w:kern w:val="2"/>
          <w:szCs w:val="30"/>
          <w:lang w:val="en"/>
        </w:rPr>
        <w:t>保健食品、特殊医学用途配方食品、婴幼儿配方乳粉</w:t>
      </w:r>
      <w:r>
        <w:rPr>
          <w:rFonts w:hint="eastAsia" w:ascii="仿宋_GB2312" w:hAnsi="仿宋_GB2312" w:eastAsia="仿宋_GB2312" w:cs="仿宋_GB2312"/>
          <w:kern w:val="2"/>
          <w:szCs w:val="30"/>
          <w:lang w:val="en" w:eastAsia="zh-CN"/>
        </w:rPr>
        <w:t>等特殊食品网络零售平台服务的，应当督促平台内特殊食品经营者</w:t>
      </w:r>
      <w:r>
        <w:rPr>
          <w:rFonts w:hint="eastAsia" w:ascii="仿宋_GB2312" w:hAnsi="仿宋_GB2312" w:eastAsia="仿宋_GB2312" w:cs="仿宋_GB2312"/>
          <w:kern w:val="2"/>
          <w:szCs w:val="30"/>
          <w:lang w:val="en"/>
        </w:rPr>
        <w:t>在其经营活动主页面显著位置依法公示产品注册证书或者备案凭证</w:t>
      </w:r>
      <w:r>
        <w:rPr>
          <w:rFonts w:hint="eastAsia" w:ascii="仿宋_GB2312" w:hAnsi="仿宋_GB2312" w:eastAsia="仿宋_GB2312" w:cs="仿宋_GB2312"/>
          <w:kern w:val="2"/>
          <w:szCs w:val="30"/>
          <w:lang w:val="en" w:eastAsia="zh-CN"/>
        </w:rPr>
        <w:t>，督促平台内</w:t>
      </w:r>
      <w:r>
        <w:rPr>
          <w:rFonts w:hint="eastAsia" w:ascii="仿宋_GB2312" w:hAnsi="仿宋_GB2312" w:eastAsia="仿宋_GB2312" w:cs="仿宋_GB2312"/>
          <w:kern w:val="2"/>
          <w:szCs w:val="30"/>
          <w:lang w:val="en"/>
        </w:rPr>
        <w:t>保健食品</w:t>
      </w:r>
      <w:r>
        <w:rPr>
          <w:rFonts w:hint="eastAsia" w:ascii="仿宋_GB2312" w:hAnsi="仿宋_GB2312" w:eastAsia="仿宋_GB2312" w:cs="仿宋_GB2312"/>
          <w:kern w:val="2"/>
          <w:szCs w:val="30"/>
          <w:lang w:val="en" w:eastAsia="zh-CN"/>
        </w:rPr>
        <w:t>经营者</w:t>
      </w:r>
      <w:r>
        <w:rPr>
          <w:rFonts w:hint="eastAsia" w:ascii="仿宋_GB2312" w:hAnsi="仿宋_GB2312" w:eastAsia="仿宋_GB2312" w:cs="仿宋_GB2312"/>
          <w:kern w:val="2"/>
          <w:szCs w:val="30"/>
          <w:lang w:val="en"/>
        </w:rPr>
        <w:t>显著标明</w:t>
      </w:r>
      <w:r>
        <w:rPr>
          <w:rFonts w:hint="eastAsia" w:ascii="仿宋_GB2312" w:hAnsi="仿宋_GB2312" w:eastAsia="仿宋_GB2312" w:cs="仿宋_GB2312"/>
          <w:kern w:val="2"/>
          <w:szCs w:val="30"/>
          <w:lang w:val="en-US" w:eastAsia="zh-CN"/>
        </w:rPr>
        <w:t>“保健食品不是药物，不能代替药物治疗疾病”等消费提示</w:t>
      </w:r>
      <w:r>
        <w:rPr>
          <w:rFonts w:hint="eastAsia" w:ascii="仿宋_GB2312" w:hAnsi="仿宋_GB2312" w:eastAsia="仿宋_GB2312" w:cs="仿宋_GB2312"/>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rPr>
        <w:t>提供药品网络零售平台服务的，应当在每个药品展示页面下突出显示“处方药须凭处方在药师指导下购买和使用”等风险警示信息。</w:t>
      </w:r>
      <w:r>
        <w:rPr>
          <w:rFonts w:hint="eastAsia" w:ascii="仿宋_GB2312" w:hAnsi="仿宋_GB2312" w:eastAsia="仿宋_GB2312" w:cs="仿宋_GB2312"/>
          <w:kern w:val="2"/>
          <w:szCs w:val="30"/>
          <w:lang w:val="en" w:eastAsia="zh-CN"/>
        </w:rPr>
        <w:t>在药品网络销售平台首页、医药健康行业板块首页、平台内经营者店铺首页，不得展示处方药包装、标签等信息。</w:t>
      </w:r>
      <w:r>
        <w:rPr>
          <w:rFonts w:hint="eastAsia" w:ascii="仿宋_GB2312" w:hAnsi="仿宋_GB2312" w:eastAsia="仿宋_GB2312" w:cs="仿宋_GB2312"/>
          <w:kern w:val="2"/>
          <w:szCs w:val="30"/>
          <w:lang w:val="en"/>
        </w:rPr>
        <w:t>处方药销售前，应当向消费者充分告知相关风险警示信息，并经消费者确认知情。</w:t>
      </w:r>
      <w:r>
        <w:rPr>
          <w:rFonts w:hint="eastAsia" w:ascii="仿宋_GB2312" w:hAnsi="仿宋_GB2312" w:eastAsia="仿宋_GB2312" w:cs="仿宋_GB2312"/>
          <w:kern w:val="2"/>
          <w:szCs w:val="30"/>
          <w:lang w:val="en" w:eastAsia="zh-CN"/>
        </w:rPr>
        <w:t>通过处方审核前，不得展示或者提供药品说明书，页面中不得含有功能主治、适应症、用法用量等信息。</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rPr>
      </w:pPr>
      <w:r>
        <w:rPr>
          <w:rFonts w:hint="eastAsia" w:ascii="仿宋_GB2312" w:hAnsi="仿宋_GB2312" w:eastAsia="仿宋_GB2312" w:cs="仿宋_GB2312"/>
          <w:kern w:val="2"/>
          <w:szCs w:val="30"/>
          <w:lang w:val="en"/>
        </w:rPr>
        <w:t>提供医疗器械网络零售平台服务的，应当</w:t>
      </w:r>
      <w:r>
        <w:rPr>
          <w:rFonts w:hint="eastAsia" w:ascii="仿宋_GB2312" w:hAnsi="仿宋_GB2312" w:eastAsia="仿宋_GB2312" w:cs="仿宋_GB2312"/>
          <w:kern w:val="2"/>
          <w:szCs w:val="30"/>
          <w:lang w:val="en" w:eastAsia="zh-CN"/>
        </w:rPr>
        <w:t>采取</w:t>
      </w:r>
      <w:r>
        <w:rPr>
          <w:rFonts w:hint="eastAsia" w:ascii="仿宋_GB2312" w:hAnsi="仿宋_GB2312" w:eastAsia="仿宋_GB2312" w:cs="仿宋_GB2312"/>
          <w:kern w:val="2"/>
          <w:szCs w:val="30"/>
          <w:lang w:val="en"/>
        </w:rPr>
        <w:t>技术手段或其他方式</w:t>
      </w:r>
      <w:r>
        <w:rPr>
          <w:rFonts w:hint="eastAsia" w:ascii="仿宋_GB2312" w:hAnsi="仿宋_GB2312" w:eastAsia="仿宋_GB2312" w:cs="仿宋_GB2312"/>
          <w:kern w:val="2"/>
          <w:szCs w:val="30"/>
          <w:lang w:val="en" w:eastAsia="zh-CN"/>
        </w:rPr>
        <w:t>督促平台内</w:t>
      </w:r>
      <w:r>
        <w:rPr>
          <w:rFonts w:hint="eastAsia" w:ascii="仿宋_GB2312" w:hAnsi="仿宋_GB2312" w:eastAsia="仿宋_GB2312" w:cs="仿宋_GB2312"/>
          <w:kern w:val="2"/>
          <w:szCs w:val="30"/>
          <w:lang w:val="en"/>
        </w:rPr>
        <w:t>医疗器械经营者在其</w:t>
      </w:r>
      <w:r>
        <w:rPr>
          <w:rFonts w:hint="eastAsia" w:ascii="仿宋_GB2312" w:hAnsi="仿宋_GB2312" w:eastAsia="仿宋_GB2312" w:cs="仿宋_GB2312"/>
          <w:kern w:val="2"/>
          <w:szCs w:val="30"/>
          <w:lang w:val="en" w:eastAsia="zh-CN"/>
        </w:rPr>
        <w:t>发布的产品</w:t>
      </w:r>
      <w:r>
        <w:rPr>
          <w:rFonts w:hint="eastAsia" w:ascii="仿宋_GB2312" w:hAnsi="仿宋_GB2312" w:eastAsia="仿宋_GB2312" w:cs="仿宋_GB2312"/>
          <w:kern w:val="2"/>
          <w:szCs w:val="30"/>
          <w:lang w:val="en"/>
        </w:rPr>
        <w:t>页面展示该</w:t>
      </w:r>
      <w:r>
        <w:rPr>
          <w:rFonts w:hint="eastAsia" w:ascii="仿宋_GB2312" w:hAnsi="仿宋_GB2312" w:eastAsia="仿宋_GB2312" w:cs="仿宋_GB2312"/>
          <w:kern w:val="2"/>
          <w:szCs w:val="30"/>
          <w:lang w:val="en" w:eastAsia="zh-CN"/>
        </w:rPr>
        <w:t>产品</w:t>
      </w:r>
      <w:r>
        <w:rPr>
          <w:rFonts w:hint="eastAsia" w:ascii="仿宋_GB2312" w:hAnsi="仿宋_GB2312" w:eastAsia="仿宋_GB2312" w:cs="仿宋_GB2312"/>
          <w:kern w:val="2"/>
          <w:szCs w:val="30"/>
          <w:lang w:val="en"/>
        </w:rPr>
        <w:t>的医疗器械注册证或者备案凭证</w:t>
      </w:r>
      <w:r>
        <w:rPr>
          <w:rFonts w:hint="eastAsia" w:ascii="仿宋_GB2312" w:hAnsi="仿宋_GB2312" w:eastAsia="仿宋_GB2312" w:cs="仿宋_GB2312"/>
          <w:kern w:val="2"/>
          <w:szCs w:val="30"/>
          <w:lang w:val="en" w:eastAsia="zh-CN"/>
        </w:rPr>
        <w:t>，并进行核验。</w:t>
      </w:r>
      <w:r>
        <w:rPr>
          <w:rFonts w:hint="eastAsia" w:ascii="仿宋_GB2312" w:hAnsi="仿宋_GB2312" w:eastAsia="仿宋_GB2312" w:cs="仿宋_GB2312"/>
          <w:kern w:val="2"/>
          <w:szCs w:val="30"/>
          <w:lang w:val="en"/>
        </w:rPr>
        <w:t>相关展示信息应当画面清晰，容易辨识</w:t>
      </w:r>
      <w:r>
        <w:rPr>
          <w:rFonts w:hint="eastAsia" w:ascii="仿宋_GB2312" w:hAnsi="仿宋_GB2312" w:eastAsia="仿宋_GB2312" w:cs="仿宋_GB2312"/>
          <w:kern w:val="2"/>
          <w:szCs w:val="30"/>
          <w:lang w:val="en" w:eastAsia="zh-CN"/>
        </w:rPr>
        <w:t>，其中</w:t>
      </w:r>
      <w:r>
        <w:rPr>
          <w:rFonts w:hint="eastAsia" w:ascii="仿宋_GB2312" w:hAnsi="仿宋_GB2312" w:eastAsia="仿宋_GB2312" w:cs="仿宋_GB2312"/>
          <w:kern w:val="2"/>
          <w:szCs w:val="30"/>
          <w:lang w:val="en"/>
        </w:rPr>
        <w:t>医疗器械注册证或者备案凭证的编号</w:t>
      </w:r>
      <w:r>
        <w:rPr>
          <w:rFonts w:hint="eastAsia" w:ascii="仿宋_GB2312" w:hAnsi="仿宋_GB2312" w:eastAsia="仿宋_GB2312" w:cs="仿宋_GB2312"/>
          <w:kern w:val="2"/>
          <w:szCs w:val="30"/>
          <w:lang w:val="en" w:eastAsia="zh-CN"/>
        </w:rPr>
        <w:t>还</w:t>
      </w:r>
      <w:r>
        <w:rPr>
          <w:rFonts w:hint="eastAsia" w:ascii="仿宋_GB2312" w:hAnsi="仿宋_GB2312" w:eastAsia="仿宋_GB2312" w:cs="仿宋_GB2312"/>
          <w:kern w:val="2"/>
          <w:szCs w:val="30"/>
          <w:lang w:val="en"/>
        </w:rPr>
        <w:t>应以文本形式展示。</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rPr>
      </w:pPr>
      <w:r>
        <w:rPr>
          <w:rFonts w:hint="eastAsia" w:ascii="仿宋_GB2312" w:hAnsi="仿宋_GB2312" w:eastAsia="仿宋_GB2312" w:cs="仿宋_GB2312"/>
          <w:kern w:val="2"/>
          <w:szCs w:val="30"/>
          <w:lang w:val="en"/>
        </w:rPr>
        <w:t>提供化妆品网络零售平台服务的，应当在平台内化妆品经营者入驻平台发布化妆品信息时开展检查，核实平台内化妆品经营者发布的产品名称、特殊化妆品注册证编号、产品执行的标准编号等信息与国家药品监督管理局官方网站公布的相应产品信息</w:t>
      </w:r>
      <w:r>
        <w:rPr>
          <w:rFonts w:hint="eastAsia" w:cs="仿宋_GB2312"/>
          <w:kern w:val="2"/>
          <w:szCs w:val="30"/>
          <w:lang w:val="en" w:eastAsia="zh-CN"/>
        </w:rPr>
        <w:t>是否</w:t>
      </w:r>
      <w:r>
        <w:rPr>
          <w:rFonts w:hint="eastAsia" w:ascii="仿宋_GB2312" w:hAnsi="仿宋_GB2312" w:eastAsia="仿宋_GB2312" w:cs="仿宋_GB2312"/>
          <w:kern w:val="2"/>
          <w:szCs w:val="30"/>
          <w:lang w:val="en"/>
        </w:rPr>
        <w:t>一致，并根据产品风险情况，定期对平台内化妆品经营者</w:t>
      </w:r>
      <w:r>
        <w:rPr>
          <w:rFonts w:hint="eastAsia" w:cs="仿宋_GB2312"/>
          <w:kern w:val="2"/>
          <w:szCs w:val="30"/>
          <w:lang w:val="en" w:eastAsia="zh-CN"/>
        </w:rPr>
        <w:t>组织</w:t>
      </w:r>
      <w:r>
        <w:rPr>
          <w:rFonts w:hint="eastAsia" w:ascii="仿宋_GB2312" w:hAnsi="仿宋_GB2312" w:eastAsia="仿宋_GB2312" w:cs="仿宋_GB2312"/>
          <w:kern w:val="2"/>
          <w:szCs w:val="30"/>
          <w:lang w:val="en"/>
        </w:rPr>
        <w:t>开展日常经营行为检查。</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第十八条（禁售商品</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default" w:ascii="仿宋_GB2312" w:hAnsi="仿宋_GB2312" w:eastAsia="仿宋_GB2312" w:cs="仿宋_GB2312"/>
          <w:kern w:val="2"/>
          <w:szCs w:val="30"/>
          <w:lang w:val="en"/>
        </w:rPr>
      </w:pPr>
      <w:r>
        <w:rPr>
          <w:rFonts w:hint="eastAsia" w:ascii="仿宋_GB2312" w:hAnsi="仿宋_GB2312" w:eastAsia="仿宋_GB2312" w:cs="仿宋_GB2312"/>
          <w:kern w:val="2"/>
          <w:szCs w:val="30"/>
          <w:lang w:val="en"/>
        </w:rPr>
        <w:t>网络零售平台经营者应当制定禁止销售商品管理目录，明确禁止发布的商品信息内容和处理措施，并根据相关法律法规要求及时调整具体内容，采取措施制止平台内经营者销售下列商品：</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rPr>
      </w:pPr>
      <w:r>
        <w:rPr>
          <w:rFonts w:hint="eastAsia" w:ascii="仿宋_GB2312" w:hAnsi="仿宋_GB2312" w:eastAsia="仿宋_GB2312" w:cs="仿宋_GB2312"/>
          <w:kern w:val="2"/>
          <w:szCs w:val="30"/>
          <w:lang w:val="en" w:eastAsia="zh-CN"/>
        </w:rPr>
        <w:t>（一）</w:t>
      </w:r>
      <w:r>
        <w:rPr>
          <w:rFonts w:hint="eastAsia" w:ascii="仿宋_GB2312" w:hAnsi="仿宋_GB2312" w:eastAsia="仿宋_GB2312" w:cs="仿宋_GB2312"/>
          <w:kern w:val="2"/>
          <w:szCs w:val="30"/>
          <w:lang w:val="en"/>
        </w:rPr>
        <w:t>不符合保障人身、财产安全要求和环境保护要求的商品；</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rPr>
      </w:pPr>
      <w:r>
        <w:rPr>
          <w:rFonts w:hint="eastAsia" w:ascii="仿宋_GB2312" w:hAnsi="仿宋_GB2312" w:eastAsia="仿宋_GB2312" w:cs="仿宋_GB2312"/>
          <w:kern w:val="2"/>
          <w:szCs w:val="30"/>
          <w:lang w:val="en" w:eastAsia="zh-CN"/>
        </w:rPr>
        <w:t>（二）</w:t>
      </w:r>
      <w:r>
        <w:rPr>
          <w:rFonts w:hint="eastAsia" w:ascii="仿宋_GB2312" w:hAnsi="仿宋_GB2312" w:eastAsia="仿宋_GB2312" w:cs="仿宋_GB2312"/>
          <w:kern w:val="2"/>
          <w:szCs w:val="30"/>
          <w:lang w:val="en"/>
        </w:rPr>
        <w:t>国家明令淘汰并停止销售、失效、变质的商品；</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rPr>
      </w:pPr>
      <w:r>
        <w:rPr>
          <w:rFonts w:hint="eastAsia" w:ascii="仿宋_GB2312" w:hAnsi="仿宋_GB2312" w:eastAsia="仿宋_GB2312" w:cs="仿宋_GB2312"/>
          <w:kern w:val="2"/>
          <w:szCs w:val="30"/>
          <w:lang w:val="en"/>
        </w:rPr>
        <w:t>（三）不符合强制性国家标准的商品，无质量检验合格证明或者无中文标明产品名称、生产厂厂名和厂址的商品；</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rPr>
      </w:pPr>
      <w:r>
        <w:rPr>
          <w:rFonts w:hint="eastAsia" w:ascii="仿宋_GB2312" w:hAnsi="仿宋_GB2312" w:eastAsia="仿宋_GB2312" w:cs="仿宋_GB2312"/>
          <w:kern w:val="2"/>
          <w:szCs w:val="30"/>
          <w:lang w:val="en"/>
        </w:rPr>
        <w:t>（四）损害国家利益和社会公共利益，违背公序良俗的商品；</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rPr>
      </w:pPr>
      <w:r>
        <w:rPr>
          <w:rFonts w:hint="eastAsia" w:ascii="仿宋_GB2312" w:hAnsi="仿宋_GB2312" w:eastAsia="仿宋_GB2312" w:cs="仿宋_GB2312"/>
          <w:kern w:val="2"/>
          <w:szCs w:val="30"/>
          <w:lang w:val="en"/>
        </w:rPr>
        <w:t>（五）未依法取得</w:t>
      </w:r>
      <w:r>
        <w:rPr>
          <w:rFonts w:hint="eastAsia" w:ascii="仿宋_GB2312" w:hAnsi="仿宋_GB2312" w:eastAsia="仿宋_GB2312" w:cs="仿宋_GB2312"/>
          <w:kern w:val="2"/>
          <w:szCs w:val="30"/>
          <w:lang w:val="en" w:eastAsia="zh-CN"/>
        </w:rPr>
        <w:t>许可</w:t>
      </w:r>
      <w:r>
        <w:rPr>
          <w:rFonts w:hint="eastAsia" w:ascii="仿宋_GB2312" w:hAnsi="仿宋_GB2312" w:eastAsia="仿宋_GB2312" w:cs="仿宋_GB2312"/>
          <w:kern w:val="2"/>
          <w:szCs w:val="30"/>
          <w:lang w:val="en"/>
        </w:rPr>
        <w:t>、备案</w:t>
      </w:r>
      <w:r>
        <w:rPr>
          <w:rFonts w:hint="eastAsia" w:ascii="仿宋_GB2312" w:hAnsi="仿宋_GB2312" w:eastAsia="仿宋_GB2312" w:cs="仿宋_GB2312"/>
          <w:kern w:val="2"/>
          <w:szCs w:val="30"/>
          <w:lang w:val="en" w:eastAsia="zh-CN"/>
        </w:rPr>
        <w:t>、</w:t>
      </w:r>
      <w:r>
        <w:rPr>
          <w:rFonts w:hint="eastAsia" w:ascii="仿宋_GB2312" w:hAnsi="仿宋_GB2312" w:eastAsia="仿宋_GB2312" w:cs="仿宋_GB2312"/>
          <w:kern w:val="2"/>
          <w:szCs w:val="30"/>
          <w:lang w:val="en"/>
        </w:rPr>
        <w:t>强制性认证</w:t>
      </w:r>
      <w:r>
        <w:rPr>
          <w:rFonts w:hint="eastAsia" w:ascii="仿宋_GB2312" w:hAnsi="仿宋_GB2312" w:eastAsia="仿宋_GB2312" w:cs="仿宋_GB2312"/>
          <w:kern w:val="2"/>
          <w:szCs w:val="30"/>
          <w:lang w:val="en" w:eastAsia="zh-CN"/>
        </w:rPr>
        <w:t>或者其他特殊管理要求</w:t>
      </w:r>
      <w:r>
        <w:rPr>
          <w:rFonts w:hint="eastAsia" w:ascii="仿宋_GB2312" w:hAnsi="仿宋_GB2312" w:eastAsia="仿宋_GB2312" w:cs="仿宋_GB2312"/>
          <w:kern w:val="2"/>
          <w:szCs w:val="30"/>
          <w:lang w:val="en"/>
        </w:rPr>
        <w:t>的商品；</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（六）侵犯他人知识产权的商品；</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（七）国家药品监督管理部门发布的《药品网络销售禁止清单》中的药品；</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（八）烟草制品（含电子烟）、特殊医学用途配方食品中特定全营养配方食品；</w:t>
      </w:r>
    </w:p>
    <w:p>
      <w:pPr>
        <w:tabs>
          <w:tab w:val="left" w:pos="790"/>
          <w:tab w:val="left" w:pos="1264"/>
        </w:tabs>
        <w:overflowPunct w:val="0"/>
        <w:adjustRightInd w:val="0"/>
        <w:snapToGrid w:val="0"/>
        <w:spacing w:line="336" w:lineRule="auto"/>
        <w:ind w:firstLine="624"/>
        <w:jc w:val="both"/>
        <w:rPr>
          <w:rFonts w:hint="default"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（九）枪支、弹药、军火武器类商品，军用、警用类商品，管制器具类商品；</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（十）色情、暴力、低俗类商品，赌博、博彩类商品；</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（十一）法律法规禁止销售的动物、植物及相关制品，以及法律法规禁止使用的猎捕工具；</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（十二）危险化学品、易制毒化学品；</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（十三）有关部门明令暂停进口、销售的商品；</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（十四）法律、行政法规禁止网上交易的其他商品。</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US" w:eastAsia="zh-CN"/>
        </w:rPr>
        <w:t>禁止向未成年人销售酒类商品。</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网络零售平台经营者应对平台内销售的食品、药品等涉及消费者生命健康的商品加强安全管控，提示有关风险。</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第十九条（商品质量管理</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网络零售平台经营者应加强商品质量管理，配合相关主管部门开展平台内销售商品质量的抽查检验工作。</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网络零售平台经营者应当依法处置商品安全隐患，对相关主管部门公布的存在质量安全问题或者其他安全隐患的商品采取删除、屏蔽、断开链接等必要措施，督促平台内经营者召回问题商品、及时停止销售。</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网络零售平台经营者可以自行或者委托第三方机构对平台内商品质量进行检测，并根据平台协议、规则对抽检不合格商品及平台内经营者采取相应处置措施。</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第二十条（跨境商品</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从事跨境电商零售进口的网络服务平台经营者应当遵守国家商务部等部委和本市商务委等部门发布的关于跨境电商零售进口监管的相关政策，跨境电商零售进口产品品种应符合跨境电商正面清单目录及相关自贸区试点产品清单管理要求。对平台入驻企业既有跨境零售经营者，也有国内零售经营者的，应建立相互独立的区块或频道为跨境零售经营者和国内零售经营者提供平台服务，或以明显标识对跨境零售进口商品和非跨境商品予以区分，避免误导消费者。</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网络零售平台经营者应当对申请入驻平台的跨境电商零售进口经营者主体身份进行审核，配合跨境电商零售进口经营者</w:t>
      </w:r>
      <w:r>
        <w:rPr>
          <w:rFonts w:hint="default" w:ascii="仿宋_GB2312" w:hAnsi="仿宋_GB2312" w:eastAsia="仿宋_GB2312" w:cs="仿宋_GB2312"/>
          <w:kern w:val="2"/>
          <w:szCs w:val="30"/>
          <w:lang w:val="en-US" w:eastAsia="zh-CN"/>
        </w:rPr>
        <w:t>在商品订购网页或其他醒目位置向消费者提供风险告知书</w:t>
      </w:r>
      <w:r>
        <w:rPr>
          <w:rFonts w:hint="eastAsia" w:ascii="仿宋_GB2312" w:hAnsi="仿宋_GB2312" w:eastAsia="仿宋_GB2312" w:cs="仿宋_GB2312"/>
          <w:kern w:val="2"/>
          <w:szCs w:val="30"/>
          <w:lang w:val="en-US" w:eastAsia="zh-CN"/>
        </w:rPr>
        <w:t>，</w:t>
      </w:r>
      <w:r>
        <w:rPr>
          <w:rFonts w:hint="eastAsia" w:ascii="仿宋_GB2312" w:hAnsi="仿宋_GB2312" w:eastAsia="仿宋_GB2312" w:cs="仿宋_GB2312"/>
          <w:kern w:val="2"/>
          <w:szCs w:val="30"/>
          <w:lang w:val="en" w:eastAsia="zh-CN"/>
        </w:rPr>
        <w:t>向消费者提示相关商品原产地标准或技术规范要求可能与我国标准存在差异，可能无中文标签，以及商品仅限个人自用且不得再次销售等信息；对允许跨境电商零售进口的药品、医疗器械产品加强安全管理和风险提示，在境外药品、医疗器械销售页面上显著标明相关药品、医疗器械未经批准在我国上市，安全性、有效性和质量可控性未经审查，消费者应当充分权衡利弊，关注自行使用风险。</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网络零售平台经营者应采取技术手段等方式防止平台内跨境电商零售进口经营者销售不属于《跨境电子商务零售进口商品清单》列明的商品。</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before="180" w:after="120" w:line="336" w:lineRule="auto"/>
        <w:jc w:val="center"/>
        <w:textAlignment w:val="auto"/>
        <w:rPr>
          <w:rFonts w:hint="eastAsia" w:ascii="方正小标宋简体" w:hAnsi="宋体" w:eastAsia="方正小标宋简体"/>
          <w:kern w:val="2"/>
          <w:sz w:val="36"/>
          <w:szCs w:val="36"/>
        </w:rPr>
      </w:pPr>
      <w:r>
        <w:rPr>
          <w:rFonts w:hint="eastAsia" w:ascii="方正小标宋简体" w:hAnsi="宋体" w:eastAsia="方正小标宋简体"/>
          <w:kern w:val="2"/>
          <w:sz w:val="36"/>
          <w:szCs w:val="36"/>
        </w:rPr>
        <w:t>第四章</w:t>
      </w:r>
      <w:r>
        <w:rPr>
          <w:rFonts w:hint="eastAsia" w:ascii="方正小标宋简体" w:hAnsi="宋体" w:eastAsia="方正小标宋简体"/>
          <w:kern w:val="2"/>
          <w:sz w:val="36"/>
          <w:szCs w:val="36"/>
          <w:lang w:eastAsia="zh-CN"/>
        </w:rPr>
        <w:t>　</w:t>
      </w:r>
      <w:r>
        <w:rPr>
          <w:rFonts w:hint="eastAsia" w:ascii="方正小标宋简体" w:hAnsi="宋体" w:eastAsia="方正小标宋简体"/>
          <w:kern w:val="2"/>
          <w:sz w:val="36"/>
          <w:szCs w:val="36"/>
        </w:rPr>
        <w:t>运营管理要求</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第二十一条（广告营销</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default"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网络零售平台经营者在平台运营中应当遵守《中华人民共和国广告法》、</w:t>
      </w:r>
      <w:r>
        <w:rPr>
          <w:rFonts w:hint="default" w:ascii="仿宋_GB2312" w:hAnsi="仿宋_GB2312" w:eastAsia="仿宋_GB2312" w:cs="仿宋_GB2312"/>
          <w:kern w:val="2"/>
          <w:szCs w:val="30"/>
          <w:lang w:val="en" w:eastAsia="zh-CN"/>
        </w:rPr>
        <w:t>《互联网广告管理办法》</w:t>
      </w:r>
      <w:r>
        <w:rPr>
          <w:rFonts w:hint="eastAsia" w:ascii="仿宋_GB2312" w:hAnsi="仿宋_GB2312" w:eastAsia="仿宋_GB2312" w:cs="仿宋_GB2312"/>
          <w:kern w:val="2"/>
          <w:szCs w:val="30"/>
          <w:lang w:val="en" w:eastAsia="zh-CN"/>
        </w:rPr>
        <w:t>和《药品、医疗器械、保健食品、特殊医学用途配方食品广告审查暂行办法》等法律、法规</w:t>
      </w:r>
      <w:r>
        <w:rPr>
          <w:rFonts w:hint="eastAsia" w:cs="仿宋_GB2312"/>
          <w:kern w:val="2"/>
          <w:szCs w:val="30"/>
          <w:lang w:val="en" w:eastAsia="zh-CN"/>
        </w:rPr>
        <w:t>、</w:t>
      </w:r>
      <w:r>
        <w:rPr>
          <w:rFonts w:hint="eastAsia" w:ascii="仿宋_GB2312" w:hAnsi="仿宋_GB2312" w:eastAsia="仿宋_GB2312" w:cs="仿宋_GB2312"/>
          <w:kern w:val="2"/>
          <w:szCs w:val="30"/>
          <w:lang w:val="en" w:eastAsia="zh-CN"/>
        </w:rPr>
        <w:t>规章的规定，采取</w:t>
      </w:r>
      <w:r>
        <w:rPr>
          <w:rFonts w:hint="default" w:ascii="仿宋_GB2312" w:hAnsi="仿宋_GB2312" w:eastAsia="仿宋_GB2312" w:cs="仿宋_GB2312"/>
          <w:kern w:val="2"/>
          <w:szCs w:val="30"/>
          <w:lang w:val="en" w:eastAsia="zh-CN"/>
        </w:rPr>
        <w:t>相应</w:t>
      </w:r>
      <w:r>
        <w:rPr>
          <w:rFonts w:hint="eastAsia" w:ascii="仿宋_GB2312" w:hAnsi="仿宋_GB2312" w:eastAsia="仿宋_GB2312" w:cs="仿宋_GB2312"/>
          <w:kern w:val="2"/>
          <w:szCs w:val="30"/>
          <w:lang w:val="en" w:eastAsia="zh-CN"/>
        </w:rPr>
        <w:t>措施防范、制止违法广告，并遵守下列规定</w:t>
      </w:r>
      <w:r>
        <w:rPr>
          <w:rFonts w:hint="default" w:ascii="仿宋_GB2312" w:hAnsi="仿宋_GB2312" w:eastAsia="仿宋_GB2312" w:cs="仿宋_GB2312"/>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（一）以竞价排名等互联网广告形式推销商品、服务的，依法显著标明“广告”，与自然搜索结果明显区分；</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（二）记录、保存利用其信息服务发布广告的用户真实身份信息，确保广告发布者责任可追溯，信息记录保存时间自信息服务提供行为终了之日起不少于三年；</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（三）对利用其信息服务发布的广告内容进行监测、排查，依法采取相应措施制止违法广告并保留相关记录，建立有效的投诉、举报和处置机制，及时受理和处理投诉举报；</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（四）配合市场监督管理部门开展广告监测</w:t>
      </w:r>
      <w:r>
        <w:rPr>
          <w:rFonts w:hint="default" w:ascii="仿宋_GB2312" w:hAnsi="仿宋_GB2312" w:eastAsia="仿宋_GB2312" w:cs="仿宋_GB2312"/>
          <w:kern w:val="2"/>
          <w:szCs w:val="30"/>
          <w:lang w:val="en" w:eastAsia="zh-CN"/>
        </w:rPr>
        <w:t>、</w:t>
      </w:r>
      <w:r>
        <w:rPr>
          <w:rFonts w:hint="eastAsia" w:ascii="仿宋_GB2312" w:hAnsi="仿宋_GB2312" w:eastAsia="仿宋_GB2312" w:cs="仿宋_GB2312"/>
          <w:kern w:val="2"/>
          <w:szCs w:val="30"/>
          <w:lang w:val="en" w:eastAsia="zh-CN"/>
        </w:rPr>
        <w:t>调查互联网广告违法行为；</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（五）根据服务协议和平台规则对利用其信息服务发布违法广告的用户采取警示、暂停或者终止服务等措施。</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接受委托提供广告设计、制作、代理发布服务的，应当依法承担广告经营者、广告发布者的责任和义务。利用算法推荐等方式发布互联网广告的，应当将其算法推荐服务相关规则、广告投放记录等记入广告档案。</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第二十二条（知识产权保护</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应当建立知识产权保护规则，加强与知识产权权利人合作，畅通知识产权权利人投诉举报通道，加强对平台内经营者店铺名称、店铺图标、商品信息等内容的审核，完善“通知—删除”处理流程，提高知识产权侵权行为识别和处置能力，知道或者应当知道平台内经营者侵犯他人知识产权的，应当及时采取必要处置措施。</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第二十三条（反垄断与反不正当竞争</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default"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网络零售平台经营者应当遵循自愿、平等、公平、诚信的原则，遵守法律法规和商业道德，不得实施或者帮助他人实施不正当竞争行为；不得利用数据和算法、技术以及平台规则等从事法律法规禁止的垄断行为。</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第二十四条（禁止虚假交易</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网络零售平台经营者不得通过虚假交易、组织虚假交易等方式进行虚假宣传，不得帮助平台内经营者实施虚假交易行为，或者为虚假交易行为提供便利条件。</w:t>
      </w:r>
    </w:p>
    <w:p>
      <w:pPr>
        <w:tabs>
          <w:tab w:val="left" w:pos="790"/>
          <w:tab w:val="left" w:pos="1264"/>
        </w:tabs>
        <w:overflowPunct w:val="0"/>
        <w:adjustRightInd w:val="0"/>
        <w:snapToGrid w:val="0"/>
        <w:spacing w:line="336" w:lineRule="auto"/>
        <w:ind w:firstLine="624"/>
        <w:jc w:val="both"/>
        <w:rPr>
          <w:rFonts w:hint="default" w:ascii="黑体" w:hAnsi="黑体" w:eastAsia="黑体" w:cs="黑体"/>
          <w:kern w:val="2"/>
          <w:szCs w:val="30"/>
          <w:lang w:val="en" w:eastAsia="zh-CN"/>
        </w:rPr>
      </w:pPr>
      <w:r>
        <w:rPr>
          <w:rFonts w:hint="eastAsia" w:ascii="黑体" w:hAnsi="黑体" w:eastAsia="黑体" w:cs="黑体"/>
          <w:kern w:val="2"/>
          <w:szCs w:val="30"/>
          <w:lang w:val="en" w:eastAsia="zh-CN"/>
        </w:rPr>
        <w:t>第二十五条（禁止不合理限制</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不得利用服务协议、交易规则，对平台内经营者在平台内的交易、交易价格以及与其他经营者的交易等进行不合理限制或者附加不合理条件，如不得向平台内经营者收取不合理费用，不得通过搜索降权、限制经营、屏蔽店铺等方式对平台内经营者在其他平台开展经营活动进行不合理限制。</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网络零售平台经营者与代理商、合作商等第三方开展合作时，应了解第三方合规管理情况，在合作协议中明确前款合规要求，采取相应措施约束第三方行为。</w:t>
      </w:r>
    </w:p>
    <w:p>
      <w:pPr>
        <w:tabs>
          <w:tab w:val="left" w:pos="790"/>
          <w:tab w:val="left" w:pos="1264"/>
        </w:tabs>
        <w:overflowPunct w:val="0"/>
        <w:adjustRightInd w:val="0"/>
        <w:snapToGrid w:val="0"/>
        <w:spacing w:line="336" w:lineRule="auto"/>
        <w:ind w:firstLine="624"/>
        <w:jc w:val="both"/>
        <w:rPr>
          <w:rFonts w:hint="default" w:ascii="黑体" w:hAnsi="黑体" w:eastAsia="黑体" w:cs="黑体"/>
          <w:kern w:val="2"/>
          <w:szCs w:val="30"/>
          <w:lang w:val="en" w:eastAsia="zh-CN"/>
        </w:rPr>
      </w:pPr>
      <w:r>
        <w:rPr>
          <w:rFonts w:hint="eastAsia" w:ascii="黑体" w:hAnsi="黑体" w:eastAsia="黑体" w:cs="黑体"/>
          <w:kern w:val="2"/>
          <w:szCs w:val="30"/>
          <w:lang w:val="en" w:eastAsia="zh-CN"/>
        </w:rPr>
        <w:t>第二十六条（算法规范</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网络零售平台经营者利用算法技术，需要遵守公平、公正、透明的原则，遵守法律法规，尊重社会公德和基本的科学伦理，不得侵害公民基本权利以及企业合法权益。</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网络零售平台经营者利用算法，根据消费者的兴趣爱好、消费习惯等特征向其提供搜索结果的，应当同时向该消费者提供不针对其个人特征的选项。</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w:t>
      </w:r>
      <w:r>
        <w:rPr>
          <w:rFonts w:hint="eastAsia" w:ascii="仿宋_GB2312" w:hAnsi="仿宋_GB2312" w:eastAsia="仿宋_GB2312" w:cs="仿宋_GB2312"/>
          <w:kern w:val="2"/>
          <w:szCs w:val="30"/>
          <w:lang w:val="en-US" w:eastAsia="zh-CN"/>
        </w:rPr>
        <w:t>应当保护消费者公平交易的权利，</w:t>
      </w:r>
      <w:r>
        <w:rPr>
          <w:rFonts w:hint="eastAsia" w:ascii="仿宋_GB2312" w:hAnsi="仿宋_GB2312" w:eastAsia="仿宋_GB2312" w:cs="仿宋_GB2312"/>
          <w:kern w:val="2"/>
          <w:szCs w:val="30"/>
          <w:lang w:val="en" w:eastAsia="zh-CN"/>
        </w:rPr>
        <w:t>不得根据消费者的偏好、交易习惯等特征，利用算法在交易价格等交易条件上实施不合理的差别待遇等违法行为。</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第二十七条（促销规范</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网络零售平台经营者统一组织平台内经营者开展促销的，应公示促销规则、期限以及限制性条件，向消费者显著提示涉及其重大权益的事项，向平台内经营者提示促销行为注意事项。</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开展价格促销活动有附加条件的，应当显著标明条件。通过积分、礼券、兑换券、代金券、优惠券等折抵价款的，应明确相关优惠的获取规则、使用方式、叠加使用限制，并应以显著方式标明折价计算的具体办法。</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第二十八条（信用评价</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default" w:ascii="仿宋_GB2312" w:hAnsi="仿宋_GB2312" w:eastAsia="仿宋_GB2312" w:cs="仿宋_GB2312"/>
          <w:kern w:val="2"/>
          <w:szCs w:val="30"/>
          <w:lang w:val="en" w:eastAsia="zh-CN"/>
        </w:rPr>
      </w:pPr>
      <w:r>
        <w:rPr>
          <w:rFonts w:hint="default" w:ascii="仿宋_GB2312" w:hAnsi="仿宋_GB2312" w:eastAsia="仿宋_GB2312" w:cs="仿宋_GB2312"/>
          <w:kern w:val="2"/>
          <w:szCs w:val="30"/>
          <w:lang w:val="en" w:eastAsia="zh-CN"/>
        </w:rPr>
        <w:t>网络零售平台</w:t>
      </w:r>
      <w:r>
        <w:rPr>
          <w:rFonts w:hint="eastAsia" w:ascii="仿宋_GB2312" w:hAnsi="仿宋_GB2312" w:eastAsia="仿宋_GB2312" w:cs="仿宋_GB2312"/>
          <w:kern w:val="2"/>
          <w:szCs w:val="30"/>
          <w:lang w:val="en" w:eastAsia="zh-CN"/>
        </w:rPr>
        <w:t>经营者应当建立健全信用评价制度，公示信用评价规则，为消费者提供对平台内销售的商品或者提供的服务进行评价的途径，不得违法删除、修改、屏蔽消费者的评价信息。</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第二十九条（信用管理</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default" w:ascii="仿宋_GB2312" w:hAnsi="仿宋_GB2312" w:eastAsia="仿宋_GB2312" w:cs="仿宋_GB2312"/>
          <w:kern w:val="2"/>
          <w:szCs w:val="30"/>
          <w:lang w:val="en" w:eastAsia="zh-CN"/>
        </w:rPr>
        <w:t>网络零售平台</w:t>
      </w:r>
      <w:r>
        <w:rPr>
          <w:rFonts w:hint="eastAsia" w:ascii="仿宋_GB2312" w:hAnsi="仿宋_GB2312" w:eastAsia="仿宋_GB2312" w:cs="仿宋_GB2312"/>
          <w:kern w:val="2"/>
          <w:szCs w:val="30"/>
          <w:lang w:val="en" w:eastAsia="zh-CN"/>
        </w:rPr>
        <w:t>经营者可以建立信用激励、约束机制，根据平台内经营者的历史交易情况、消费者信用评价</w:t>
      </w:r>
      <w:r>
        <w:rPr>
          <w:rFonts w:hint="eastAsia" w:cs="仿宋_GB2312"/>
          <w:kern w:val="2"/>
          <w:szCs w:val="30"/>
          <w:lang w:val="en" w:eastAsia="zh-CN"/>
        </w:rPr>
        <w:t>情况</w:t>
      </w:r>
      <w:r>
        <w:rPr>
          <w:rFonts w:hint="eastAsia" w:ascii="仿宋_GB2312" w:hAnsi="仿宋_GB2312" w:eastAsia="仿宋_GB2312" w:cs="仿宋_GB2312"/>
          <w:kern w:val="2"/>
          <w:szCs w:val="30"/>
          <w:lang w:val="en" w:eastAsia="zh-CN"/>
        </w:rPr>
        <w:t>、售后服务情况、投诉举报情况、违法违规处置情况等多维度对平台内经营者信用状况进行评价</w:t>
      </w:r>
      <w:r>
        <w:rPr>
          <w:rFonts w:hint="eastAsia" w:cs="仿宋_GB2312"/>
          <w:kern w:val="2"/>
          <w:szCs w:val="30"/>
          <w:lang w:val="en" w:eastAsia="zh-CN"/>
        </w:rPr>
        <w:t>，</w:t>
      </w:r>
      <w:r>
        <w:rPr>
          <w:rFonts w:hint="eastAsia" w:ascii="仿宋_GB2312" w:hAnsi="仿宋_GB2312" w:eastAsia="仿宋_GB2312" w:cs="仿宋_GB2312"/>
          <w:kern w:val="2"/>
          <w:szCs w:val="30"/>
          <w:lang w:val="en" w:eastAsia="zh-CN"/>
        </w:rPr>
        <w:t>开展分类管理。</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第三十条（个人信息保护</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收集消费者个人信息应当符合相关法律法规的规定，遵循合法、正当、必要和诚信的原则，明示处理信息的目的、方式和范围，并依法征得消费者同意。不得从事超出消费者同意范围或者与服务场景无关的消费者个人信息处理活动，法律法规另有规定的除外。</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第三十一条（交易信息保存</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应当依法记录、保存平台上发布的商品和服务信息、交易信息，并确保信息的完整性、保密性、可用性。商品和服务信息、交易信息保存时间自交易完成之日起不少于三年。《网络食品安全违法行为查处办法》《药品网络销售监督管理办法》《医疗器械网络销售监督管理办法》《化妆品生产经营监督管理办法》等法律法规、规章对保存期限另有规定的，依照其规定。</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第三十二条（信息报送</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网络零售平台经营者应当按照规定向市市场监督管理局报送平台内经营者的身份信息</w:t>
      </w:r>
      <w:r>
        <w:rPr>
          <w:rFonts w:hint="eastAsia" w:cs="仿宋_GB2312"/>
          <w:kern w:val="2"/>
          <w:szCs w:val="30"/>
          <w:lang w:val="en" w:eastAsia="zh-CN"/>
        </w:rPr>
        <w:t>，</w:t>
      </w:r>
      <w:r>
        <w:rPr>
          <w:rFonts w:hint="default" w:ascii="仿宋_GB2312" w:hAnsi="仿宋_GB2312" w:eastAsia="仿宋_GB2312" w:cs="仿宋_GB2312"/>
          <w:kern w:val="2"/>
          <w:szCs w:val="30"/>
          <w:lang w:val="en" w:eastAsia="zh-CN"/>
        </w:rPr>
        <w:t>依法</w:t>
      </w:r>
      <w:r>
        <w:rPr>
          <w:rFonts w:hint="eastAsia" w:ascii="仿宋_GB2312" w:hAnsi="仿宋_GB2312" w:eastAsia="仿宋_GB2312" w:cs="仿宋_GB2312"/>
          <w:kern w:val="2"/>
          <w:szCs w:val="30"/>
          <w:lang w:val="en" w:eastAsia="zh-CN"/>
        </w:rPr>
        <w:t>提供特定时段、特定品类、特定区域的商品或者服务的价格、销量、销售额等数据信息。</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第三十三条（审查管控</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default"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应当对平台内经营者及其发布的商品或者服务信息建立检查监控制度。发现平台内的商品或者服务信息有违反法律、法规、规章，损害国家利益和社会公共利益，违背公序良俗的，应当依法采取必要的处置措施，保存有关记录，并向平台住所地市场监督管理部门报告。</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第三十四条（应急处置和舆情管理</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出现自然灾害、事故灾难、公共卫生事件或者其他严重威胁公众健康的紧急事件时，网络零售服务平台经营者应当遵守国家有关突发事件应急处置规定，依法采取相应的控制和处置措施。</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网络零售服务平台经营者应当加强舆情防范和处置，依法开展调查处理，积极回应社会关切。</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第三十五条（配合执法</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网络零售平台经营者应当积极配合监管执法部门履职，根据法律法规要求的程序，提供执法部门为履行职能以及进行调查所需要的数据资料，配合执法部门进行监测。</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第三十六条（公益宣传</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鼓励网络零售平台经营者积极参与社会公益，开设公益专区，加强反食品浪费、社会主义精神文明建设、绿色低碳等科普宣传及公益宣传。</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before="180" w:after="120" w:line="336" w:lineRule="auto"/>
        <w:jc w:val="center"/>
        <w:textAlignment w:val="auto"/>
        <w:rPr>
          <w:rFonts w:hint="eastAsia" w:ascii="方正小标宋简体" w:hAnsi="宋体" w:eastAsia="方正小标宋简体"/>
          <w:kern w:val="2"/>
          <w:sz w:val="36"/>
          <w:szCs w:val="36"/>
        </w:rPr>
      </w:pPr>
      <w:r>
        <w:rPr>
          <w:rFonts w:hint="eastAsia" w:ascii="方正小标宋简体" w:hAnsi="宋体" w:eastAsia="方正小标宋简体"/>
          <w:kern w:val="2"/>
          <w:sz w:val="36"/>
          <w:szCs w:val="36"/>
        </w:rPr>
        <w:t>第五章</w:t>
      </w:r>
      <w:r>
        <w:rPr>
          <w:rFonts w:hint="eastAsia" w:ascii="方正小标宋简体" w:hAnsi="宋体" w:eastAsia="方正小标宋简体"/>
          <w:kern w:val="2"/>
          <w:sz w:val="36"/>
          <w:szCs w:val="36"/>
          <w:lang w:eastAsia="zh-CN"/>
        </w:rPr>
        <w:t>　</w:t>
      </w:r>
      <w:r>
        <w:rPr>
          <w:rFonts w:hint="eastAsia" w:ascii="方正小标宋简体" w:hAnsi="宋体" w:eastAsia="方正小标宋简体"/>
          <w:kern w:val="2"/>
          <w:sz w:val="36"/>
          <w:szCs w:val="36"/>
        </w:rPr>
        <w:t>消费者权益保护</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第三十七条（消费者知情权和选择权保障</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网络零售平台经营者向消费者提供商品或者服务，应当恪守社会公德，诚信经营，全面、真实、准确、及时地披露商品或者服务信息，保障消费者的知情权和选择权。</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第三十八条（格式条款</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网络零售平台经营者提供格式条款的，应当以</w:t>
      </w:r>
      <w:bookmarkStart w:id="0" w:name="_Hlk138719818"/>
      <w:r>
        <w:rPr>
          <w:rFonts w:hint="eastAsia" w:ascii="仿宋_GB2312" w:hAnsi="仿宋_GB2312" w:eastAsia="仿宋_GB2312" w:cs="仿宋_GB2312"/>
          <w:kern w:val="2"/>
          <w:szCs w:val="30"/>
          <w:lang w:val="en" w:eastAsia="zh-CN"/>
        </w:rPr>
        <w:t>单独</w:t>
      </w:r>
      <w:r>
        <w:rPr>
          <w:rFonts w:hint="eastAsia" w:ascii="仿宋_GB2312" w:hAnsi="仿宋_GB2312" w:eastAsia="仿宋_GB2312" w:cs="仿宋_GB2312"/>
          <w:kern w:val="2"/>
          <w:szCs w:val="30"/>
          <w:lang w:val="en" w:eastAsia="zh-CN"/>
        </w:rPr>
        <w:fldChar w:fldCharType="begin"/>
      </w:r>
      <w:r>
        <w:rPr>
          <w:rFonts w:hint="eastAsia" w:ascii="仿宋_GB2312" w:hAnsi="仿宋_GB2312" w:eastAsia="仿宋_GB2312" w:cs="仿宋_GB2312"/>
          <w:kern w:val="2"/>
          <w:szCs w:val="30"/>
          <w:lang w:val="en" w:eastAsia="zh-CN"/>
        </w:rPr>
        <w:instrText xml:space="preserve">HYPERLINK "https://baike.baidu.com/item/%E5%91%8A%E7%9F%A5/678017?fromModule=lemma_inlink" \t "_blank"</w:instrText>
      </w:r>
      <w:r>
        <w:rPr>
          <w:rFonts w:hint="eastAsia" w:ascii="仿宋_GB2312" w:hAnsi="仿宋_GB2312" w:eastAsia="仿宋_GB2312" w:cs="仿宋_GB2312"/>
          <w:kern w:val="2"/>
          <w:szCs w:val="30"/>
          <w:lang w:val="en" w:eastAsia="zh-CN"/>
        </w:rPr>
        <w:fldChar w:fldCharType="separate"/>
      </w:r>
      <w:r>
        <w:rPr>
          <w:rFonts w:hint="eastAsia" w:ascii="仿宋_GB2312" w:hAnsi="仿宋_GB2312" w:eastAsia="仿宋_GB2312" w:cs="仿宋_GB2312"/>
          <w:kern w:val="2"/>
          <w:szCs w:val="30"/>
          <w:lang w:val="en" w:eastAsia="zh-CN"/>
        </w:rPr>
        <w:t>告知</w:t>
      </w:r>
      <w:r>
        <w:rPr>
          <w:rFonts w:hint="eastAsia" w:ascii="仿宋_GB2312" w:hAnsi="仿宋_GB2312" w:eastAsia="仿宋_GB2312" w:cs="仿宋_GB2312"/>
          <w:kern w:val="2"/>
          <w:szCs w:val="30"/>
          <w:lang w:val="en" w:eastAsia="zh-CN"/>
        </w:rPr>
        <w:fldChar w:fldCharType="end"/>
      </w:r>
      <w:r>
        <w:rPr>
          <w:rFonts w:hint="eastAsia" w:ascii="仿宋_GB2312" w:hAnsi="仿宋_GB2312" w:eastAsia="仿宋_GB2312" w:cs="仿宋_GB2312"/>
          <w:kern w:val="2"/>
          <w:szCs w:val="30"/>
          <w:lang w:val="en" w:eastAsia="zh-CN"/>
        </w:rPr>
        <w:t>、字体</w:t>
      </w:r>
      <w:r>
        <w:rPr>
          <w:rFonts w:hint="eastAsia" w:ascii="仿宋_GB2312" w:hAnsi="仿宋_GB2312" w:eastAsia="仿宋_GB2312" w:cs="仿宋_GB2312"/>
          <w:kern w:val="2"/>
          <w:szCs w:val="30"/>
          <w:lang w:val="en" w:eastAsia="zh-CN"/>
        </w:rPr>
        <w:fldChar w:fldCharType="begin"/>
      </w:r>
      <w:r>
        <w:rPr>
          <w:rFonts w:hint="eastAsia" w:ascii="仿宋_GB2312" w:hAnsi="仿宋_GB2312" w:eastAsia="仿宋_GB2312" w:cs="仿宋_GB2312"/>
          <w:kern w:val="2"/>
          <w:szCs w:val="30"/>
          <w:lang w:val="en" w:eastAsia="zh-CN"/>
        </w:rPr>
        <w:instrText xml:space="preserve">HYPERLINK "https://baike.baidu.com/item/%E5%8A%A0%E7%B2%97/4322605?fromModule=lemma_inlink" \t "_blank"</w:instrText>
      </w:r>
      <w:r>
        <w:rPr>
          <w:rFonts w:hint="eastAsia" w:ascii="仿宋_GB2312" w:hAnsi="仿宋_GB2312" w:eastAsia="仿宋_GB2312" w:cs="仿宋_GB2312"/>
          <w:kern w:val="2"/>
          <w:szCs w:val="30"/>
          <w:lang w:val="en" w:eastAsia="zh-CN"/>
        </w:rPr>
        <w:fldChar w:fldCharType="separate"/>
      </w:r>
      <w:r>
        <w:rPr>
          <w:rFonts w:hint="eastAsia" w:ascii="仿宋_GB2312" w:hAnsi="仿宋_GB2312" w:eastAsia="仿宋_GB2312" w:cs="仿宋_GB2312"/>
          <w:kern w:val="2"/>
          <w:szCs w:val="30"/>
          <w:lang w:val="en" w:eastAsia="zh-CN"/>
        </w:rPr>
        <w:t>加粗</w:t>
      </w:r>
      <w:r>
        <w:rPr>
          <w:rFonts w:hint="eastAsia" w:ascii="仿宋_GB2312" w:hAnsi="仿宋_GB2312" w:eastAsia="仿宋_GB2312" w:cs="仿宋_GB2312"/>
          <w:kern w:val="2"/>
          <w:szCs w:val="30"/>
          <w:lang w:val="en" w:eastAsia="zh-CN"/>
        </w:rPr>
        <w:fldChar w:fldCharType="end"/>
      </w:r>
      <w:r>
        <w:rPr>
          <w:rFonts w:hint="eastAsia" w:ascii="仿宋_GB2312" w:hAnsi="仿宋_GB2312" w:eastAsia="仿宋_GB2312" w:cs="仿宋_GB2312"/>
          <w:kern w:val="2"/>
          <w:szCs w:val="30"/>
          <w:lang w:val="en" w:eastAsia="zh-CN"/>
        </w:rPr>
        <w:t>、</w:t>
      </w:r>
      <w:r>
        <w:rPr>
          <w:rFonts w:hint="eastAsia" w:ascii="仿宋_GB2312" w:hAnsi="仿宋_GB2312" w:eastAsia="仿宋_GB2312" w:cs="仿宋_GB2312"/>
          <w:kern w:val="2"/>
          <w:szCs w:val="30"/>
          <w:lang w:val="en" w:eastAsia="zh-CN"/>
        </w:rPr>
        <w:fldChar w:fldCharType="begin"/>
      </w:r>
      <w:r>
        <w:rPr>
          <w:rFonts w:hint="eastAsia" w:ascii="仿宋_GB2312" w:hAnsi="仿宋_GB2312" w:eastAsia="仿宋_GB2312" w:cs="仿宋_GB2312"/>
          <w:kern w:val="2"/>
          <w:szCs w:val="30"/>
          <w:lang w:val="en" w:eastAsia="zh-CN"/>
        </w:rPr>
        <w:instrText xml:space="preserve">HYPERLINK "https://baike.baidu.com/item/%E5%BC%B9%E7%AA%97/10398414?fromModule=lemma_inlink" \t "_blank"</w:instrText>
      </w:r>
      <w:r>
        <w:rPr>
          <w:rFonts w:hint="eastAsia" w:ascii="仿宋_GB2312" w:hAnsi="仿宋_GB2312" w:eastAsia="仿宋_GB2312" w:cs="仿宋_GB2312"/>
          <w:kern w:val="2"/>
          <w:szCs w:val="30"/>
          <w:lang w:val="en" w:eastAsia="zh-CN"/>
        </w:rPr>
        <w:fldChar w:fldCharType="separate"/>
      </w:r>
      <w:r>
        <w:rPr>
          <w:rFonts w:hint="eastAsia" w:ascii="仿宋_GB2312" w:hAnsi="仿宋_GB2312" w:eastAsia="仿宋_GB2312" w:cs="仿宋_GB2312"/>
          <w:kern w:val="2"/>
          <w:szCs w:val="30"/>
          <w:lang w:val="en" w:eastAsia="zh-CN"/>
        </w:rPr>
        <w:t>弹窗</w:t>
      </w:r>
      <w:r>
        <w:rPr>
          <w:rFonts w:hint="eastAsia" w:ascii="仿宋_GB2312" w:hAnsi="仿宋_GB2312" w:eastAsia="仿宋_GB2312" w:cs="仿宋_GB2312"/>
          <w:kern w:val="2"/>
          <w:szCs w:val="30"/>
          <w:lang w:val="en" w:eastAsia="zh-CN"/>
        </w:rPr>
        <w:fldChar w:fldCharType="end"/>
      </w:r>
      <w:r>
        <w:rPr>
          <w:rFonts w:hint="eastAsia" w:ascii="仿宋_GB2312" w:hAnsi="仿宋_GB2312" w:eastAsia="仿宋_GB2312" w:cs="仿宋_GB2312"/>
          <w:kern w:val="2"/>
          <w:szCs w:val="30"/>
          <w:lang w:val="en" w:eastAsia="zh-CN"/>
        </w:rPr>
        <w:t>等</w:t>
      </w:r>
      <w:bookmarkEnd w:id="0"/>
      <w:r>
        <w:rPr>
          <w:rFonts w:hint="eastAsia" w:ascii="仿宋_GB2312" w:hAnsi="仿宋_GB2312" w:eastAsia="仿宋_GB2312" w:cs="仿宋_GB2312"/>
          <w:kern w:val="2"/>
          <w:szCs w:val="30"/>
          <w:lang w:val="en" w:eastAsia="zh-CN"/>
        </w:rPr>
        <w:t>显著方式提请消费者注意与其有重大利害关系的内容，并按照消费者的要求予以说明，格式条款中不得含有不合理地扩张平台单方解除合同的权利、扩大平台适用不可抗力的情形、免除或减轻平台责任等内容，不得利用格式条款并借助技术手段</w:t>
      </w:r>
      <w:r>
        <w:rPr>
          <w:rFonts w:hint="eastAsia" w:ascii="仿宋_GB2312" w:hAnsi="仿宋_GB2312" w:eastAsia="仿宋_GB2312" w:cs="仿宋_GB2312"/>
          <w:kern w:val="2"/>
          <w:szCs w:val="30"/>
          <w:lang w:val="en" w:eastAsia="zh-CN"/>
        </w:rPr>
        <w:fldChar w:fldCharType="begin"/>
      </w:r>
      <w:r>
        <w:rPr>
          <w:rFonts w:hint="eastAsia" w:ascii="仿宋_GB2312" w:hAnsi="仿宋_GB2312" w:eastAsia="仿宋_GB2312" w:cs="仿宋_GB2312"/>
          <w:kern w:val="2"/>
          <w:szCs w:val="30"/>
          <w:lang w:val="en" w:eastAsia="zh-CN"/>
        </w:rPr>
        <w:instrText xml:space="preserve">HYPERLINK "https://baike.baidu.com/item/%E5%BC%BA%E5%88%B6/1867424?fromModule=lemma_inlink" \t "_blank"</w:instrText>
      </w:r>
      <w:r>
        <w:rPr>
          <w:rFonts w:hint="eastAsia" w:ascii="仿宋_GB2312" w:hAnsi="仿宋_GB2312" w:eastAsia="仿宋_GB2312" w:cs="仿宋_GB2312"/>
          <w:kern w:val="2"/>
          <w:szCs w:val="30"/>
          <w:lang w:val="en" w:eastAsia="zh-CN"/>
        </w:rPr>
        <w:fldChar w:fldCharType="separate"/>
      </w:r>
      <w:r>
        <w:rPr>
          <w:rFonts w:hint="eastAsia" w:ascii="仿宋_GB2312" w:hAnsi="仿宋_GB2312" w:eastAsia="仿宋_GB2312" w:cs="仿宋_GB2312"/>
          <w:kern w:val="2"/>
          <w:szCs w:val="30"/>
          <w:lang w:val="en" w:eastAsia="zh-CN"/>
        </w:rPr>
        <w:t>强制</w:t>
      </w:r>
      <w:r>
        <w:rPr>
          <w:rFonts w:hint="eastAsia" w:ascii="仿宋_GB2312" w:hAnsi="仿宋_GB2312" w:eastAsia="仿宋_GB2312" w:cs="仿宋_GB2312"/>
          <w:kern w:val="2"/>
          <w:szCs w:val="30"/>
          <w:lang w:val="en" w:eastAsia="zh-CN"/>
        </w:rPr>
        <w:fldChar w:fldCharType="end"/>
      </w:r>
      <w:r>
        <w:rPr>
          <w:rFonts w:hint="eastAsia" w:ascii="仿宋_GB2312" w:hAnsi="仿宋_GB2312" w:eastAsia="仿宋_GB2312" w:cs="仿宋_GB2312"/>
          <w:kern w:val="2"/>
          <w:szCs w:val="30"/>
          <w:lang w:val="en" w:eastAsia="zh-CN"/>
        </w:rPr>
        <w:t>交易。</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第三十九条（纠纷处理</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应当建立消费者权益保护制度，明确消费者保护的具体规则、措施，建立便捷、有效的投诉、举报机制，公开投诉、举报方式等信息，及时受理并处理投诉、举报，积极协助消费者维护合法权益，依法提供必要的数据信息支持。</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鼓励网络零售平台经营者建立首问责任、先行赔付、在线纠纷解决等消费者权益争议快速处置机制，并公开先行赔付资金的使用细则或者说明。鼓励平台建立有利于行业发展和消费者权益保护的商品质量担保机制。</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鼓励网络零售平台经营者建立消费投诉信息公示制度，督促平台内经营者落实主体责任，促进消费矛盾源头化解。</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鼓励网络零售平台经营者发挥网络数据处置技术优势，探索建立高效的消费纠纷分类处置智慧系统。</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第四十条（七日无理由退货</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网络零售平台经营者应当与其平台内经营者订立协议，明确双方七日无理由退货各自的权利、义务和责任。</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不得通过服务协议和规则违法限缩七天无理由退货的适用范围。平台统一规定适用更长无理由退货时间的，应当采取一定措施督促平台内经营者履行相应退货承诺。法律法规对药品退货有特殊规定，应当从其规定。</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before="180" w:after="120" w:line="336" w:lineRule="auto"/>
        <w:jc w:val="center"/>
        <w:textAlignment w:val="auto"/>
        <w:rPr>
          <w:rFonts w:hint="eastAsia" w:ascii="方正小标宋简体" w:hAnsi="宋体" w:eastAsia="方正小标宋简体"/>
          <w:kern w:val="2"/>
          <w:sz w:val="36"/>
          <w:szCs w:val="36"/>
        </w:rPr>
      </w:pPr>
      <w:r>
        <w:rPr>
          <w:rFonts w:hint="eastAsia" w:ascii="方正小标宋简体" w:hAnsi="宋体" w:eastAsia="方正小标宋简体"/>
          <w:kern w:val="2"/>
          <w:sz w:val="36"/>
          <w:szCs w:val="36"/>
        </w:rPr>
        <w:t>第六章</w:t>
      </w:r>
      <w:r>
        <w:rPr>
          <w:rFonts w:hint="eastAsia" w:ascii="方正小标宋简体" w:hAnsi="宋体" w:eastAsia="方正小标宋简体"/>
          <w:kern w:val="2"/>
          <w:sz w:val="36"/>
          <w:szCs w:val="36"/>
          <w:lang w:eastAsia="zh-CN"/>
        </w:rPr>
        <w:t>　</w:t>
      </w:r>
      <w:r>
        <w:rPr>
          <w:rFonts w:hint="eastAsia" w:ascii="方正小标宋简体" w:hAnsi="宋体" w:eastAsia="方正小标宋简体"/>
          <w:kern w:val="2"/>
          <w:sz w:val="36"/>
          <w:szCs w:val="36"/>
        </w:rPr>
        <w:t>附</w:t>
      </w:r>
      <w:r>
        <w:rPr>
          <w:rFonts w:hint="eastAsia" w:ascii="方正小标宋简体" w:hAnsi="宋体" w:eastAsia="方正小标宋简体"/>
          <w:kern w:val="2"/>
          <w:sz w:val="36"/>
          <w:szCs w:val="36"/>
          <w:lang w:eastAsia="zh-CN"/>
        </w:rPr>
        <w:t>　</w:t>
      </w:r>
      <w:r>
        <w:rPr>
          <w:rFonts w:hint="eastAsia" w:ascii="方正小标宋简体" w:hAnsi="宋体" w:eastAsia="方正小标宋简体"/>
          <w:kern w:val="2"/>
          <w:sz w:val="36"/>
          <w:szCs w:val="36"/>
        </w:rPr>
        <w:t>则</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第四十一条（特别规定</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本指引未涉及的平台合规要求，如其他法律</w:t>
      </w:r>
      <w:r>
        <w:rPr>
          <w:rFonts w:hint="eastAsia" w:cs="仿宋_GB2312"/>
          <w:kern w:val="2"/>
          <w:szCs w:val="30"/>
          <w:lang w:val="en" w:eastAsia="zh-CN"/>
        </w:rPr>
        <w:t>、</w:t>
      </w:r>
      <w:r>
        <w:rPr>
          <w:rFonts w:hint="eastAsia" w:ascii="仿宋_GB2312" w:hAnsi="仿宋_GB2312" w:eastAsia="仿宋_GB2312" w:cs="仿宋_GB2312"/>
          <w:kern w:val="2"/>
          <w:szCs w:val="30"/>
          <w:lang w:val="en" w:eastAsia="zh-CN"/>
        </w:rPr>
        <w:t>法规</w:t>
      </w:r>
      <w:r>
        <w:rPr>
          <w:rFonts w:hint="eastAsia" w:cs="仿宋_GB2312"/>
          <w:kern w:val="2"/>
          <w:szCs w:val="30"/>
          <w:lang w:val="en" w:eastAsia="zh-CN"/>
        </w:rPr>
        <w:t>、</w:t>
      </w:r>
      <w:r>
        <w:rPr>
          <w:rFonts w:hint="eastAsia" w:ascii="仿宋_GB2312" w:hAnsi="仿宋_GB2312" w:eastAsia="仿宋_GB2312" w:cs="仿宋_GB2312"/>
          <w:kern w:val="2"/>
          <w:szCs w:val="30"/>
          <w:lang w:val="en" w:eastAsia="zh-CN"/>
        </w:rPr>
        <w:t>规章中已有规定，网络零售平台经营者也应依法履行相关规定。</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第四十二条（处罚实施</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网络零售平台经营者违反法律</w:t>
      </w:r>
      <w:r>
        <w:rPr>
          <w:rFonts w:hint="eastAsia" w:cs="仿宋_GB2312"/>
          <w:kern w:val="2"/>
          <w:szCs w:val="30"/>
          <w:lang w:val="en" w:eastAsia="zh-CN"/>
        </w:rPr>
        <w:t>、</w:t>
      </w:r>
      <w:r>
        <w:rPr>
          <w:rFonts w:hint="eastAsia" w:ascii="仿宋_GB2312" w:hAnsi="仿宋_GB2312" w:eastAsia="仿宋_GB2312" w:cs="仿宋_GB2312"/>
          <w:kern w:val="2"/>
          <w:szCs w:val="30"/>
          <w:lang w:val="en" w:eastAsia="zh-CN"/>
        </w:rPr>
        <w:t>法规</w:t>
      </w:r>
      <w:r>
        <w:rPr>
          <w:rFonts w:hint="eastAsia" w:cs="仿宋_GB2312"/>
          <w:kern w:val="2"/>
          <w:szCs w:val="30"/>
          <w:lang w:val="en" w:eastAsia="zh-CN"/>
        </w:rPr>
        <w:t>、</w:t>
      </w:r>
      <w:r>
        <w:rPr>
          <w:rFonts w:hint="eastAsia" w:ascii="仿宋_GB2312" w:hAnsi="仿宋_GB2312" w:eastAsia="仿宋_GB2312" w:cs="仿宋_GB2312"/>
          <w:kern w:val="2"/>
          <w:szCs w:val="30"/>
          <w:lang w:val="en" w:eastAsia="zh-CN"/>
        </w:rPr>
        <w:t>规章规定的，由有关部门依法进行查处；构成犯罪的，依法追究刑事责任。</w:t>
      </w:r>
    </w:p>
    <w:p>
      <w:pPr>
        <w:tabs>
          <w:tab w:val="left" w:pos="790"/>
          <w:tab w:val="left" w:pos="1264"/>
        </w:tabs>
        <w:overflowPunct w:val="0"/>
        <w:adjustRightInd w:val="0"/>
        <w:snapToGrid w:val="0"/>
        <w:spacing w:line="336" w:lineRule="auto"/>
        <w:ind w:firstLine="624"/>
        <w:jc w:val="both"/>
        <w:rPr>
          <w:rFonts w:hint="eastAsia" w:ascii="黑体" w:hAnsi="黑体" w:eastAsia="黑体" w:cs="黑体"/>
          <w:kern w:val="2"/>
          <w:szCs w:val="30"/>
          <w:lang w:val="en" w:eastAsia="zh-CN"/>
        </w:rPr>
      </w:pPr>
      <w:r>
        <w:rPr>
          <w:rFonts w:hint="eastAsia" w:ascii="黑体" w:hAnsi="黑体" w:eastAsia="黑体" w:cs="黑体"/>
          <w:kern w:val="2"/>
          <w:szCs w:val="30"/>
          <w:lang w:val="en" w:eastAsia="zh-CN"/>
        </w:rPr>
        <w:t>第四十三条（指引实施</w:t>
      </w:r>
      <w:r>
        <w:rPr>
          <w:rFonts w:hint="default" w:ascii="黑体" w:hAnsi="黑体" w:eastAsia="黑体" w:cs="黑体"/>
          <w:kern w:val="2"/>
          <w:szCs w:val="30"/>
          <w:lang w:val="en" w:eastAsia="zh-CN"/>
        </w:rPr>
        <w:t>）</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r>
        <w:rPr>
          <w:rFonts w:hint="eastAsia" w:ascii="仿宋_GB2312" w:hAnsi="仿宋_GB2312" w:eastAsia="仿宋_GB2312" w:cs="仿宋_GB2312"/>
          <w:kern w:val="2"/>
          <w:szCs w:val="30"/>
          <w:lang w:val="en" w:eastAsia="zh-CN"/>
        </w:rPr>
        <w:t>本指引由上海市市场监督管理局、上海市药品监督管理局负责解释，自发布之日起实施。</w:t>
      </w: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p>
    <w:p>
      <w:pPr>
        <w:tabs>
          <w:tab w:val="left" w:pos="790"/>
          <w:tab w:val="left" w:pos="1264"/>
        </w:tabs>
        <w:overflowPunct w:val="0"/>
        <w:adjustRightInd w:val="0"/>
        <w:snapToGrid w:val="0"/>
        <w:spacing w:line="336" w:lineRule="auto"/>
        <w:ind w:firstLine="624"/>
        <w:jc w:val="both"/>
        <w:rPr>
          <w:rFonts w:hint="eastAsia" w:ascii="仿宋_GB2312" w:hAnsi="仿宋_GB2312" w:eastAsia="仿宋_GB2312" w:cs="仿宋_GB2312"/>
          <w:kern w:val="2"/>
          <w:szCs w:val="30"/>
          <w:lang w:val="en" w:eastAsia="zh-CN"/>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16" w:lineRule="auto"/>
        <w:ind w:firstLine="624"/>
        <w:jc w:val="both"/>
        <w:textAlignment w:val="auto"/>
        <w:rPr>
          <w:rFonts w:hint="eastAsia" w:ascii="仿宋_GB2312" w:hAnsi="仿宋_GB2312" w:eastAsia="仿宋_GB2312" w:cs="仿宋_GB2312"/>
          <w:kern w:val="2"/>
          <w:szCs w:val="30"/>
          <w:lang w:val="en" w:eastAsia="zh-CN"/>
        </w:rPr>
      </w:pPr>
    </w:p>
    <w:p>
      <w:pPr>
        <w:overflowPunct w:val="0"/>
        <w:adjustRightInd w:val="0"/>
        <w:snapToGrid w:val="0"/>
        <w:spacing w:line="336" w:lineRule="auto"/>
        <w:ind w:firstLine="284"/>
        <w:rPr>
          <w:rFonts w:hint="eastAsia" w:hAnsi="宋体"/>
          <w:kern w:val="2"/>
          <w:sz w:val="28"/>
          <w:szCs w:val="28"/>
          <w:lang w:val="en" w:eastAsia="zh-CN"/>
        </w:rPr>
      </w:pPr>
      <w:r>
        <w:rPr>
          <w:rFonts w:hint="eastAsia"/>
          <w:kern w:val="2"/>
          <w:sz w:val="28"/>
          <w:szCs w:val="28"/>
        </w:rPr>
        <mc:AlternateContent>
          <mc:Choice Requires="wps">
            <w:drawing>
              <wp:anchor distT="0" distB="0" distL="114300" distR="114300" simplePos="0" relativeHeight="251667456" behindDoc="0" locked="1" layoutInCell="1" allowOverlap="1">
                <wp:simplePos x="0" y="0"/>
                <wp:positionH relativeFrom="column">
                  <wp:posOffset>0</wp:posOffset>
                </wp:positionH>
                <wp:positionV relativeFrom="paragraph">
                  <wp:posOffset>272415</wp:posOffset>
                </wp:positionV>
                <wp:extent cx="5615940" cy="0"/>
                <wp:effectExtent l="0" t="0" r="0" b="0"/>
                <wp:wrapNone/>
                <wp:docPr id="2" name="直接连接符 2"/>
                <wp:cNvGraphicFramePr/>
                <a:graphic xmlns:a="http://schemas.openxmlformats.org/drawingml/2006/main">
                  <a:graphicData uri="http://schemas.microsoft.com/office/word/2010/wordprocessingShape">
                    <wps:wsp>
                      <wps:cNvCnPr/>
                      <wps:spPr>
                        <a:xfrm>
                          <a:off x="0" y="0"/>
                          <a:ext cx="5615940" cy="0"/>
                        </a:xfrm>
                        <a:prstGeom prst="line">
                          <a:avLst/>
                        </a:prstGeom>
                        <a:ln w="12700" cap="flat" cmpd="sng">
                          <a:solidFill>
                            <a:srgbClr val="000000"/>
                          </a:solidFill>
                          <a:prstDash val="solid"/>
                          <a:headEnd type="none" w="med" len="med"/>
                          <a:tailEnd type="none" w="med" len="med"/>
                        </a:ln>
                      </wps:spPr>
                      <wps:bodyPr upright="true"/>
                    </wps:wsp>
                  </a:graphicData>
                </a:graphic>
              </wp:anchor>
            </w:drawing>
          </mc:Choice>
          <mc:Fallback>
            <w:pict>
              <v:line id="_x0000_s1026" o:spid="_x0000_s1026" o:spt="20" style="position:absolute;left:0pt;margin-left:0pt;margin-top:21.45pt;height:0pt;width:442.2pt;z-index:251667456;mso-width-relative:page;mso-height-relative:page;" filled="f" stroked="t" coordsize="21600,21600" o:gfxdata="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BYAAABkcnMvUEsBAhQAFAAAAAgA&#10;h07iQI5/ey7VAAAABgEAAA8AAAAAAAAAAQAgAAAAOAAAAGRycy9kb3ducmV2LnhtbFBLAQIUABQA&#10;AAAIAIdO4kDyyG0T3QEAAJoDAAAOAAAAAAAAAAEAIAAAADoBAABkcnMvZTJvRG9jLnhtbFBLBQYA&#10;AAAABgAGAFkBAACJBQAAAAA=&#10;">
                <v:fill on="f" focussize="0,0"/>
                <v:stroke weight="1pt" color="#000000" joinstyle="round"/>
                <v:imagedata o:title=""/>
                <o:lock v:ext="edit" aspectratio="f"/>
                <w10:anchorlock/>
              </v:line>
            </w:pict>
          </mc:Fallback>
        </mc:AlternateContent>
      </w:r>
      <w:r>
        <w:rPr>
          <w:rFonts w:hint="eastAsia"/>
          <w:kern w:val="2"/>
          <w:sz w:val="28"/>
          <w:szCs w:val="28"/>
        </w:rPr>
        <mc:AlternateContent>
          <mc:Choice Requires="wps">
            <w:drawing>
              <wp:anchor distT="0" distB="0" distL="114300" distR="114300" simplePos="0" relativeHeight="251666432" behindDoc="0" locked="1" layoutInCell="1" allowOverlap="1">
                <wp:simplePos x="0" y="0"/>
                <wp:positionH relativeFrom="column">
                  <wp:posOffset>0</wp:posOffset>
                </wp:positionH>
                <wp:positionV relativeFrom="paragraph">
                  <wp:posOffset>-40640</wp:posOffset>
                </wp:positionV>
                <wp:extent cx="5615940" cy="0"/>
                <wp:effectExtent l="0" t="0" r="0" b="0"/>
                <wp:wrapNone/>
                <wp:docPr id="3" name="直接连接符 3"/>
                <wp:cNvGraphicFramePr/>
                <a:graphic xmlns:a="http://schemas.openxmlformats.org/drawingml/2006/main">
                  <a:graphicData uri="http://schemas.microsoft.com/office/word/2010/wordprocessingShape">
                    <wps:wsp>
                      <wps:cNvCnPr/>
                      <wps:spPr>
                        <a:xfrm>
                          <a:off x="0" y="0"/>
                          <a:ext cx="5615940" cy="0"/>
                        </a:xfrm>
                        <a:prstGeom prst="line">
                          <a:avLst/>
                        </a:prstGeom>
                        <a:ln w="12700" cap="flat" cmpd="sng">
                          <a:solidFill>
                            <a:srgbClr val="000000"/>
                          </a:solidFill>
                          <a:prstDash val="solid"/>
                          <a:headEnd type="none" w="med" len="med"/>
                          <a:tailEnd type="none" w="med" len="med"/>
                        </a:ln>
                      </wps:spPr>
                      <wps:bodyPr upright="true"/>
                    </wps:wsp>
                  </a:graphicData>
                </a:graphic>
              </wp:anchor>
            </w:drawing>
          </mc:Choice>
          <mc:Fallback>
            <w:pict>
              <v:line id="_x0000_s1026" o:spid="_x0000_s1026" o:spt="20" style="position:absolute;left:0pt;margin-left:0pt;margin-top:-3.2pt;height:0pt;width:442.2pt;z-index:251666432;mso-width-relative:page;mso-height-relative:page;" filled="f" stroked="t" coordsize="21600,21600" o:gfxdata="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BYAAABkcnMvUEsBAhQAFAAAAAgA&#10;h07iQGYD+ZrVAAAABgEAAA8AAAAAAAAAAQAgAAAAOAAAAGRycy9kb3ducmV2LnhtbFBLAQIUABQA&#10;AAAIAIdO4kCPb9iN3QEAAJoDAAAOAAAAAAAAAAEAIAAAADoBAABkcnMvZTJvRG9jLnhtbFBLBQYA&#10;AAAABgAGAFkBAACJBQAAAAA=&#10;">
                <v:fill on="f" focussize="0,0"/>
                <v:stroke weight="1pt" color="#000000" joinstyle="round"/>
                <v:imagedata o:title=""/>
                <o:lock v:ext="edit" aspectratio="f"/>
                <w10:anchorlock/>
              </v:line>
            </w:pict>
          </mc:Fallback>
        </mc:AlternateContent>
      </w:r>
      <w:r>
        <w:rPr>
          <w:rFonts w:hint="eastAsia" w:hAnsi="宋体"/>
          <w:kern w:val="2"/>
          <w:sz w:val="28"/>
          <w:szCs w:val="28"/>
        </w:rPr>
        <w:t>上海市市场监督管理局办公室</w:t>
      </w:r>
      <w:r>
        <w:rPr>
          <w:rFonts w:hint="eastAsia" w:hAnsi="宋体"/>
          <w:spacing w:val="-2"/>
          <w:kern w:val="2"/>
          <w:sz w:val="28"/>
          <w:szCs w:val="28"/>
        </w:rPr>
        <w:t xml:space="preserve">              </w:t>
      </w:r>
      <w:r>
        <w:rPr>
          <w:rFonts w:hint="eastAsia" w:hAnsi="宋体"/>
          <w:kern w:val="2"/>
          <w:sz w:val="28"/>
          <w:szCs w:val="28"/>
        </w:rPr>
        <w:t>202</w:t>
      </w:r>
      <w:r>
        <w:rPr>
          <w:rFonts w:hint="default" w:hAnsi="宋体"/>
          <w:kern w:val="2"/>
          <w:sz w:val="28"/>
          <w:szCs w:val="28"/>
          <w:lang w:val="en"/>
        </w:rPr>
        <w:t>3</w:t>
      </w:r>
      <w:r>
        <w:rPr>
          <w:rFonts w:hint="eastAsia" w:hAnsi="宋体"/>
          <w:kern w:val="2"/>
          <w:sz w:val="28"/>
          <w:szCs w:val="28"/>
        </w:rPr>
        <w:t>年</w:t>
      </w:r>
      <w:r>
        <w:rPr>
          <w:rFonts w:hint="eastAsia" w:hAnsi="宋体"/>
          <w:kern w:val="2"/>
          <w:sz w:val="28"/>
          <w:szCs w:val="28"/>
          <w:lang w:val="en-US" w:eastAsia="zh-CN"/>
        </w:rPr>
        <w:t>11</w:t>
      </w:r>
      <w:r>
        <w:rPr>
          <w:rFonts w:hint="eastAsia" w:hAnsi="宋体"/>
          <w:kern w:val="2"/>
          <w:sz w:val="28"/>
          <w:szCs w:val="28"/>
        </w:rPr>
        <w:t>月</w:t>
      </w:r>
      <w:r>
        <w:rPr>
          <w:rFonts w:hint="eastAsia" w:hAnsi="宋体"/>
          <w:kern w:val="2"/>
          <w:sz w:val="28"/>
          <w:szCs w:val="28"/>
          <w:lang w:val="en-US" w:eastAsia="zh-CN"/>
        </w:rPr>
        <w:t>10</w:t>
      </w:r>
      <w:r>
        <w:rPr>
          <w:rFonts w:hint="eastAsia" w:hAnsi="宋体"/>
          <w:kern w:val="2"/>
          <w:sz w:val="28"/>
          <w:szCs w:val="28"/>
        </w:rPr>
        <w:t xml:space="preserve">日印发  </w:t>
      </w:r>
    </w:p>
    <w:sectPr>
      <w:footerReference r:id="rId3" w:type="default"/>
      <w:footerReference r:id="rId4" w:type="even"/>
      <w:pgSz w:w="11906" w:h="16838"/>
      <w:pgMar w:top="2098" w:right="1474" w:bottom="1984" w:left="1587" w:header="851" w:footer="1417" w:gutter="0"/>
      <w:cols w:space="0" w:num="1"/>
      <w:rtlGutter w:val="0"/>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书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left="312" w:right="312"/>
      <w:jc w:val="right"/>
      <w:rPr>
        <w:rFonts w:hint="eastAsia" w:ascii="宋体" w:hAnsi="宋体" w:eastAsia="宋体"/>
        <w:kern w:val="2"/>
        <w:sz w:val="28"/>
        <w:szCs w:val="28"/>
      </w:rPr>
    </w:pPr>
    <w:r>
      <w:rPr>
        <w:rFonts w:hint="eastAsia" w:ascii="宋体" w:hAnsi="宋体" w:eastAsia="宋体"/>
        <w:kern w:val="2"/>
        <w:sz w:val="28"/>
        <w:szCs w:val="28"/>
      </w:rPr>
      <w:t xml:space="preserve">— </w:t>
    </w:r>
    <w:r>
      <w:rPr>
        <w:rFonts w:hint="eastAsia" w:ascii="宋体" w:hAnsi="宋体" w:eastAsia="宋体"/>
        <w:kern w:val="2"/>
        <w:sz w:val="28"/>
        <w:szCs w:val="28"/>
      </w:rPr>
      <w:fldChar w:fldCharType="begin"/>
    </w:r>
    <w:r>
      <w:rPr>
        <w:rFonts w:hint="eastAsia" w:ascii="宋体" w:hAnsi="宋体" w:eastAsia="宋体"/>
        <w:kern w:val="2"/>
        <w:sz w:val="28"/>
        <w:szCs w:val="28"/>
      </w:rPr>
      <w:instrText xml:space="preserve"> PAGE </w:instrText>
    </w:r>
    <w:r>
      <w:rPr>
        <w:rFonts w:hint="eastAsia" w:ascii="宋体" w:hAnsi="宋体" w:eastAsia="宋体"/>
        <w:kern w:val="2"/>
        <w:sz w:val="28"/>
        <w:szCs w:val="28"/>
      </w:rPr>
      <w:fldChar w:fldCharType="separate"/>
    </w:r>
    <w:r>
      <w:rPr>
        <w:rFonts w:hint="eastAsia" w:ascii="宋体" w:hAnsi="宋体" w:eastAsia="宋体"/>
        <w:kern w:val="2"/>
        <w:sz w:val="28"/>
        <w:szCs w:val="28"/>
      </w:rPr>
      <w:t>1</w:t>
    </w:r>
    <w:r>
      <w:rPr>
        <w:rFonts w:hint="eastAsia" w:ascii="宋体" w:hAnsi="宋体" w:eastAsia="宋体"/>
        <w:kern w:val="2"/>
        <w:sz w:val="28"/>
        <w:szCs w:val="28"/>
      </w:rPr>
      <w:fldChar w:fldCharType="end"/>
    </w:r>
    <w:r>
      <w:rPr>
        <w:rFonts w:hint="eastAsia" w:ascii="宋体" w:hAnsi="宋体" w:eastAsia="宋体"/>
        <w:kern w:val="2"/>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left="312" w:right="312"/>
      <w:jc w:val="both"/>
      <w:rPr>
        <w:rFonts w:hint="eastAsia" w:ascii="宋体" w:hAnsi="宋体" w:eastAsia="宋体"/>
        <w:kern w:val="2"/>
        <w:sz w:val="28"/>
        <w:szCs w:val="28"/>
      </w:rPr>
    </w:pPr>
    <w:r>
      <w:rPr>
        <w:rFonts w:hint="eastAsia" w:ascii="宋体" w:hAnsi="宋体" w:eastAsia="宋体"/>
        <w:kern w:val="2"/>
        <w:sz w:val="28"/>
        <w:szCs w:val="28"/>
      </w:rPr>
      <w:t xml:space="preserve">— </w:t>
    </w:r>
    <w:r>
      <w:rPr>
        <w:rFonts w:hint="eastAsia" w:ascii="宋体" w:hAnsi="宋体" w:eastAsia="宋体"/>
        <w:kern w:val="2"/>
        <w:sz w:val="28"/>
        <w:szCs w:val="28"/>
      </w:rPr>
      <w:fldChar w:fldCharType="begin"/>
    </w:r>
    <w:r>
      <w:rPr>
        <w:rFonts w:hint="eastAsia" w:ascii="宋体" w:hAnsi="宋体" w:eastAsia="宋体"/>
        <w:kern w:val="2"/>
        <w:sz w:val="28"/>
        <w:szCs w:val="28"/>
      </w:rPr>
      <w:instrText xml:space="preserve"> PAGE </w:instrText>
    </w:r>
    <w:r>
      <w:rPr>
        <w:rFonts w:hint="eastAsia" w:ascii="宋体" w:hAnsi="宋体" w:eastAsia="宋体"/>
        <w:kern w:val="2"/>
        <w:sz w:val="28"/>
        <w:szCs w:val="28"/>
      </w:rPr>
      <w:fldChar w:fldCharType="separate"/>
    </w:r>
    <w:r>
      <w:rPr>
        <w:rFonts w:hint="eastAsia" w:ascii="宋体" w:hAnsi="宋体" w:eastAsia="宋体"/>
        <w:kern w:val="2"/>
        <w:sz w:val="28"/>
        <w:szCs w:val="28"/>
      </w:rPr>
      <w:t>1</w:t>
    </w:r>
    <w:r>
      <w:rPr>
        <w:rFonts w:hint="eastAsia" w:ascii="宋体" w:hAnsi="宋体" w:eastAsia="宋体"/>
        <w:kern w:val="2"/>
        <w:sz w:val="28"/>
        <w:szCs w:val="28"/>
      </w:rPr>
      <w:fldChar w:fldCharType="end"/>
    </w:r>
    <w:r>
      <w:rPr>
        <w:rFonts w:hint="eastAsia" w:ascii="宋体" w:hAnsi="宋体" w:eastAsia="宋体"/>
        <w:kern w:val="2"/>
        <w:sz w:val="28"/>
        <w:szCs w:val="28"/>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cumentProtection w:enforcement="0"/>
  <w:defaultTabStop w:val="420"/>
  <w:evenAndOddHeaders w:val="true"/>
  <w:drawingGridHorizontalSpacing w:val="158"/>
  <w:drawingGridVerticalSpacing w:val="579"/>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2C3"/>
    <w:rsid w:val="000042FC"/>
    <w:rsid w:val="00011FB2"/>
    <w:rsid w:val="00025A27"/>
    <w:rsid w:val="000274D7"/>
    <w:rsid w:val="000327C2"/>
    <w:rsid w:val="00032F52"/>
    <w:rsid w:val="00052D73"/>
    <w:rsid w:val="00054DC2"/>
    <w:rsid w:val="00060E31"/>
    <w:rsid w:val="0006277C"/>
    <w:rsid w:val="00063D22"/>
    <w:rsid w:val="000712E0"/>
    <w:rsid w:val="000754D4"/>
    <w:rsid w:val="00075D36"/>
    <w:rsid w:val="000A146F"/>
    <w:rsid w:val="000A24E5"/>
    <w:rsid w:val="000A7A7A"/>
    <w:rsid w:val="000B1DE6"/>
    <w:rsid w:val="000B3579"/>
    <w:rsid w:val="000C0095"/>
    <w:rsid w:val="000C5039"/>
    <w:rsid w:val="000C68D4"/>
    <w:rsid w:val="000C7D87"/>
    <w:rsid w:val="000D3183"/>
    <w:rsid w:val="000E10D3"/>
    <w:rsid w:val="000F30E5"/>
    <w:rsid w:val="00106929"/>
    <w:rsid w:val="001102E9"/>
    <w:rsid w:val="001131DD"/>
    <w:rsid w:val="00121E25"/>
    <w:rsid w:val="00122228"/>
    <w:rsid w:val="00130C61"/>
    <w:rsid w:val="00145E47"/>
    <w:rsid w:val="00153F31"/>
    <w:rsid w:val="001626EB"/>
    <w:rsid w:val="00170D77"/>
    <w:rsid w:val="0017478E"/>
    <w:rsid w:val="00185486"/>
    <w:rsid w:val="00192A99"/>
    <w:rsid w:val="00197940"/>
    <w:rsid w:val="001A0828"/>
    <w:rsid w:val="001A3034"/>
    <w:rsid w:val="001B0929"/>
    <w:rsid w:val="001C26F9"/>
    <w:rsid w:val="001D144D"/>
    <w:rsid w:val="001D6A4A"/>
    <w:rsid w:val="001D6D54"/>
    <w:rsid w:val="001E1297"/>
    <w:rsid w:val="001E2F71"/>
    <w:rsid w:val="001E6204"/>
    <w:rsid w:val="001E6DE0"/>
    <w:rsid w:val="0020059D"/>
    <w:rsid w:val="00237E4A"/>
    <w:rsid w:val="00242806"/>
    <w:rsid w:val="0024774D"/>
    <w:rsid w:val="002479E9"/>
    <w:rsid w:val="002564A2"/>
    <w:rsid w:val="00261E7F"/>
    <w:rsid w:val="00266895"/>
    <w:rsid w:val="002B0597"/>
    <w:rsid w:val="002C7F9D"/>
    <w:rsid w:val="002E39BE"/>
    <w:rsid w:val="002F25BE"/>
    <w:rsid w:val="002F71DF"/>
    <w:rsid w:val="002F7C86"/>
    <w:rsid w:val="00303C34"/>
    <w:rsid w:val="00306AD7"/>
    <w:rsid w:val="00310883"/>
    <w:rsid w:val="00310E10"/>
    <w:rsid w:val="00314368"/>
    <w:rsid w:val="00315C70"/>
    <w:rsid w:val="003229DB"/>
    <w:rsid w:val="00334738"/>
    <w:rsid w:val="00334A25"/>
    <w:rsid w:val="003455D1"/>
    <w:rsid w:val="0034606D"/>
    <w:rsid w:val="00362733"/>
    <w:rsid w:val="00366A7E"/>
    <w:rsid w:val="00384424"/>
    <w:rsid w:val="0038503C"/>
    <w:rsid w:val="00387A9D"/>
    <w:rsid w:val="00393612"/>
    <w:rsid w:val="00397811"/>
    <w:rsid w:val="003A08E2"/>
    <w:rsid w:val="003A582C"/>
    <w:rsid w:val="003A7151"/>
    <w:rsid w:val="003B75DA"/>
    <w:rsid w:val="003C09C3"/>
    <w:rsid w:val="003C7778"/>
    <w:rsid w:val="003F194E"/>
    <w:rsid w:val="003F53E7"/>
    <w:rsid w:val="004102E4"/>
    <w:rsid w:val="004106CB"/>
    <w:rsid w:val="00417F51"/>
    <w:rsid w:val="0042524E"/>
    <w:rsid w:val="00437A2C"/>
    <w:rsid w:val="00443040"/>
    <w:rsid w:val="00446EFA"/>
    <w:rsid w:val="00450DE8"/>
    <w:rsid w:val="0045448F"/>
    <w:rsid w:val="00461A0D"/>
    <w:rsid w:val="00466C90"/>
    <w:rsid w:val="00467B81"/>
    <w:rsid w:val="00477FB6"/>
    <w:rsid w:val="004834F2"/>
    <w:rsid w:val="004935E3"/>
    <w:rsid w:val="0049747C"/>
    <w:rsid w:val="004B0CEA"/>
    <w:rsid w:val="004B620F"/>
    <w:rsid w:val="004C291A"/>
    <w:rsid w:val="004E09DC"/>
    <w:rsid w:val="004E175F"/>
    <w:rsid w:val="00503B9C"/>
    <w:rsid w:val="005063C4"/>
    <w:rsid w:val="00510895"/>
    <w:rsid w:val="00513D1B"/>
    <w:rsid w:val="00514435"/>
    <w:rsid w:val="0053394D"/>
    <w:rsid w:val="00551947"/>
    <w:rsid w:val="00554FE1"/>
    <w:rsid w:val="00557149"/>
    <w:rsid w:val="0056585C"/>
    <w:rsid w:val="005658FE"/>
    <w:rsid w:val="005921BE"/>
    <w:rsid w:val="005A2D0A"/>
    <w:rsid w:val="005A53F2"/>
    <w:rsid w:val="005B196E"/>
    <w:rsid w:val="005D52EB"/>
    <w:rsid w:val="00620093"/>
    <w:rsid w:val="006257F0"/>
    <w:rsid w:val="00626889"/>
    <w:rsid w:val="00626D3C"/>
    <w:rsid w:val="0062709C"/>
    <w:rsid w:val="00641531"/>
    <w:rsid w:val="00642462"/>
    <w:rsid w:val="00646179"/>
    <w:rsid w:val="00657F18"/>
    <w:rsid w:val="006701B0"/>
    <w:rsid w:val="00676989"/>
    <w:rsid w:val="006A3CCB"/>
    <w:rsid w:val="006A5344"/>
    <w:rsid w:val="006B2EC6"/>
    <w:rsid w:val="006B31D5"/>
    <w:rsid w:val="006B5833"/>
    <w:rsid w:val="006B5F51"/>
    <w:rsid w:val="006B613C"/>
    <w:rsid w:val="006C0A7B"/>
    <w:rsid w:val="006D5DA6"/>
    <w:rsid w:val="006F113B"/>
    <w:rsid w:val="006F2AE9"/>
    <w:rsid w:val="006F4966"/>
    <w:rsid w:val="006F4E97"/>
    <w:rsid w:val="006F7155"/>
    <w:rsid w:val="00701C45"/>
    <w:rsid w:val="00713418"/>
    <w:rsid w:val="00717EF8"/>
    <w:rsid w:val="00722E69"/>
    <w:rsid w:val="007246C8"/>
    <w:rsid w:val="00725245"/>
    <w:rsid w:val="007349A4"/>
    <w:rsid w:val="00743FD4"/>
    <w:rsid w:val="007471C8"/>
    <w:rsid w:val="00755134"/>
    <w:rsid w:val="007612EA"/>
    <w:rsid w:val="00785666"/>
    <w:rsid w:val="007B51D2"/>
    <w:rsid w:val="007B691E"/>
    <w:rsid w:val="007C1447"/>
    <w:rsid w:val="007D20E0"/>
    <w:rsid w:val="007E1932"/>
    <w:rsid w:val="007E42DF"/>
    <w:rsid w:val="0080666C"/>
    <w:rsid w:val="0081072B"/>
    <w:rsid w:val="00810D0B"/>
    <w:rsid w:val="008134FC"/>
    <w:rsid w:val="00821B74"/>
    <w:rsid w:val="00835354"/>
    <w:rsid w:val="008818F9"/>
    <w:rsid w:val="00885547"/>
    <w:rsid w:val="008B7737"/>
    <w:rsid w:val="008C2688"/>
    <w:rsid w:val="008D6B42"/>
    <w:rsid w:val="008E0B94"/>
    <w:rsid w:val="008E3345"/>
    <w:rsid w:val="008E7553"/>
    <w:rsid w:val="008F5932"/>
    <w:rsid w:val="008F75BE"/>
    <w:rsid w:val="009033B1"/>
    <w:rsid w:val="00930CBC"/>
    <w:rsid w:val="009346A6"/>
    <w:rsid w:val="009454EF"/>
    <w:rsid w:val="009470F0"/>
    <w:rsid w:val="00961B37"/>
    <w:rsid w:val="009748AC"/>
    <w:rsid w:val="00981776"/>
    <w:rsid w:val="009A121A"/>
    <w:rsid w:val="009B01F0"/>
    <w:rsid w:val="009B4AD2"/>
    <w:rsid w:val="009B4C06"/>
    <w:rsid w:val="009C4BB5"/>
    <w:rsid w:val="009C64C5"/>
    <w:rsid w:val="009D472A"/>
    <w:rsid w:val="009D4E2C"/>
    <w:rsid w:val="009E7842"/>
    <w:rsid w:val="009F5FD8"/>
    <w:rsid w:val="009F7988"/>
    <w:rsid w:val="00A10281"/>
    <w:rsid w:val="00A25224"/>
    <w:rsid w:val="00A425B6"/>
    <w:rsid w:val="00A42634"/>
    <w:rsid w:val="00A50705"/>
    <w:rsid w:val="00A63923"/>
    <w:rsid w:val="00A672A2"/>
    <w:rsid w:val="00A75DC8"/>
    <w:rsid w:val="00A86043"/>
    <w:rsid w:val="00AA1568"/>
    <w:rsid w:val="00AA1E35"/>
    <w:rsid w:val="00AB3BAA"/>
    <w:rsid w:val="00AC1D81"/>
    <w:rsid w:val="00AC4281"/>
    <w:rsid w:val="00AC5E51"/>
    <w:rsid w:val="00AD633D"/>
    <w:rsid w:val="00AF18B6"/>
    <w:rsid w:val="00AF5C31"/>
    <w:rsid w:val="00B14FFF"/>
    <w:rsid w:val="00B302B9"/>
    <w:rsid w:val="00B35759"/>
    <w:rsid w:val="00B46CBB"/>
    <w:rsid w:val="00B515DE"/>
    <w:rsid w:val="00B525D8"/>
    <w:rsid w:val="00B54576"/>
    <w:rsid w:val="00B56CB1"/>
    <w:rsid w:val="00B60046"/>
    <w:rsid w:val="00B64843"/>
    <w:rsid w:val="00B80A16"/>
    <w:rsid w:val="00BA1B74"/>
    <w:rsid w:val="00BA7905"/>
    <w:rsid w:val="00BA7A20"/>
    <w:rsid w:val="00BE67E3"/>
    <w:rsid w:val="00BF422F"/>
    <w:rsid w:val="00C0015F"/>
    <w:rsid w:val="00C13BA7"/>
    <w:rsid w:val="00C22BB7"/>
    <w:rsid w:val="00C274F1"/>
    <w:rsid w:val="00C32BCD"/>
    <w:rsid w:val="00C41E55"/>
    <w:rsid w:val="00C54DDC"/>
    <w:rsid w:val="00C57D70"/>
    <w:rsid w:val="00C634EA"/>
    <w:rsid w:val="00C65E6E"/>
    <w:rsid w:val="00C738EA"/>
    <w:rsid w:val="00C804E0"/>
    <w:rsid w:val="00C865E9"/>
    <w:rsid w:val="00CA17EA"/>
    <w:rsid w:val="00CA42B1"/>
    <w:rsid w:val="00CB0BA7"/>
    <w:rsid w:val="00CB122D"/>
    <w:rsid w:val="00CB56D6"/>
    <w:rsid w:val="00CB7855"/>
    <w:rsid w:val="00CC14EC"/>
    <w:rsid w:val="00CC7484"/>
    <w:rsid w:val="00D016B3"/>
    <w:rsid w:val="00D077F6"/>
    <w:rsid w:val="00D14F31"/>
    <w:rsid w:val="00D206FE"/>
    <w:rsid w:val="00D22003"/>
    <w:rsid w:val="00D2716E"/>
    <w:rsid w:val="00D30810"/>
    <w:rsid w:val="00D32DB7"/>
    <w:rsid w:val="00D44571"/>
    <w:rsid w:val="00D446CD"/>
    <w:rsid w:val="00D525FF"/>
    <w:rsid w:val="00D55D8D"/>
    <w:rsid w:val="00D56761"/>
    <w:rsid w:val="00D60D53"/>
    <w:rsid w:val="00D629C4"/>
    <w:rsid w:val="00D63387"/>
    <w:rsid w:val="00D73A89"/>
    <w:rsid w:val="00D77EF1"/>
    <w:rsid w:val="00D904CF"/>
    <w:rsid w:val="00DA1AC7"/>
    <w:rsid w:val="00DC1B17"/>
    <w:rsid w:val="00DD1186"/>
    <w:rsid w:val="00DD22DD"/>
    <w:rsid w:val="00DD7E39"/>
    <w:rsid w:val="00DE1DF8"/>
    <w:rsid w:val="00E0125E"/>
    <w:rsid w:val="00E01A8D"/>
    <w:rsid w:val="00E22F0D"/>
    <w:rsid w:val="00E2543C"/>
    <w:rsid w:val="00E313B0"/>
    <w:rsid w:val="00E5147A"/>
    <w:rsid w:val="00E55FD0"/>
    <w:rsid w:val="00E71C83"/>
    <w:rsid w:val="00EA427D"/>
    <w:rsid w:val="00EB514F"/>
    <w:rsid w:val="00EC0ADB"/>
    <w:rsid w:val="00EC491C"/>
    <w:rsid w:val="00EC5FCB"/>
    <w:rsid w:val="00EC6285"/>
    <w:rsid w:val="00EE2441"/>
    <w:rsid w:val="00EE39AE"/>
    <w:rsid w:val="00EE7683"/>
    <w:rsid w:val="00EF3127"/>
    <w:rsid w:val="00EF5CB8"/>
    <w:rsid w:val="00F31236"/>
    <w:rsid w:val="00F45DAB"/>
    <w:rsid w:val="00F502C3"/>
    <w:rsid w:val="00F62077"/>
    <w:rsid w:val="00F6215E"/>
    <w:rsid w:val="00F80041"/>
    <w:rsid w:val="00F81BAE"/>
    <w:rsid w:val="00F81DC1"/>
    <w:rsid w:val="00F822C7"/>
    <w:rsid w:val="00F96A68"/>
    <w:rsid w:val="00FA2077"/>
    <w:rsid w:val="00FA636F"/>
    <w:rsid w:val="00FC1F5F"/>
    <w:rsid w:val="00FE2B48"/>
    <w:rsid w:val="00FF29AC"/>
    <w:rsid w:val="05D7BD35"/>
    <w:rsid w:val="0AC367A7"/>
    <w:rsid w:val="0B67C2ED"/>
    <w:rsid w:val="0BAC68AE"/>
    <w:rsid w:val="14FBD478"/>
    <w:rsid w:val="1847517B"/>
    <w:rsid w:val="1BEB60F4"/>
    <w:rsid w:val="1FEF530D"/>
    <w:rsid w:val="21FAE2A5"/>
    <w:rsid w:val="23FB15B4"/>
    <w:rsid w:val="24A452B3"/>
    <w:rsid w:val="27BD51BC"/>
    <w:rsid w:val="27E96773"/>
    <w:rsid w:val="29FF483C"/>
    <w:rsid w:val="2AFA0BB1"/>
    <w:rsid w:val="2B7BFD3D"/>
    <w:rsid w:val="2CF62CCA"/>
    <w:rsid w:val="2DCF4BD4"/>
    <w:rsid w:val="2F2D6445"/>
    <w:rsid w:val="2F7FB677"/>
    <w:rsid w:val="2FEDF92A"/>
    <w:rsid w:val="2FFF58B8"/>
    <w:rsid w:val="33498505"/>
    <w:rsid w:val="33DB39C2"/>
    <w:rsid w:val="35BE538A"/>
    <w:rsid w:val="36F9AC84"/>
    <w:rsid w:val="37ED9F34"/>
    <w:rsid w:val="37FA7002"/>
    <w:rsid w:val="37FF9DB5"/>
    <w:rsid w:val="396FBEA8"/>
    <w:rsid w:val="39748F90"/>
    <w:rsid w:val="3A4EC3F5"/>
    <w:rsid w:val="3ACF46BF"/>
    <w:rsid w:val="3B2B0D6E"/>
    <w:rsid w:val="3B4FCF9F"/>
    <w:rsid w:val="3B7E42CC"/>
    <w:rsid w:val="3BFFB639"/>
    <w:rsid w:val="3BFFDB19"/>
    <w:rsid w:val="3C0B558D"/>
    <w:rsid w:val="3D777AAD"/>
    <w:rsid w:val="3DA3DAF6"/>
    <w:rsid w:val="3DBF6053"/>
    <w:rsid w:val="3DFEE36B"/>
    <w:rsid w:val="3ECB44D1"/>
    <w:rsid w:val="3EFE67D9"/>
    <w:rsid w:val="3F17953F"/>
    <w:rsid w:val="3F3B53B8"/>
    <w:rsid w:val="3F3BBBAE"/>
    <w:rsid w:val="3F6AD7CE"/>
    <w:rsid w:val="3F73807F"/>
    <w:rsid w:val="3F9E5BEA"/>
    <w:rsid w:val="3FDEC45D"/>
    <w:rsid w:val="3FDF7C7F"/>
    <w:rsid w:val="3FE55A32"/>
    <w:rsid w:val="3FEB7BE4"/>
    <w:rsid w:val="3FEDB2E1"/>
    <w:rsid w:val="3FF71645"/>
    <w:rsid w:val="3FFB4C8C"/>
    <w:rsid w:val="3FFEEB18"/>
    <w:rsid w:val="3FFF261D"/>
    <w:rsid w:val="3FFF88AA"/>
    <w:rsid w:val="40E710C9"/>
    <w:rsid w:val="4577BC53"/>
    <w:rsid w:val="45DE1F58"/>
    <w:rsid w:val="4733440F"/>
    <w:rsid w:val="476F963F"/>
    <w:rsid w:val="47A7CFF6"/>
    <w:rsid w:val="47DFF023"/>
    <w:rsid w:val="4B9D36D0"/>
    <w:rsid w:val="4BFD46ED"/>
    <w:rsid w:val="4FBE0516"/>
    <w:rsid w:val="4FD3B0EF"/>
    <w:rsid w:val="4FED3C0F"/>
    <w:rsid w:val="4FEF310D"/>
    <w:rsid w:val="4FF72A5E"/>
    <w:rsid w:val="4FFB1632"/>
    <w:rsid w:val="4FFD35E3"/>
    <w:rsid w:val="503F6DB4"/>
    <w:rsid w:val="517DB5E4"/>
    <w:rsid w:val="52EBB424"/>
    <w:rsid w:val="535DB27C"/>
    <w:rsid w:val="53FF7597"/>
    <w:rsid w:val="55F59A2B"/>
    <w:rsid w:val="56FF8439"/>
    <w:rsid w:val="578B6E93"/>
    <w:rsid w:val="57CEC058"/>
    <w:rsid w:val="57F7E308"/>
    <w:rsid w:val="58B3298B"/>
    <w:rsid w:val="5AFF8D51"/>
    <w:rsid w:val="5B027D92"/>
    <w:rsid w:val="5BCDA5EE"/>
    <w:rsid w:val="5BDF4FEC"/>
    <w:rsid w:val="5CBF5445"/>
    <w:rsid w:val="5CFF5D16"/>
    <w:rsid w:val="5DA3E3BB"/>
    <w:rsid w:val="5DC76214"/>
    <w:rsid w:val="5DFBBA71"/>
    <w:rsid w:val="5DFD641F"/>
    <w:rsid w:val="5E838E5D"/>
    <w:rsid w:val="5EC35A46"/>
    <w:rsid w:val="5EF3A37D"/>
    <w:rsid w:val="5EF8FDB1"/>
    <w:rsid w:val="5F72E412"/>
    <w:rsid w:val="5F7AE0AC"/>
    <w:rsid w:val="5F7B6408"/>
    <w:rsid w:val="5F7DCF9F"/>
    <w:rsid w:val="5F9698E2"/>
    <w:rsid w:val="5FBFB1B6"/>
    <w:rsid w:val="5FCB8F5F"/>
    <w:rsid w:val="5FD5A9D1"/>
    <w:rsid w:val="5FF2245E"/>
    <w:rsid w:val="5FF900B5"/>
    <w:rsid w:val="5FFBFE79"/>
    <w:rsid w:val="5FFFB7CE"/>
    <w:rsid w:val="61FF7DE1"/>
    <w:rsid w:val="65DF306C"/>
    <w:rsid w:val="66EDADE2"/>
    <w:rsid w:val="67EB315F"/>
    <w:rsid w:val="67FF7B21"/>
    <w:rsid w:val="6968E598"/>
    <w:rsid w:val="69FD4DB6"/>
    <w:rsid w:val="6B76A69F"/>
    <w:rsid w:val="6B7F41ED"/>
    <w:rsid w:val="6B7FB2F5"/>
    <w:rsid w:val="6BFAC5E0"/>
    <w:rsid w:val="6CC3239E"/>
    <w:rsid w:val="6D9FDF2D"/>
    <w:rsid w:val="6DD4F387"/>
    <w:rsid w:val="6DDD62A7"/>
    <w:rsid w:val="6EABD68C"/>
    <w:rsid w:val="6EDFE021"/>
    <w:rsid w:val="6EE72283"/>
    <w:rsid w:val="6EF320C5"/>
    <w:rsid w:val="6F3BA793"/>
    <w:rsid w:val="6F7EC6E0"/>
    <w:rsid w:val="6FA1EF72"/>
    <w:rsid w:val="6FDDC2F1"/>
    <w:rsid w:val="6FE1B9DF"/>
    <w:rsid w:val="6FE7EC9D"/>
    <w:rsid w:val="6FF4B951"/>
    <w:rsid w:val="719FE290"/>
    <w:rsid w:val="73EFA140"/>
    <w:rsid w:val="73F6FFF6"/>
    <w:rsid w:val="73FBA6C5"/>
    <w:rsid w:val="73FFD6D6"/>
    <w:rsid w:val="74CFD59A"/>
    <w:rsid w:val="75DD16FD"/>
    <w:rsid w:val="75F9950E"/>
    <w:rsid w:val="763C227F"/>
    <w:rsid w:val="766BD5AE"/>
    <w:rsid w:val="769758F7"/>
    <w:rsid w:val="76BD4D99"/>
    <w:rsid w:val="76D661DB"/>
    <w:rsid w:val="76EF9C38"/>
    <w:rsid w:val="76FE6EA4"/>
    <w:rsid w:val="775F5ECB"/>
    <w:rsid w:val="777F4AE3"/>
    <w:rsid w:val="77AA830B"/>
    <w:rsid w:val="77AC7BD7"/>
    <w:rsid w:val="77B08FC9"/>
    <w:rsid w:val="77DFA4D3"/>
    <w:rsid w:val="77E6834E"/>
    <w:rsid w:val="77F3639B"/>
    <w:rsid w:val="77FE0163"/>
    <w:rsid w:val="77FFCEE3"/>
    <w:rsid w:val="77FFEE60"/>
    <w:rsid w:val="788D4494"/>
    <w:rsid w:val="7A2C9821"/>
    <w:rsid w:val="7ABC0799"/>
    <w:rsid w:val="7AF934ED"/>
    <w:rsid w:val="7B7F2CF9"/>
    <w:rsid w:val="7B8B3425"/>
    <w:rsid w:val="7B9BFD25"/>
    <w:rsid w:val="7BE3348B"/>
    <w:rsid w:val="7BE58533"/>
    <w:rsid w:val="7BEE6EAD"/>
    <w:rsid w:val="7C7FB42A"/>
    <w:rsid w:val="7CCF8610"/>
    <w:rsid w:val="7CDF21E9"/>
    <w:rsid w:val="7CF7727E"/>
    <w:rsid w:val="7CFD91DD"/>
    <w:rsid w:val="7D1FE419"/>
    <w:rsid w:val="7D3E1ABB"/>
    <w:rsid w:val="7D6CB578"/>
    <w:rsid w:val="7DA1ED2D"/>
    <w:rsid w:val="7DCFADBE"/>
    <w:rsid w:val="7DD79E44"/>
    <w:rsid w:val="7DDF1EAF"/>
    <w:rsid w:val="7DE6D0F9"/>
    <w:rsid w:val="7DEA5C5C"/>
    <w:rsid w:val="7DFD06B8"/>
    <w:rsid w:val="7DFF28E2"/>
    <w:rsid w:val="7E7BC8BB"/>
    <w:rsid w:val="7F2F3B4B"/>
    <w:rsid w:val="7F3717A1"/>
    <w:rsid w:val="7F3D2EDB"/>
    <w:rsid w:val="7F3DA536"/>
    <w:rsid w:val="7F5FB5FD"/>
    <w:rsid w:val="7F742B0B"/>
    <w:rsid w:val="7F7DAC75"/>
    <w:rsid w:val="7F7DF284"/>
    <w:rsid w:val="7F8E1690"/>
    <w:rsid w:val="7F95692C"/>
    <w:rsid w:val="7FB7867F"/>
    <w:rsid w:val="7FB9AD70"/>
    <w:rsid w:val="7FBC00E6"/>
    <w:rsid w:val="7FBEA03B"/>
    <w:rsid w:val="7FBFD789"/>
    <w:rsid w:val="7FBFDE99"/>
    <w:rsid w:val="7FCF78D7"/>
    <w:rsid w:val="7FDFC1DC"/>
    <w:rsid w:val="7FED9529"/>
    <w:rsid w:val="7FEF4061"/>
    <w:rsid w:val="7FEFBE4E"/>
    <w:rsid w:val="7FF3ECC9"/>
    <w:rsid w:val="7FF69BF4"/>
    <w:rsid w:val="7FFA6283"/>
    <w:rsid w:val="7FFE6576"/>
    <w:rsid w:val="7FFED4C2"/>
    <w:rsid w:val="83733BCA"/>
    <w:rsid w:val="8F3FF7DC"/>
    <w:rsid w:val="93FB57B5"/>
    <w:rsid w:val="93FF7CDC"/>
    <w:rsid w:val="95D72443"/>
    <w:rsid w:val="95FF8739"/>
    <w:rsid w:val="99790C61"/>
    <w:rsid w:val="9A6C2D61"/>
    <w:rsid w:val="9A7ED05F"/>
    <w:rsid w:val="9AFBD8E9"/>
    <w:rsid w:val="9CFC59D6"/>
    <w:rsid w:val="9E552604"/>
    <w:rsid w:val="9F7EBCE5"/>
    <w:rsid w:val="9FA727DF"/>
    <w:rsid w:val="9FB999D0"/>
    <w:rsid w:val="9FBAE954"/>
    <w:rsid w:val="9FC8EA02"/>
    <w:rsid w:val="9FEDBB08"/>
    <w:rsid w:val="9FF7790B"/>
    <w:rsid w:val="9FFADABF"/>
    <w:rsid w:val="A2DF34F8"/>
    <w:rsid w:val="A4DDB20E"/>
    <w:rsid w:val="A73F2898"/>
    <w:rsid w:val="A7FD8BCD"/>
    <w:rsid w:val="A7FE63C1"/>
    <w:rsid w:val="AE2F880D"/>
    <w:rsid w:val="AEFF4D47"/>
    <w:rsid w:val="AFED9A96"/>
    <w:rsid w:val="AFF6737F"/>
    <w:rsid w:val="AFFD3BB8"/>
    <w:rsid w:val="B1B96CB3"/>
    <w:rsid w:val="B39CC220"/>
    <w:rsid w:val="B76F3099"/>
    <w:rsid w:val="B7FB07B3"/>
    <w:rsid w:val="BA7B23C6"/>
    <w:rsid w:val="BB977E8B"/>
    <w:rsid w:val="BBBEFDEF"/>
    <w:rsid w:val="BBF76E4B"/>
    <w:rsid w:val="BBFE3496"/>
    <w:rsid w:val="BEDC4ADC"/>
    <w:rsid w:val="BEFB160B"/>
    <w:rsid w:val="BF6F494C"/>
    <w:rsid w:val="BF7391FF"/>
    <w:rsid w:val="BF8BB498"/>
    <w:rsid w:val="BF9F5CDB"/>
    <w:rsid w:val="BF9F843E"/>
    <w:rsid w:val="BFBDB394"/>
    <w:rsid w:val="BFBED31A"/>
    <w:rsid w:val="BFBF507C"/>
    <w:rsid w:val="BFBF753C"/>
    <w:rsid w:val="BFBFDC8E"/>
    <w:rsid w:val="BFC78A36"/>
    <w:rsid w:val="BFCF9370"/>
    <w:rsid w:val="BFD75E1D"/>
    <w:rsid w:val="BFE562A1"/>
    <w:rsid w:val="BFF390F8"/>
    <w:rsid w:val="BFFED9AD"/>
    <w:rsid w:val="BFFF88E5"/>
    <w:rsid w:val="C62FC290"/>
    <w:rsid w:val="C7FBBC71"/>
    <w:rsid w:val="CB3F319B"/>
    <w:rsid w:val="CBFD632E"/>
    <w:rsid w:val="CDCE12B5"/>
    <w:rsid w:val="CF1EB769"/>
    <w:rsid w:val="CF6F4C22"/>
    <w:rsid w:val="D23F0388"/>
    <w:rsid w:val="D59FC5F0"/>
    <w:rsid w:val="D7EF799C"/>
    <w:rsid w:val="D7F7F0D1"/>
    <w:rsid w:val="D9FFEB53"/>
    <w:rsid w:val="DABFE121"/>
    <w:rsid w:val="DAF72A99"/>
    <w:rsid w:val="DBBD1FB2"/>
    <w:rsid w:val="DBCF66A0"/>
    <w:rsid w:val="DCF73EFD"/>
    <w:rsid w:val="DDBBB2B0"/>
    <w:rsid w:val="DDD35B3E"/>
    <w:rsid w:val="DDF39C92"/>
    <w:rsid w:val="DE6F590A"/>
    <w:rsid w:val="DEBF0446"/>
    <w:rsid w:val="DEF781AC"/>
    <w:rsid w:val="DFBE29F3"/>
    <w:rsid w:val="DFBFBB85"/>
    <w:rsid w:val="DFCBC906"/>
    <w:rsid w:val="DFD7B08C"/>
    <w:rsid w:val="DFDFE2BE"/>
    <w:rsid w:val="DFF68AFC"/>
    <w:rsid w:val="DFFFDA4E"/>
    <w:rsid w:val="E6DB6CC5"/>
    <w:rsid w:val="E6F4EFC3"/>
    <w:rsid w:val="E6FF143F"/>
    <w:rsid w:val="E6FFCBF7"/>
    <w:rsid w:val="E96F3741"/>
    <w:rsid w:val="E9FDE8E4"/>
    <w:rsid w:val="EA2B539E"/>
    <w:rsid w:val="EA6F80DD"/>
    <w:rsid w:val="EAFF40DC"/>
    <w:rsid w:val="EC6F694B"/>
    <w:rsid w:val="EC7F3CE6"/>
    <w:rsid w:val="ECAEFAFD"/>
    <w:rsid w:val="ED0FA816"/>
    <w:rsid w:val="ED4CFD6D"/>
    <w:rsid w:val="ED4F80B7"/>
    <w:rsid w:val="ED58EB62"/>
    <w:rsid w:val="ED7D46CB"/>
    <w:rsid w:val="EDED1A15"/>
    <w:rsid w:val="EDEF6327"/>
    <w:rsid w:val="EDF5E782"/>
    <w:rsid w:val="EF6EDD98"/>
    <w:rsid w:val="EFBAE5F7"/>
    <w:rsid w:val="EFBEB12D"/>
    <w:rsid w:val="EFBF680E"/>
    <w:rsid w:val="EFDEB892"/>
    <w:rsid w:val="EFEF79C8"/>
    <w:rsid w:val="EFFF4BD1"/>
    <w:rsid w:val="EFFFF364"/>
    <w:rsid w:val="F0BDC2A8"/>
    <w:rsid w:val="F17CA063"/>
    <w:rsid w:val="F35946F8"/>
    <w:rsid w:val="F36F8B45"/>
    <w:rsid w:val="F3BF08A2"/>
    <w:rsid w:val="F44F6F80"/>
    <w:rsid w:val="F4A939F0"/>
    <w:rsid w:val="F4D31ADB"/>
    <w:rsid w:val="F5CB24D5"/>
    <w:rsid w:val="F5EE0F84"/>
    <w:rsid w:val="F5F41815"/>
    <w:rsid w:val="F65F8943"/>
    <w:rsid w:val="F6CD0E33"/>
    <w:rsid w:val="F6FF9DDC"/>
    <w:rsid w:val="F75FB201"/>
    <w:rsid w:val="F7A8ABE3"/>
    <w:rsid w:val="F7BB487F"/>
    <w:rsid w:val="F7D3DC9A"/>
    <w:rsid w:val="F7E2DE2C"/>
    <w:rsid w:val="F7EACA07"/>
    <w:rsid w:val="F7EF7431"/>
    <w:rsid w:val="F7F72D1F"/>
    <w:rsid w:val="F7FB958A"/>
    <w:rsid w:val="F7FEDE69"/>
    <w:rsid w:val="F9FEA512"/>
    <w:rsid w:val="FA5DA317"/>
    <w:rsid w:val="FA6FACFC"/>
    <w:rsid w:val="FADEC5B4"/>
    <w:rsid w:val="FAF64871"/>
    <w:rsid w:val="FAFFBE20"/>
    <w:rsid w:val="FB6FE195"/>
    <w:rsid w:val="FBCF29DB"/>
    <w:rsid w:val="FBF35CBB"/>
    <w:rsid w:val="FBFE40A7"/>
    <w:rsid w:val="FBFF2DAC"/>
    <w:rsid w:val="FBFF3DE0"/>
    <w:rsid w:val="FCEF2706"/>
    <w:rsid w:val="FCEFEB53"/>
    <w:rsid w:val="FCFB7EF5"/>
    <w:rsid w:val="FD5D727B"/>
    <w:rsid w:val="FDDF5EBD"/>
    <w:rsid w:val="FDE68FA3"/>
    <w:rsid w:val="FDEF7731"/>
    <w:rsid w:val="FDFB4E40"/>
    <w:rsid w:val="FDFFD7FD"/>
    <w:rsid w:val="FE38D050"/>
    <w:rsid w:val="FE3B2EF2"/>
    <w:rsid w:val="FE5EEA86"/>
    <w:rsid w:val="FE734873"/>
    <w:rsid w:val="FE74F5C5"/>
    <w:rsid w:val="FE76861A"/>
    <w:rsid w:val="FED16DEB"/>
    <w:rsid w:val="FED701BD"/>
    <w:rsid w:val="FEDD7B39"/>
    <w:rsid w:val="FEDF2D2D"/>
    <w:rsid w:val="FEFF1EE5"/>
    <w:rsid w:val="FEFF5201"/>
    <w:rsid w:val="FEFFB245"/>
    <w:rsid w:val="FF24D0C3"/>
    <w:rsid w:val="FF3FC4FB"/>
    <w:rsid w:val="FF5C7CAE"/>
    <w:rsid w:val="FF7235CD"/>
    <w:rsid w:val="FF7BB3A7"/>
    <w:rsid w:val="FF7FAD4D"/>
    <w:rsid w:val="FF8702E2"/>
    <w:rsid w:val="FF8F706E"/>
    <w:rsid w:val="FF97B98B"/>
    <w:rsid w:val="FFA7BAA0"/>
    <w:rsid w:val="FFB2048F"/>
    <w:rsid w:val="FFB69BB4"/>
    <w:rsid w:val="FFBB07B9"/>
    <w:rsid w:val="FFBB9493"/>
    <w:rsid w:val="FFC3747E"/>
    <w:rsid w:val="FFCAF086"/>
    <w:rsid w:val="FFCF3E92"/>
    <w:rsid w:val="FFDEBCD3"/>
    <w:rsid w:val="FFDF1B58"/>
    <w:rsid w:val="FFE5F3E0"/>
    <w:rsid w:val="FFED6092"/>
    <w:rsid w:val="FFEE27F4"/>
    <w:rsid w:val="FFFDB16C"/>
    <w:rsid w:val="FFFE260D"/>
    <w:rsid w:val="FFFE70A8"/>
    <w:rsid w:val="FFFF0F0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Arial"/>
      <w:kern w:val="2"/>
      <w:sz w:val="32"/>
      <w:szCs w:val="22"/>
      <w:lang w:val="en-US" w:eastAsia="zh-CN" w:bidi="ar-SA"/>
    </w:rPr>
  </w:style>
  <w:style w:type="paragraph" w:styleId="2">
    <w:name w:val="heading 2"/>
    <w:basedOn w:val="1"/>
    <w:next w:val="1"/>
    <w:link w:val="23"/>
    <w:unhideWhenUsed/>
    <w:qFormat/>
    <w:uiPriority w:val="0"/>
    <w:pPr>
      <w:spacing w:beforeAutospacing="1" w:afterAutospacing="1"/>
      <w:jc w:val="left"/>
      <w:outlineLvl w:val="1"/>
    </w:pPr>
    <w:rPr>
      <w:rFonts w:hint="eastAsia" w:ascii="宋体" w:hAnsi="宋体" w:eastAsia="宋体" w:cs="Times New Roman"/>
      <w:b/>
      <w:kern w:val="0"/>
      <w:sz w:val="36"/>
      <w:szCs w:val="36"/>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Indent"/>
    <w:basedOn w:val="1"/>
    <w:qFormat/>
    <w:uiPriority w:val="0"/>
    <w:pPr>
      <w:spacing w:line="600" w:lineRule="exact"/>
      <w:ind w:firstLine="640" w:firstLineChars="200"/>
    </w:pPr>
  </w:style>
  <w:style w:type="paragraph" w:styleId="5">
    <w:name w:val="Plain Text"/>
    <w:basedOn w:val="1"/>
    <w:link w:val="22"/>
    <w:semiHidden/>
    <w:unhideWhenUsed/>
    <w:qFormat/>
    <w:uiPriority w:val="99"/>
    <w:pPr>
      <w:jc w:val="left"/>
    </w:pPr>
    <w:rPr>
      <w:rFonts w:ascii="Calibri" w:hAnsi="Courier New" w:eastAsia="宋体" w:cs="Courier New"/>
      <w:sz w:val="21"/>
      <w:szCs w:val="21"/>
    </w:rPr>
  </w:style>
  <w:style w:type="paragraph" w:styleId="6">
    <w:name w:val="Balloon Text"/>
    <w:basedOn w:val="1"/>
    <w:link w:val="21"/>
    <w:semiHidden/>
    <w:unhideWhenUsed/>
    <w:qFormat/>
    <w:uiPriority w:val="99"/>
    <w:rPr>
      <w:sz w:val="18"/>
      <w:szCs w:val="18"/>
    </w:rPr>
  </w:style>
  <w:style w:type="paragraph" w:styleId="7">
    <w:name w:val="footer"/>
    <w:basedOn w:val="1"/>
    <w:link w:val="19"/>
    <w:unhideWhenUsed/>
    <w:qFormat/>
    <w:uiPriority w:val="0"/>
    <w:pPr>
      <w:tabs>
        <w:tab w:val="center" w:pos="4153"/>
        <w:tab w:val="right" w:pos="8306"/>
      </w:tabs>
      <w:snapToGrid w:val="0"/>
      <w:jc w:val="left"/>
    </w:pPr>
    <w:rPr>
      <w:rFonts w:asciiTheme="minorHAnsi" w:hAnsiTheme="minorHAnsi" w:eastAsiaTheme="minorEastAsia" w:cstheme="minorBidi"/>
      <w:sz w:val="18"/>
      <w:szCs w:val="18"/>
    </w:rPr>
  </w:style>
  <w:style w:type="paragraph" w:styleId="8">
    <w:name w:val="header"/>
    <w:basedOn w:val="1"/>
    <w:link w:val="18"/>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9">
    <w:name w:val="Body Text 2"/>
    <w:basedOn w:val="1"/>
    <w:qFormat/>
    <w:uiPriority w:val="0"/>
    <w:pPr>
      <w:ind w:firstLine="1840"/>
    </w:pPr>
  </w:style>
  <w:style w:type="paragraph" w:styleId="10">
    <w:name w:val="Normal (Web)"/>
    <w:basedOn w:val="1"/>
    <w:qFormat/>
    <w:uiPriority w:val="0"/>
    <w:rPr>
      <w:sz w:val="24"/>
    </w:rPr>
  </w:style>
  <w:style w:type="paragraph" w:styleId="11">
    <w:name w:val="Body Text First Indent 2"/>
    <w:basedOn w:val="4"/>
    <w:qFormat/>
    <w:uiPriority w:val="0"/>
    <w:pPr>
      <w:spacing w:after="120" w:line="240" w:lineRule="auto"/>
      <w:ind w:left="420" w:leftChars="200" w:firstLine="210"/>
    </w:pPr>
  </w:style>
  <w:style w:type="table" w:styleId="13">
    <w:name w:val="Table Grid"/>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Strong"/>
    <w:basedOn w:val="14"/>
    <w:qFormat/>
    <w:uiPriority w:val="0"/>
    <w:rPr>
      <w:b/>
    </w:rPr>
  </w:style>
  <w:style w:type="paragraph" w:customStyle="1" w:styleId="16">
    <w:name w:val="Heading3"/>
    <w:basedOn w:val="1"/>
    <w:next w:val="1"/>
    <w:qFormat/>
    <w:uiPriority w:val="99"/>
    <w:pPr>
      <w:keepNext/>
      <w:keepLines/>
      <w:spacing w:line="560" w:lineRule="exact"/>
      <w:textAlignment w:val="baseline"/>
    </w:pPr>
    <w:rPr>
      <w:rFonts w:cs="Calibri"/>
      <w:b/>
      <w:bCs/>
    </w:rPr>
  </w:style>
  <w:style w:type="paragraph" w:customStyle="1" w:styleId="17">
    <w:name w:val="Heading1"/>
    <w:basedOn w:val="1"/>
    <w:next w:val="1"/>
    <w:qFormat/>
    <w:uiPriority w:val="0"/>
    <w:pPr>
      <w:spacing w:beforeAutospacing="1" w:afterAutospacing="1"/>
      <w:jc w:val="left"/>
    </w:pPr>
    <w:rPr>
      <w:rFonts w:ascii="宋体" w:hAnsi="宋体"/>
      <w:b/>
      <w:kern w:val="44"/>
      <w:szCs w:val="21"/>
    </w:rPr>
  </w:style>
  <w:style w:type="character" w:customStyle="1" w:styleId="18">
    <w:name w:val="页眉 Char"/>
    <w:basedOn w:val="14"/>
    <w:link w:val="8"/>
    <w:semiHidden/>
    <w:qFormat/>
    <w:uiPriority w:val="99"/>
    <w:rPr>
      <w:sz w:val="18"/>
      <w:szCs w:val="18"/>
    </w:rPr>
  </w:style>
  <w:style w:type="character" w:customStyle="1" w:styleId="19">
    <w:name w:val="页脚 Char"/>
    <w:basedOn w:val="14"/>
    <w:link w:val="7"/>
    <w:qFormat/>
    <w:uiPriority w:val="0"/>
    <w:rPr>
      <w:sz w:val="18"/>
      <w:szCs w:val="18"/>
    </w:rPr>
  </w:style>
  <w:style w:type="paragraph" w:styleId="20">
    <w:name w:val="List Paragraph"/>
    <w:basedOn w:val="1"/>
    <w:qFormat/>
    <w:uiPriority w:val="34"/>
    <w:pPr>
      <w:ind w:firstLine="420" w:firstLineChars="200"/>
    </w:pPr>
  </w:style>
  <w:style w:type="character" w:customStyle="1" w:styleId="21">
    <w:name w:val="批注框文本 Char"/>
    <w:basedOn w:val="14"/>
    <w:link w:val="6"/>
    <w:semiHidden/>
    <w:qFormat/>
    <w:uiPriority w:val="99"/>
    <w:rPr>
      <w:rFonts w:ascii="Calibri" w:hAnsi="Calibri" w:eastAsia="宋体" w:cs="Arial"/>
      <w:sz w:val="18"/>
      <w:szCs w:val="18"/>
    </w:rPr>
  </w:style>
  <w:style w:type="character" w:customStyle="1" w:styleId="22">
    <w:name w:val="纯文本 Char"/>
    <w:basedOn w:val="14"/>
    <w:link w:val="5"/>
    <w:semiHidden/>
    <w:qFormat/>
    <w:uiPriority w:val="99"/>
    <w:rPr>
      <w:rFonts w:ascii="Calibri" w:hAnsi="Courier New" w:eastAsia="宋体" w:cs="Courier New"/>
      <w:szCs w:val="21"/>
    </w:rPr>
  </w:style>
  <w:style w:type="character" w:customStyle="1" w:styleId="23">
    <w:name w:val="标题 2 Char"/>
    <w:basedOn w:val="14"/>
    <w:link w:val="2"/>
    <w:qFormat/>
    <w:uiPriority w:val="0"/>
    <w:rPr>
      <w:rFonts w:ascii="宋体" w:hAnsi="宋体" w:eastAsia="宋体" w:cs="Times New Roman"/>
      <w:b/>
      <w:kern w:val="0"/>
      <w:sz w:val="36"/>
      <w:szCs w:val="3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SGS</Company>
  <Pages>15</Pages>
  <Words>966</Words>
  <Characters>5511</Characters>
  <Lines>45</Lines>
  <Paragraphs>12</Paragraphs>
  <TotalTime>7</TotalTime>
  <ScaleCrop>false</ScaleCrop>
  <LinksUpToDate>false</LinksUpToDate>
  <CharactersWithSpaces>6465</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2020-08-18T15:06:00Z</dcterms:created>
  <dc:creator>肖青</dc:creator>
  <cp:lastModifiedBy>scjuser</cp:lastModifiedBy>
  <cp:lastPrinted>2023-10-27T23:16:00Z</cp:lastPrinted>
  <dcterms:modified xsi:type="dcterms:W3CDTF">2023-11-21T16:04:13Z</dcterms:modified>
  <dc:title>上海市市场监督管理局 </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9F512F039A494FCD904C6277D3768CC2</vt:lpwstr>
  </property>
</Properties>
</file>