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AB96" w14:textId="77777777" w:rsidR="00332C51" w:rsidRDefault="00AB5728">
      <w:pPr>
        <w:widowControl/>
        <w:spacing w:after="240" w:line="594" w:lineRule="exact"/>
        <w:jc w:val="center"/>
        <w:rPr>
          <w:rFonts w:ascii="黑体" w:eastAsia="黑体" w:hAnsi="黑体" w:cs="黑体"/>
          <w:bCs/>
          <w:kern w:val="0"/>
          <w:sz w:val="36"/>
          <w:szCs w:val="36"/>
          <w:lang w:val="en-GB" w:bidi="ar-AE"/>
        </w:rPr>
      </w:pPr>
      <w:r>
        <w:rPr>
          <w:rFonts w:ascii="黑体" w:eastAsia="黑体" w:hAnsi="黑体" w:cs="黑体" w:hint="eastAsia"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96"/>
        <w:gridCol w:w="5153"/>
      </w:tblGrid>
      <w:tr w:rsidR="00332C51" w14:paraId="7725AB99" w14:textId="77777777">
        <w:tc>
          <w:tcPr>
            <w:tcW w:w="1809" w:type="dxa"/>
            <w:shd w:val="clear" w:color="auto" w:fill="D9D9D9"/>
            <w:vAlign w:val="center"/>
          </w:tcPr>
          <w:p w14:paraId="7725AB97" w14:textId="77777777" w:rsidR="00332C51" w:rsidRDefault="00AB5728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案件名称</w:t>
            </w:r>
          </w:p>
        </w:tc>
        <w:tc>
          <w:tcPr>
            <w:tcW w:w="6949" w:type="dxa"/>
            <w:gridSpan w:val="2"/>
            <w:vAlign w:val="center"/>
          </w:tcPr>
          <w:p w14:paraId="7725AB98" w14:textId="77777777" w:rsidR="00332C51" w:rsidRDefault="00AB5728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汇通达网络股份有限公司收购金通灵科技集团股份有限公司股权案</w:t>
            </w:r>
          </w:p>
        </w:tc>
      </w:tr>
      <w:tr w:rsidR="00332C51" w14:paraId="7725AB9C" w14:textId="77777777">
        <w:trPr>
          <w:trHeight w:val="993"/>
        </w:trPr>
        <w:tc>
          <w:tcPr>
            <w:tcW w:w="1809" w:type="dxa"/>
            <w:shd w:val="clear" w:color="auto" w:fill="D9D9D9"/>
            <w:vAlign w:val="center"/>
          </w:tcPr>
          <w:p w14:paraId="7725AB9A" w14:textId="77777777" w:rsidR="00332C51" w:rsidRDefault="00AB5728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交易概况（限200字内）</w:t>
            </w:r>
          </w:p>
        </w:tc>
        <w:tc>
          <w:tcPr>
            <w:tcW w:w="6949" w:type="dxa"/>
            <w:gridSpan w:val="2"/>
          </w:tcPr>
          <w:p w14:paraId="7725AB9B" w14:textId="77777777" w:rsidR="00332C51" w:rsidRDefault="00AB5728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汇通达网络股份有限公司（“汇通达”）与金通灵科技集团股份有限公司（“金通灵”）签署协议，约定汇通达拟收购金通灵约25%股份。金通灵在中国境内从事工业鼓风机（含通风机）、压缩机等设备的研发、生产与销售，以及依托前述设备制造业务形成的相关服务。交易前，南通产业控股集团有限公司持有金通灵27.88%股份，单独控制金通灵。交易后，汇通达将持有金通灵约25%股份，单独控制金通灵。</w:t>
            </w:r>
          </w:p>
        </w:tc>
      </w:tr>
      <w:tr w:rsidR="00332C51" w14:paraId="7725ABA1" w14:textId="77777777">
        <w:trPr>
          <w:trHeight w:val="468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7725AB9D" w14:textId="77777777" w:rsidR="00332C51" w:rsidRDefault="00AB5728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参与集中的经营者简介（每个限100字以内）</w:t>
            </w:r>
          </w:p>
        </w:tc>
        <w:tc>
          <w:tcPr>
            <w:tcW w:w="1796" w:type="dxa"/>
          </w:tcPr>
          <w:p w14:paraId="7725AB9E" w14:textId="77777777" w:rsidR="00332C51" w:rsidRDefault="00AB5728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1、汇通达</w:t>
            </w:r>
          </w:p>
        </w:tc>
        <w:tc>
          <w:tcPr>
            <w:tcW w:w="5153" w:type="dxa"/>
          </w:tcPr>
          <w:p w14:paraId="7725AB9F" w14:textId="0B77DF6C" w:rsidR="00332C51" w:rsidRDefault="00AB5728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汇通达于2010年12月6日成立于江苏省南京市，为香港联交所上市公司，主</w:t>
            </w:r>
            <w:r w:rsidR="00CA61B4">
              <w:rPr>
                <w:rFonts w:ascii="宋体" w:hAnsi="宋体" w:cs="宋体" w:hint="eastAsia"/>
                <w:kern w:val="0"/>
                <w:sz w:val="24"/>
                <w:szCs w:val="24"/>
              </w:rPr>
              <w:t>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业务</w:t>
            </w:r>
            <w:r w:rsidR="00CA61B4">
              <w:rPr>
                <w:rFonts w:ascii="宋体" w:hAnsi="宋体" w:cs="宋体" w:hint="eastAsia"/>
                <w:kern w:val="0"/>
                <w:sz w:val="24"/>
                <w:szCs w:val="24"/>
              </w:rPr>
              <w:t>是为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零售行业企业客户提供线上线下相结合的供应链解决方案、门店saas服务等。</w:t>
            </w:r>
          </w:p>
          <w:p w14:paraId="7725ABA0" w14:textId="77777777" w:rsidR="00332C51" w:rsidRDefault="00AB5728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汇通达最终控制人为中国籍自然人，其通过持有汇通达等多家公司，开展供应链解决方案、门店saas服务、智能家居、婴幼儿产品生产销售、金融数据，实业投资等业务。</w:t>
            </w:r>
          </w:p>
        </w:tc>
      </w:tr>
      <w:tr w:rsidR="00332C51" w14:paraId="7725ABA6" w14:textId="77777777">
        <w:trPr>
          <w:trHeight w:val="404"/>
        </w:trPr>
        <w:tc>
          <w:tcPr>
            <w:tcW w:w="1809" w:type="dxa"/>
            <w:vMerge/>
            <w:shd w:val="clear" w:color="auto" w:fill="D9D9D9"/>
            <w:vAlign w:val="center"/>
          </w:tcPr>
          <w:p w14:paraId="7725ABA2" w14:textId="77777777" w:rsidR="00332C51" w:rsidRDefault="00332C5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6" w:type="dxa"/>
          </w:tcPr>
          <w:p w14:paraId="7725ABA3" w14:textId="77777777" w:rsidR="00332C51" w:rsidRDefault="00AB5728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2、金通灵</w:t>
            </w:r>
          </w:p>
        </w:tc>
        <w:tc>
          <w:tcPr>
            <w:tcW w:w="5153" w:type="dxa"/>
          </w:tcPr>
          <w:p w14:paraId="7725ABA4" w14:textId="10C2E437" w:rsidR="00332C51" w:rsidRDefault="00AB5728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金通灵于1993年4月9日成立于江苏省南通市，为深圳证券交易所创业板上市公司，主营业务</w:t>
            </w:r>
            <w:r w:rsidR="00CA61B4">
              <w:rPr>
                <w:rFonts w:ascii="宋体" w:hAnsi="宋体" w:cs="宋体" w:hint="eastAsia"/>
                <w:kern w:val="0"/>
                <w:sz w:val="24"/>
                <w:szCs w:val="24"/>
              </w:rPr>
              <w:t>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工业鼓风机（含通风机）、压缩机等设备的研发、生产与销售，以及提供依托前述设备制造业务形成的相关服务。</w:t>
            </w:r>
          </w:p>
          <w:p w14:paraId="7725ABA5" w14:textId="5605C644" w:rsidR="00332C51" w:rsidRDefault="00AB5728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金通灵最终控制人为南通产业控股集团有限公司，</w:t>
            </w:r>
            <w:r w:rsidR="00993CAD">
              <w:rPr>
                <w:rFonts w:ascii="宋体" w:hAnsi="宋体" w:cs="宋体" w:hint="eastAsia"/>
                <w:kern w:val="0"/>
                <w:sz w:val="24"/>
                <w:szCs w:val="24"/>
              </w:rPr>
              <w:t>主营业务</w:t>
            </w:r>
            <w:r w:rsidR="006F1BA6">
              <w:rPr>
                <w:rFonts w:ascii="宋体" w:hAnsi="宋体" w:cs="宋体" w:hint="eastAsia"/>
                <w:kern w:val="0"/>
                <w:sz w:val="24"/>
                <w:szCs w:val="24"/>
              </w:rPr>
              <w:t>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从事国有资产的经营、资产管理、企业管理、资本经营、投资及融资咨询服务等。</w:t>
            </w:r>
          </w:p>
        </w:tc>
      </w:tr>
      <w:tr w:rsidR="00332C51" w14:paraId="7725ABA9" w14:textId="77777777">
        <w:trPr>
          <w:trHeight w:val="279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7725ABA7" w14:textId="77777777" w:rsidR="00332C51" w:rsidRDefault="00AB5728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简易案件理由（可以单选，也可以多选）</w:t>
            </w:r>
          </w:p>
        </w:tc>
        <w:tc>
          <w:tcPr>
            <w:tcW w:w="6949" w:type="dxa"/>
            <w:gridSpan w:val="2"/>
          </w:tcPr>
          <w:p w14:paraId="7725ABA8" w14:textId="77777777" w:rsidR="00332C51" w:rsidRDefault="00AB5728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□1.在同一相关市场，所有参与集中的经营者所占市场份额之和小于15%。</w:t>
            </w:r>
          </w:p>
        </w:tc>
      </w:tr>
      <w:tr w:rsidR="00332C51" w14:paraId="7725ABAC" w14:textId="77777777">
        <w:trPr>
          <w:trHeight w:val="330"/>
        </w:trPr>
        <w:tc>
          <w:tcPr>
            <w:tcW w:w="1809" w:type="dxa"/>
            <w:vMerge/>
            <w:shd w:val="clear" w:color="auto" w:fill="D9D9D9"/>
            <w:vAlign w:val="center"/>
          </w:tcPr>
          <w:p w14:paraId="7725ABAA" w14:textId="77777777" w:rsidR="00332C51" w:rsidRDefault="00332C5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7725ABAB" w14:textId="77777777" w:rsidR="00332C51" w:rsidRDefault="00AB5728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□2.存在上下游关系的参与集中的经营者，在上下游市场所占的市场份额均小于25%。</w:t>
            </w:r>
          </w:p>
        </w:tc>
      </w:tr>
      <w:tr w:rsidR="00332C51" w14:paraId="7725ABAF" w14:textId="77777777">
        <w:trPr>
          <w:trHeight w:val="285"/>
        </w:trPr>
        <w:tc>
          <w:tcPr>
            <w:tcW w:w="1809" w:type="dxa"/>
            <w:vMerge/>
            <w:shd w:val="clear" w:color="auto" w:fill="D9D9D9"/>
            <w:vAlign w:val="center"/>
          </w:tcPr>
          <w:p w14:paraId="7725ABAD" w14:textId="77777777" w:rsidR="00332C51" w:rsidRDefault="00332C5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7725ABAE" w14:textId="77777777" w:rsidR="00332C51" w:rsidRDefault="00AB5728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sym w:font="Wingdings" w:char="F0FE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3.不在同一相关市场、也不存在上下游关系的参与集中的经营者，在与交易有关的每个市场所占的份额均小于25%。</w:t>
            </w:r>
          </w:p>
        </w:tc>
      </w:tr>
      <w:tr w:rsidR="00332C51" w14:paraId="7725ABB2" w14:textId="77777777">
        <w:trPr>
          <w:trHeight w:val="870"/>
        </w:trPr>
        <w:tc>
          <w:tcPr>
            <w:tcW w:w="1809" w:type="dxa"/>
            <w:vMerge/>
            <w:shd w:val="clear" w:color="auto" w:fill="D9D9D9"/>
            <w:vAlign w:val="center"/>
          </w:tcPr>
          <w:p w14:paraId="7725ABB0" w14:textId="77777777" w:rsidR="00332C51" w:rsidRDefault="00332C5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7725ABB1" w14:textId="77777777" w:rsidR="00332C51" w:rsidRDefault="00AB5728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□4.参与集中的经营者在中国境外设立合营企业，合营企业不在中国境内从事经济活动。</w:t>
            </w:r>
          </w:p>
        </w:tc>
      </w:tr>
      <w:tr w:rsidR="00332C51" w14:paraId="7725ABB5" w14:textId="77777777">
        <w:trPr>
          <w:trHeight w:val="264"/>
        </w:trPr>
        <w:tc>
          <w:tcPr>
            <w:tcW w:w="1809" w:type="dxa"/>
            <w:vMerge/>
            <w:shd w:val="clear" w:color="auto" w:fill="D9D9D9"/>
            <w:vAlign w:val="center"/>
          </w:tcPr>
          <w:p w14:paraId="7725ABB3" w14:textId="77777777" w:rsidR="00332C51" w:rsidRDefault="00332C5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7725ABB4" w14:textId="77777777" w:rsidR="00332C51" w:rsidRDefault="00AB5728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□5.参与集中的经营者收购境外企业股权或资产的，该境外企业不在中国境内从事经济活动。</w:t>
            </w:r>
          </w:p>
        </w:tc>
      </w:tr>
      <w:tr w:rsidR="00332C51" w14:paraId="7725ABB8" w14:textId="77777777">
        <w:trPr>
          <w:trHeight w:val="345"/>
        </w:trPr>
        <w:tc>
          <w:tcPr>
            <w:tcW w:w="1809" w:type="dxa"/>
            <w:vMerge/>
            <w:shd w:val="clear" w:color="auto" w:fill="D9D9D9"/>
            <w:vAlign w:val="center"/>
          </w:tcPr>
          <w:p w14:paraId="7725ABB6" w14:textId="77777777" w:rsidR="00332C51" w:rsidRDefault="00332C5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7725ABB7" w14:textId="77777777" w:rsidR="00332C51" w:rsidRDefault="00AB5728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□6.由两个以上的经营者共同控制的合营企业，通过集中被其中一个或一个以上经营者控制。</w:t>
            </w:r>
          </w:p>
        </w:tc>
      </w:tr>
      <w:tr w:rsidR="00332C51" w14:paraId="7725ABC3" w14:textId="77777777">
        <w:tc>
          <w:tcPr>
            <w:tcW w:w="1809" w:type="dxa"/>
            <w:shd w:val="clear" w:color="auto" w:fill="D9D9D9"/>
            <w:vAlign w:val="center"/>
          </w:tcPr>
          <w:p w14:paraId="7725ABB9" w14:textId="77777777" w:rsidR="00332C51" w:rsidRDefault="00AB5728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6949" w:type="dxa"/>
            <w:gridSpan w:val="2"/>
          </w:tcPr>
          <w:p w14:paraId="7725ABBA" w14:textId="77777777" w:rsidR="00332C51" w:rsidRDefault="00AB5728">
            <w:pPr>
              <w:pStyle w:val="a6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其他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  <w:p w14:paraId="7725ABBB" w14:textId="77777777" w:rsidR="00332C51" w:rsidRDefault="00AB5728">
            <w:pPr>
              <w:pStyle w:val="a6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2024年中国境内工业用离心式鼓风机市场：</w:t>
            </w:r>
          </w:p>
          <w:p w14:paraId="7725ABBC" w14:textId="77777777" w:rsidR="00332C51" w:rsidRDefault="00AB5728">
            <w:pPr>
              <w:pStyle w:val="a6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金通灵：10-15%</w:t>
            </w:r>
          </w:p>
          <w:p w14:paraId="7725ABBD" w14:textId="77777777" w:rsidR="00332C51" w:rsidRDefault="00AB5728">
            <w:pPr>
              <w:pStyle w:val="a6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2024年中国境内工业用离心式压缩机市场：</w:t>
            </w:r>
          </w:p>
          <w:p w14:paraId="7725ABBE" w14:textId="77777777" w:rsidR="00332C51" w:rsidRDefault="00AB5728">
            <w:pPr>
              <w:pStyle w:val="a6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金通灵：10-15%</w:t>
            </w:r>
          </w:p>
          <w:p w14:paraId="7725ABBF" w14:textId="77777777" w:rsidR="00332C51" w:rsidRDefault="00AB5728">
            <w:pPr>
              <w:pStyle w:val="a6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2024年中国境内工业用离心式通风机市场：</w:t>
            </w:r>
          </w:p>
          <w:p w14:paraId="7725ABC0" w14:textId="77777777" w:rsidR="00332C51" w:rsidRDefault="00AB5728">
            <w:pPr>
              <w:pStyle w:val="a6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金通灵：0-5%</w:t>
            </w:r>
          </w:p>
          <w:p w14:paraId="7725ABC1" w14:textId="77777777" w:rsidR="00332C51" w:rsidRDefault="00AB5728">
            <w:pPr>
              <w:pStyle w:val="a6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2024年中国境内工业用锅炉市场：</w:t>
            </w:r>
          </w:p>
          <w:p w14:paraId="7725ABC2" w14:textId="77777777" w:rsidR="00332C51" w:rsidRDefault="00AB5728">
            <w:pPr>
              <w:pStyle w:val="a6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金通灵：0-5%</w:t>
            </w:r>
          </w:p>
        </w:tc>
      </w:tr>
    </w:tbl>
    <w:p w14:paraId="7725ABC4" w14:textId="77777777" w:rsidR="00332C51" w:rsidRDefault="00332C51">
      <w:pPr>
        <w:rPr>
          <w:rFonts w:ascii="宋体" w:hAnsi="宋体"/>
        </w:rPr>
      </w:pPr>
    </w:p>
    <w:sectPr w:rsidR="00332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D3766" w14:textId="77777777" w:rsidR="00CA61B4" w:rsidRDefault="00CA61B4"/>
  </w:endnote>
  <w:endnote w:type="continuationSeparator" w:id="0">
    <w:p w14:paraId="09508CD4" w14:textId="77777777" w:rsidR="00CA61B4" w:rsidRDefault="00CA61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46AD6" w14:textId="77777777" w:rsidR="00CA61B4" w:rsidRDefault="00CA61B4"/>
  </w:footnote>
  <w:footnote w:type="continuationSeparator" w:id="0">
    <w:p w14:paraId="679C4BD8" w14:textId="77777777" w:rsidR="00CA61B4" w:rsidRDefault="00CA61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0DF"/>
    <w:rsid w:val="000020AC"/>
    <w:rsid w:val="000040CA"/>
    <w:rsid w:val="000157C4"/>
    <w:rsid w:val="00036385"/>
    <w:rsid w:val="00037065"/>
    <w:rsid w:val="000455AB"/>
    <w:rsid w:val="0005476E"/>
    <w:rsid w:val="00067DF1"/>
    <w:rsid w:val="000820CD"/>
    <w:rsid w:val="00083FA8"/>
    <w:rsid w:val="000B22C7"/>
    <w:rsid w:val="000B66B5"/>
    <w:rsid w:val="000C6D39"/>
    <w:rsid w:val="000D5C4B"/>
    <w:rsid w:val="000D7EBA"/>
    <w:rsid w:val="000F2F09"/>
    <w:rsid w:val="000F784A"/>
    <w:rsid w:val="00103150"/>
    <w:rsid w:val="00107AF4"/>
    <w:rsid w:val="001164CD"/>
    <w:rsid w:val="00134435"/>
    <w:rsid w:val="00155717"/>
    <w:rsid w:val="00156B85"/>
    <w:rsid w:val="001837A3"/>
    <w:rsid w:val="0019005E"/>
    <w:rsid w:val="001A622B"/>
    <w:rsid w:val="001D7132"/>
    <w:rsid w:val="001E2DC9"/>
    <w:rsid w:val="00202A61"/>
    <w:rsid w:val="002114BC"/>
    <w:rsid w:val="00223C91"/>
    <w:rsid w:val="002252FC"/>
    <w:rsid w:val="00240046"/>
    <w:rsid w:val="00242AA2"/>
    <w:rsid w:val="00251D88"/>
    <w:rsid w:val="00265A4A"/>
    <w:rsid w:val="002A0EF3"/>
    <w:rsid w:val="002B2D73"/>
    <w:rsid w:val="002D33F4"/>
    <w:rsid w:val="002E3FBF"/>
    <w:rsid w:val="002E6829"/>
    <w:rsid w:val="002E7468"/>
    <w:rsid w:val="003267B2"/>
    <w:rsid w:val="0032797C"/>
    <w:rsid w:val="00332C51"/>
    <w:rsid w:val="003529D3"/>
    <w:rsid w:val="00360E52"/>
    <w:rsid w:val="003737C3"/>
    <w:rsid w:val="00373D0B"/>
    <w:rsid w:val="00392077"/>
    <w:rsid w:val="003C0AEB"/>
    <w:rsid w:val="003C56C4"/>
    <w:rsid w:val="0040419D"/>
    <w:rsid w:val="00417D35"/>
    <w:rsid w:val="00425C3D"/>
    <w:rsid w:val="00443AC7"/>
    <w:rsid w:val="004606CF"/>
    <w:rsid w:val="00482BB9"/>
    <w:rsid w:val="0048612F"/>
    <w:rsid w:val="00490EDE"/>
    <w:rsid w:val="004C400B"/>
    <w:rsid w:val="004C64B0"/>
    <w:rsid w:val="004F0447"/>
    <w:rsid w:val="004F0CFC"/>
    <w:rsid w:val="004F3F3D"/>
    <w:rsid w:val="004F7688"/>
    <w:rsid w:val="00503046"/>
    <w:rsid w:val="005039CD"/>
    <w:rsid w:val="0054706E"/>
    <w:rsid w:val="005609E3"/>
    <w:rsid w:val="00562FCF"/>
    <w:rsid w:val="00567CF2"/>
    <w:rsid w:val="00571159"/>
    <w:rsid w:val="005917AB"/>
    <w:rsid w:val="005B4E17"/>
    <w:rsid w:val="005D5F54"/>
    <w:rsid w:val="005F3AE7"/>
    <w:rsid w:val="00606AF7"/>
    <w:rsid w:val="006300B8"/>
    <w:rsid w:val="00637936"/>
    <w:rsid w:val="00640FE0"/>
    <w:rsid w:val="006414AA"/>
    <w:rsid w:val="0064437A"/>
    <w:rsid w:val="006467D8"/>
    <w:rsid w:val="00651139"/>
    <w:rsid w:val="00661D25"/>
    <w:rsid w:val="006642AF"/>
    <w:rsid w:val="00676100"/>
    <w:rsid w:val="00680863"/>
    <w:rsid w:val="0068574F"/>
    <w:rsid w:val="006904D2"/>
    <w:rsid w:val="00696D45"/>
    <w:rsid w:val="006A023B"/>
    <w:rsid w:val="006A531B"/>
    <w:rsid w:val="006A6A72"/>
    <w:rsid w:val="006B05B7"/>
    <w:rsid w:val="006B6AAC"/>
    <w:rsid w:val="006E6128"/>
    <w:rsid w:val="006F1BA6"/>
    <w:rsid w:val="006F7693"/>
    <w:rsid w:val="007000EF"/>
    <w:rsid w:val="00710140"/>
    <w:rsid w:val="00723F9E"/>
    <w:rsid w:val="00731B1F"/>
    <w:rsid w:val="00750080"/>
    <w:rsid w:val="00777982"/>
    <w:rsid w:val="007827ED"/>
    <w:rsid w:val="007B4FCD"/>
    <w:rsid w:val="007B7FEA"/>
    <w:rsid w:val="007C2E3B"/>
    <w:rsid w:val="007C35CF"/>
    <w:rsid w:val="007D23AD"/>
    <w:rsid w:val="007D3DF1"/>
    <w:rsid w:val="007F2275"/>
    <w:rsid w:val="007F267C"/>
    <w:rsid w:val="007F5712"/>
    <w:rsid w:val="008527CF"/>
    <w:rsid w:val="00853C59"/>
    <w:rsid w:val="008636D6"/>
    <w:rsid w:val="00877259"/>
    <w:rsid w:val="00880C4E"/>
    <w:rsid w:val="00887511"/>
    <w:rsid w:val="008C5DCA"/>
    <w:rsid w:val="008D1ECC"/>
    <w:rsid w:val="008D3806"/>
    <w:rsid w:val="009004A6"/>
    <w:rsid w:val="00915F0F"/>
    <w:rsid w:val="00935D56"/>
    <w:rsid w:val="009532DF"/>
    <w:rsid w:val="00977D4D"/>
    <w:rsid w:val="0098634A"/>
    <w:rsid w:val="00993CAD"/>
    <w:rsid w:val="0099638D"/>
    <w:rsid w:val="00997019"/>
    <w:rsid w:val="009A5029"/>
    <w:rsid w:val="009B252B"/>
    <w:rsid w:val="009B3D2A"/>
    <w:rsid w:val="009B6FA4"/>
    <w:rsid w:val="009C03FF"/>
    <w:rsid w:val="009C5997"/>
    <w:rsid w:val="009D0C0E"/>
    <w:rsid w:val="009D38D5"/>
    <w:rsid w:val="009D6816"/>
    <w:rsid w:val="009E24BF"/>
    <w:rsid w:val="00A041CF"/>
    <w:rsid w:val="00A06C51"/>
    <w:rsid w:val="00A30357"/>
    <w:rsid w:val="00A36457"/>
    <w:rsid w:val="00A53F26"/>
    <w:rsid w:val="00A731AD"/>
    <w:rsid w:val="00A84DC3"/>
    <w:rsid w:val="00A869EE"/>
    <w:rsid w:val="00A87769"/>
    <w:rsid w:val="00A96CDE"/>
    <w:rsid w:val="00AA0CC5"/>
    <w:rsid w:val="00AB5728"/>
    <w:rsid w:val="00AD2F99"/>
    <w:rsid w:val="00AE3403"/>
    <w:rsid w:val="00AE4060"/>
    <w:rsid w:val="00AE5F9F"/>
    <w:rsid w:val="00AF166F"/>
    <w:rsid w:val="00B16AFE"/>
    <w:rsid w:val="00B205E9"/>
    <w:rsid w:val="00B30AA7"/>
    <w:rsid w:val="00B37CFA"/>
    <w:rsid w:val="00B65DD5"/>
    <w:rsid w:val="00BA16BC"/>
    <w:rsid w:val="00BA18F6"/>
    <w:rsid w:val="00BB1ACB"/>
    <w:rsid w:val="00BB38C4"/>
    <w:rsid w:val="00BB3AF5"/>
    <w:rsid w:val="00BC062B"/>
    <w:rsid w:val="00BD10B6"/>
    <w:rsid w:val="00C06895"/>
    <w:rsid w:val="00C07076"/>
    <w:rsid w:val="00C328F3"/>
    <w:rsid w:val="00C37176"/>
    <w:rsid w:val="00C41003"/>
    <w:rsid w:val="00C430B8"/>
    <w:rsid w:val="00C44842"/>
    <w:rsid w:val="00C54664"/>
    <w:rsid w:val="00C54E91"/>
    <w:rsid w:val="00C82509"/>
    <w:rsid w:val="00C85237"/>
    <w:rsid w:val="00C90E13"/>
    <w:rsid w:val="00C918C8"/>
    <w:rsid w:val="00CA50E4"/>
    <w:rsid w:val="00CA61B4"/>
    <w:rsid w:val="00CB00DF"/>
    <w:rsid w:val="00CD6287"/>
    <w:rsid w:val="00CF3FF0"/>
    <w:rsid w:val="00CF596B"/>
    <w:rsid w:val="00D57D2A"/>
    <w:rsid w:val="00D67D08"/>
    <w:rsid w:val="00D73C72"/>
    <w:rsid w:val="00D83FE4"/>
    <w:rsid w:val="00DA35A2"/>
    <w:rsid w:val="00DB03A8"/>
    <w:rsid w:val="00DD1711"/>
    <w:rsid w:val="00DD61B8"/>
    <w:rsid w:val="00E0592B"/>
    <w:rsid w:val="00E12234"/>
    <w:rsid w:val="00E27F6E"/>
    <w:rsid w:val="00E31738"/>
    <w:rsid w:val="00E42656"/>
    <w:rsid w:val="00E47502"/>
    <w:rsid w:val="00E80A36"/>
    <w:rsid w:val="00E86786"/>
    <w:rsid w:val="00EA4F05"/>
    <w:rsid w:val="00ED2F80"/>
    <w:rsid w:val="00ED3661"/>
    <w:rsid w:val="00ED5DBA"/>
    <w:rsid w:val="00F1624E"/>
    <w:rsid w:val="00F32D68"/>
    <w:rsid w:val="00F32F8A"/>
    <w:rsid w:val="00F44682"/>
    <w:rsid w:val="00F45C62"/>
    <w:rsid w:val="00F63C49"/>
    <w:rsid w:val="00F75D88"/>
    <w:rsid w:val="00F810AA"/>
    <w:rsid w:val="00F831D8"/>
    <w:rsid w:val="00F834A7"/>
    <w:rsid w:val="00FB0D91"/>
    <w:rsid w:val="00FB1B4D"/>
    <w:rsid w:val="00FB43EC"/>
    <w:rsid w:val="00FB6B40"/>
    <w:rsid w:val="00FB75EA"/>
    <w:rsid w:val="00FE4546"/>
    <w:rsid w:val="00FE707E"/>
    <w:rsid w:val="00FF2815"/>
    <w:rsid w:val="00FF6B3B"/>
    <w:rsid w:val="32000A5F"/>
    <w:rsid w:val="64B04256"/>
    <w:rsid w:val="6B965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5AB96"/>
  <w15:docId w15:val="{4E907C53-4A38-48B2-97F0-092C81E5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next w:val="a6"/>
    <w:link w:val="a7"/>
    <w:uiPriority w:val="99"/>
    <w:unhideWhenUsed/>
    <w:qFormat/>
    <w:pPr>
      <w:spacing w:after="120"/>
    </w:pPr>
    <w:rPr>
      <w:rFonts w:ascii="Times New Roman" w:hAnsi="Times New Roman"/>
      <w:szCs w:val="24"/>
    </w:rPr>
  </w:style>
  <w:style w:type="paragraph" w:styleId="a6">
    <w:name w:val="Body Text First Indent"/>
    <w:basedOn w:val="a5"/>
    <w:link w:val="a8"/>
    <w:qFormat/>
    <w:pPr>
      <w:ind w:firstLineChars="100" w:firstLine="420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7">
    <w:name w:val="正文文本 字符"/>
    <w:basedOn w:val="a0"/>
    <w:link w:val="a5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8">
    <w:name w:val="正文文本首行缩进 字符"/>
    <w:basedOn w:val="a7"/>
    <w:link w:val="a6"/>
    <w:qFormat/>
    <w:rPr>
      <w:rFonts w:ascii="Times New Roman" w:eastAsia="宋体" w:hAnsi="Times New Roman" w:cs="Times New Roman"/>
      <w:szCs w:val="24"/>
    </w:rPr>
  </w:style>
  <w:style w:type="paragraph" w:customStyle="1" w:styleId="1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2">
    <w:name w:val="修订2"/>
    <w:hidden/>
    <w:uiPriority w:val="99"/>
    <w:unhideWhenUsed/>
    <w:rPr>
      <w:rFonts w:ascii="Calibri" w:eastAsia="宋体" w:hAnsi="Calibri" w:cs="Times New Roman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rPr>
      <w:rFonts w:ascii="Calibri" w:eastAsia="宋体" w:hAnsi="Calibri" w:cs="Times New Roman"/>
      <w:b/>
      <w:bCs/>
      <w:kern w:val="2"/>
      <w:sz w:val="21"/>
      <w:szCs w:val="22"/>
    </w:rPr>
  </w:style>
  <w:style w:type="paragraph" w:styleId="af0">
    <w:name w:val="Revision"/>
    <w:hidden/>
    <w:uiPriority w:val="99"/>
    <w:unhideWhenUsed/>
    <w:rsid w:val="00CA61B4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陈媚</dc:creator>
  <cp:lastModifiedBy>ZL</cp:lastModifiedBy>
  <cp:revision>5</cp:revision>
  <dcterms:created xsi:type="dcterms:W3CDTF">2025-12-11T06:01:00Z</dcterms:created>
  <dcterms:modified xsi:type="dcterms:W3CDTF">2025-12-11T06:16:00Z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eyJoZGlkIjoiZjEzMzJkMjk3MzUyNTdlMGMwMjEyMjljZTNjNWI3YmMiLCJ1c2VySWQiOiIyNDU4MTA0NjkifQ==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04FDFE78260E450EB709560D6F4B1745_12</vt:lpwstr>
  </property>
</Properties>
</file>