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34954" w14:textId="77777777" w:rsidR="005B66E1" w:rsidRDefault="00211371">
      <w:pPr>
        <w:jc w:val="center"/>
        <w:rPr>
          <w:rFonts w:ascii="SimHei" w:eastAsia="SimHei" w:hAnsi="SimHei" w:cs="SimHei"/>
          <w:bCs/>
          <w:sz w:val="36"/>
          <w:szCs w:val="36"/>
        </w:rPr>
      </w:pPr>
      <w:r>
        <w:rPr>
          <w:rFonts w:ascii="SimHei" w:eastAsia="SimHei" w:hAnsi="SimHei" w:cs="SimHei" w:hint="eastAsia"/>
          <w:bCs/>
          <w:sz w:val="36"/>
          <w:szCs w:val="36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917"/>
        <w:gridCol w:w="5783"/>
      </w:tblGrid>
      <w:tr w:rsidR="005B66E1" w14:paraId="447FAA8F" w14:textId="77777777">
        <w:trPr>
          <w:trHeight w:val="926"/>
        </w:trPr>
        <w:tc>
          <w:tcPr>
            <w:tcW w:w="1940" w:type="dxa"/>
            <w:shd w:val="clear" w:color="auto" w:fill="D9D9D9"/>
            <w:vAlign w:val="center"/>
          </w:tcPr>
          <w:p w14:paraId="71E0DB47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/>
              </w:rPr>
            </w:pPr>
            <w:proofErr w:type="spellStart"/>
            <w:r>
              <w:rPr>
                <w:rFonts w:cs="Times New Roman"/>
                <w:bCs/>
                <w:color w:val="000000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5A492E3C" w14:textId="77777777" w:rsidR="005B66E1" w:rsidRDefault="00211371">
            <w:pPr>
              <w:adjustRightInd w:val="0"/>
              <w:snapToGri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szCs w:val="21"/>
              </w:rPr>
              <w:t>上海医药大健康云商股份有限公司收购上药控股（广东）大药房连锁有限公司等两家公司股权案</w:t>
            </w:r>
          </w:p>
        </w:tc>
      </w:tr>
      <w:tr w:rsidR="005B66E1" w14:paraId="33B9F48E" w14:textId="77777777">
        <w:trPr>
          <w:trHeight w:val="90"/>
        </w:trPr>
        <w:tc>
          <w:tcPr>
            <w:tcW w:w="1940" w:type="dxa"/>
            <w:shd w:val="clear" w:color="auto" w:fill="D9D9D9"/>
            <w:vAlign w:val="center"/>
          </w:tcPr>
          <w:p w14:paraId="70BF05F7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交易概况（限</w:t>
            </w:r>
            <w:r>
              <w:rPr>
                <w:rFonts w:cs="Times New Roman"/>
                <w:bCs/>
                <w:color w:val="000000"/>
                <w:lang w:eastAsia="zh-CN"/>
              </w:rPr>
              <w:t>200</w:t>
            </w:r>
            <w:r>
              <w:rPr>
                <w:rFonts w:cs="Times New Roman"/>
                <w:bCs/>
                <w:color w:val="000000"/>
                <w:lang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6B54C2A6" w14:textId="77777777" w:rsidR="005B66E1" w:rsidRDefault="00211371">
            <w:pPr>
              <w:snapToGrid w:val="0"/>
              <w:spacing w:after="0"/>
              <w:jc w:val="left"/>
              <w:rPr>
                <w:lang w:val="en-US"/>
              </w:rPr>
            </w:pPr>
            <w:r>
              <w:rPr>
                <w:rFonts w:hint="eastAsia"/>
              </w:rPr>
              <w:t>上海医药集团股份有限公司（“上海医药集团”）</w:t>
            </w:r>
            <w:r>
              <w:t>旗下</w:t>
            </w:r>
            <w:r>
              <w:t>2</w:t>
            </w:r>
            <w:r>
              <w:t>家股权转让主体</w:t>
            </w:r>
            <w:r>
              <w:rPr>
                <w:rFonts w:hint="eastAsia"/>
              </w:rPr>
              <w:t>与</w:t>
            </w:r>
            <w:r>
              <w:t>上海医药大健康云商股份有限公司（</w:t>
            </w:r>
            <w:r>
              <w:t>“</w:t>
            </w:r>
            <w:r>
              <w:t>云健康</w:t>
            </w:r>
            <w:r>
              <w:t>”</w:t>
            </w:r>
            <w:r>
              <w:t>）</w:t>
            </w:r>
            <w:r>
              <w:rPr>
                <w:rFonts w:hint="eastAsia"/>
              </w:rPr>
              <w:t>签署协议，拟</w:t>
            </w:r>
            <w:r>
              <w:t>转让</w:t>
            </w:r>
            <w:r>
              <w:rPr>
                <w:rFonts w:hint="eastAsia"/>
              </w:rPr>
              <w:t>其</w:t>
            </w:r>
            <w:r>
              <w:t>持有的上药控股（广东）大药房连锁有限公司（</w:t>
            </w:r>
            <w:r>
              <w:t>“</w:t>
            </w:r>
            <w:r>
              <w:t>上药广东大药房</w:t>
            </w:r>
            <w:r>
              <w:t>”</w:t>
            </w:r>
            <w:r>
              <w:t>）、上药益药医药（上海）有限公司（</w:t>
            </w:r>
            <w:r>
              <w:t>“</w:t>
            </w:r>
            <w:r>
              <w:t>上药益药</w:t>
            </w:r>
            <w:r>
              <w:t>”</w:t>
            </w:r>
            <w:r>
              <w:t>）</w:t>
            </w:r>
            <w:r>
              <w:rPr>
                <w:lang w:val="en-US"/>
              </w:rPr>
              <w:t>2</w:t>
            </w:r>
            <w:r>
              <w:t>家目标公司的部分股权。</w:t>
            </w:r>
            <w:r>
              <w:rPr>
                <w:lang w:val="en-US"/>
              </w:rPr>
              <w:t>2</w:t>
            </w:r>
            <w:r>
              <w:rPr>
                <w:lang w:val="en-US"/>
              </w:rPr>
              <w:t>家目标公司</w:t>
            </w:r>
            <w:r>
              <w:rPr>
                <w:rFonts w:hint="eastAsia"/>
                <w:lang w:val="en-US"/>
              </w:rPr>
              <w:t>主要</w:t>
            </w:r>
            <w:r>
              <w:rPr>
                <w:lang w:val="en-US"/>
              </w:rPr>
              <w:t>在广东省广州市、上海市从事药品零售</w:t>
            </w:r>
            <w:r>
              <w:t>和</w:t>
            </w:r>
            <w:r>
              <w:rPr>
                <w:rFonts w:hint="eastAsia"/>
              </w:rPr>
              <w:t>少量</w:t>
            </w:r>
            <w:r>
              <w:rPr>
                <w:lang w:val="en-US"/>
              </w:rPr>
              <w:t>医疗器械零售业务。</w:t>
            </w:r>
          </w:p>
          <w:p w14:paraId="2DBC4621" w14:textId="77777777" w:rsidR="005B66E1" w:rsidRDefault="005B66E1">
            <w:pPr>
              <w:widowControl w:val="0"/>
              <w:adjustRightInd w:val="0"/>
              <w:snapToGrid w:val="0"/>
              <w:spacing w:after="0"/>
            </w:pPr>
          </w:p>
          <w:p w14:paraId="2ADB2227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lang w:val="en-US"/>
              </w:rPr>
            </w:pPr>
            <w:r>
              <w:t>交易前，上海医药集团</w:t>
            </w:r>
            <w:r>
              <w:rPr>
                <w:rFonts w:hint="eastAsia"/>
                <w:lang w:val="en-US"/>
              </w:rPr>
              <w:t>间接</w:t>
            </w:r>
            <w:r>
              <w:t>持有</w:t>
            </w:r>
            <w:r>
              <w:rPr>
                <w:rFonts w:hint="eastAsia"/>
                <w:lang w:val="en-US"/>
              </w:rPr>
              <w:t>上药广东大药房</w:t>
            </w:r>
            <w:r>
              <w:rPr>
                <w:lang w:val="en-US"/>
              </w:rPr>
              <w:t>的</w:t>
            </w:r>
            <w:r>
              <w:rPr>
                <w:rFonts w:hint="eastAsia"/>
                <w:lang w:val="en-US"/>
              </w:rPr>
              <w:t>48.4</w:t>
            </w:r>
            <w:r>
              <w:t>%</w:t>
            </w:r>
            <w:r>
              <w:t>股权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/>
              </w:rPr>
              <w:t>间接持有上药益药的</w:t>
            </w:r>
            <w:r>
              <w:rPr>
                <w:rFonts w:hint="eastAsia"/>
                <w:lang w:val="en-US"/>
              </w:rPr>
              <w:t>51%</w:t>
            </w:r>
            <w:r>
              <w:rPr>
                <w:rFonts w:hint="eastAsia"/>
                <w:lang w:val="en-US"/>
              </w:rPr>
              <w:t>股权，</w:t>
            </w:r>
            <w:r>
              <w:t>单独控制上述</w:t>
            </w:r>
            <w:r>
              <w:rPr>
                <w:lang w:val="en-US"/>
              </w:rPr>
              <w:t>2</w:t>
            </w:r>
            <w:r>
              <w:t>家目标公司。交易后，云健康将</w:t>
            </w:r>
            <w:r>
              <w:rPr>
                <w:lang w:val="en-US"/>
              </w:rPr>
              <w:t>分别</w:t>
            </w:r>
            <w:r>
              <w:t>持有上述</w:t>
            </w:r>
            <w:r>
              <w:rPr>
                <w:lang w:val="en-US"/>
              </w:rPr>
              <w:t>2</w:t>
            </w:r>
            <w:r>
              <w:t>家目标公司</w:t>
            </w:r>
            <w:r>
              <w:rPr>
                <w:lang w:val="en-US"/>
              </w:rPr>
              <w:t>90%</w:t>
            </w:r>
            <w:r>
              <w:t>股权，单独控制上述</w:t>
            </w:r>
            <w:r>
              <w:rPr>
                <w:lang w:val="en-US"/>
              </w:rPr>
              <w:t>2</w:t>
            </w:r>
            <w:r>
              <w:t>家目标公司。</w:t>
            </w:r>
          </w:p>
        </w:tc>
      </w:tr>
      <w:tr w:rsidR="005B66E1" w14:paraId="07C19D04" w14:textId="77777777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7FE7C2E0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参与集中的经营者简介（每个限</w:t>
            </w:r>
            <w:r>
              <w:rPr>
                <w:rFonts w:cs="Times New Roman"/>
                <w:bCs/>
                <w:color w:val="000000"/>
                <w:lang w:val="en-US" w:eastAsia="zh-CN"/>
              </w:rPr>
              <w:t>100</w:t>
            </w:r>
            <w:r>
              <w:rPr>
                <w:rFonts w:cs="Times New Roman"/>
                <w:bCs/>
                <w:color w:val="000000"/>
                <w:lang w:val="en-US" w:eastAsia="zh-CN"/>
              </w:rPr>
              <w:t>字以内</w:t>
            </w:r>
            <w:r>
              <w:rPr>
                <w:rFonts w:cs="Times New Roman"/>
                <w:bCs/>
                <w:color w:val="000000"/>
                <w:lang w:eastAsia="zh-CN"/>
              </w:rPr>
              <w:t>）</w:t>
            </w:r>
          </w:p>
        </w:tc>
        <w:tc>
          <w:tcPr>
            <w:tcW w:w="1917" w:type="dxa"/>
            <w:vAlign w:val="center"/>
          </w:tcPr>
          <w:p w14:paraId="792BFCAA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val="en-US" w:eastAsia="zh-CN"/>
              </w:rPr>
              <w:t>1.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云健康</w:t>
            </w:r>
            <w:proofErr w:type="spellEnd"/>
          </w:p>
        </w:tc>
        <w:tc>
          <w:tcPr>
            <w:tcW w:w="5783" w:type="dxa"/>
            <w:vAlign w:val="center"/>
          </w:tcPr>
          <w:p w14:paraId="2788F82D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lang w:val="en-US"/>
              </w:rPr>
            </w:pPr>
            <w:r>
              <w:t>云健康</w:t>
            </w:r>
            <w:r>
              <w:rPr>
                <w:lang w:val="en-US"/>
              </w:rPr>
              <w:t>于</w:t>
            </w:r>
            <w:r>
              <w:rPr>
                <w:lang w:val="en-US"/>
              </w:rPr>
              <w:t>2015</w:t>
            </w:r>
            <w:r>
              <w:rPr>
                <w:lang w:val="en-US"/>
              </w:rPr>
              <w:t>年</w:t>
            </w:r>
            <w:r>
              <w:rPr>
                <w:lang w:val="en-US"/>
              </w:rPr>
              <w:t>3</w:t>
            </w:r>
            <w:r>
              <w:rPr>
                <w:lang w:val="en-US"/>
              </w:rPr>
              <w:t>月</w:t>
            </w:r>
            <w:r>
              <w:rPr>
                <w:lang w:val="en-US"/>
              </w:rPr>
              <w:t>18</w:t>
            </w:r>
            <w:r>
              <w:rPr>
                <w:lang w:val="en-US"/>
              </w:rPr>
              <w:t>日在上海市成立，主要在中国境内从事药品零售业务，在上海和广东部分区域从事药品批发业务，以及为医药工业和保险公司提供部分医药服务业务。</w:t>
            </w:r>
          </w:p>
          <w:p w14:paraId="4CA597E9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lang w:val="en-US"/>
              </w:rPr>
            </w:pPr>
            <w:r>
              <w:t>云健康无最终控制人。</w:t>
            </w:r>
          </w:p>
        </w:tc>
      </w:tr>
      <w:tr w:rsidR="005B66E1" w14:paraId="49D50AE4" w14:textId="77777777">
        <w:trPr>
          <w:trHeight w:val="1693"/>
        </w:trPr>
        <w:tc>
          <w:tcPr>
            <w:tcW w:w="1940" w:type="dxa"/>
            <w:vMerge/>
            <w:shd w:val="clear" w:color="auto" w:fill="D9D9D9"/>
            <w:vAlign w:val="center"/>
          </w:tcPr>
          <w:p w14:paraId="29B14DFD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 w14:paraId="1209AAD8" w14:textId="77777777" w:rsidR="005B66E1" w:rsidRDefault="00211371">
            <w:pPr>
              <w:pStyle w:val="BodyText"/>
              <w:numPr>
                <w:ilvl w:val="0"/>
                <w:numId w:val="4"/>
              </w:numPr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proofErr w:type="spellStart"/>
            <w:r>
              <w:rPr>
                <w:rFonts w:cs="Times New Roman"/>
              </w:rPr>
              <w:t>上药广东大药房</w:t>
            </w:r>
            <w:proofErr w:type="spellEnd"/>
          </w:p>
        </w:tc>
        <w:tc>
          <w:tcPr>
            <w:tcW w:w="5783" w:type="dxa"/>
            <w:vAlign w:val="center"/>
          </w:tcPr>
          <w:p w14:paraId="17EBE255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lang w:val="en-US"/>
              </w:rPr>
            </w:pPr>
            <w:r>
              <w:t>上药广东大药房</w:t>
            </w:r>
            <w:r>
              <w:rPr>
                <w:lang w:val="en-US"/>
              </w:rPr>
              <w:t>于</w:t>
            </w:r>
            <w:r>
              <w:rPr>
                <w:lang w:val="en-US"/>
              </w:rPr>
              <w:t>20</w:t>
            </w:r>
            <w:r>
              <w:rPr>
                <w:rFonts w:hint="eastAsia"/>
                <w:lang w:val="en-US"/>
              </w:rPr>
              <w:t>01</w:t>
            </w:r>
            <w:r>
              <w:rPr>
                <w:lang w:val="en-US"/>
              </w:rPr>
              <w:t>年</w:t>
            </w:r>
            <w:r>
              <w:rPr>
                <w:rFonts w:hint="eastAsia"/>
                <w:lang w:val="en-US"/>
              </w:rPr>
              <w:t>3</w:t>
            </w:r>
            <w:r>
              <w:rPr>
                <w:lang w:val="en-US"/>
              </w:rPr>
              <w:t>月</w:t>
            </w:r>
            <w:r>
              <w:rPr>
                <w:rFonts w:hint="eastAsia"/>
                <w:lang w:val="en-US"/>
              </w:rPr>
              <w:t>7</w:t>
            </w:r>
            <w:r>
              <w:rPr>
                <w:lang w:val="en-US"/>
              </w:rPr>
              <w:t>日在广东省广州市成立，</w:t>
            </w:r>
            <w:r>
              <w:t>主要在</w:t>
            </w:r>
            <w:r>
              <w:rPr>
                <w:lang w:val="en-US"/>
              </w:rPr>
              <w:t>广东省广州市</w:t>
            </w:r>
            <w:r>
              <w:t>从事药品零售业务</w:t>
            </w:r>
            <w:r>
              <w:rPr>
                <w:rFonts w:hint="eastAsia"/>
              </w:rPr>
              <w:t>和少量</w:t>
            </w:r>
            <w:r>
              <w:rPr>
                <w:lang w:val="en-US"/>
              </w:rPr>
              <w:t>医疗器械零售业务</w:t>
            </w:r>
            <w:r>
              <w:t>。</w:t>
            </w:r>
          </w:p>
          <w:p w14:paraId="4F56A3C1" w14:textId="77777777" w:rsidR="005B66E1" w:rsidRDefault="00211371">
            <w:pPr>
              <w:widowControl w:val="0"/>
              <w:adjustRightInd w:val="0"/>
              <w:snapToGrid w:val="0"/>
              <w:spacing w:after="0"/>
            </w:pPr>
            <w:r>
              <w:t>上药广东大药房</w:t>
            </w:r>
            <w:r>
              <w:rPr>
                <w:lang w:val="en-US"/>
              </w:rPr>
              <w:t>的最终控制人为</w:t>
            </w:r>
            <w:r>
              <w:t>上海医药集团，</w:t>
            </w:r>
            <w:r>
              <w:rPr>
                <w:bCs/>
                <w:color w:val="000000"/>
                <w:lang w:val="en-US"/>
              </w:rPr>
              <w:t>主要在全球范围从事药品批发和药品零售业务，同时从事药品工业制造业务。</w:t>
            </w:r>
          </w:p>
        </w:tc>
      </w:tr>
      <w:tr w:rsidR="005B66E1" w14:paraId="1D71EF92" w14:textId="77777777">
        <w:trPr>
          <w:trHeight w:val="1693"/>
        </w:trPr>
        <w:tc>
          <w:tcPr>
            <w:tcW w:w="1940" w:type="dxa"/>
            <w:vMerge/>
            <w:shd w:val="clear" w:color="auto" w:fill="D9D9D9"/>
            <w:vAlign w:val="center"/>
          </w:tcPr>
          <w:p w14:paraId="0D0F9643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 w14:paraId="2A043C1E" w14:textId="77777777" w:rsidR="005B66E1" w:rsidRDefault="00211371">
            <w:pPr>
              <w:pStyle w:val="BodyText"/>
              <w:numPr>
                <w:ilvl w:val="0"/>
                <w:numId w:val="4"/>
              </w:numPr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lang w:eastAsia="zh-CN"/>
              </w:rPr>
              <w:t>上药益药</w:t>
            </w:r>
          </w:p>
        </w:tc>
        <w:tc>
          <w:tcPr>
            <w:tcW w:w="5783" w:type="dxa"/>
            <w:vAlign w:val="center"/>
          </w:tcPr>
          <w:p w14:paraId="7F831214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lang w:val="en-US"/>
              </w:rPr>
            </w:pPr>
            <w:r>
              <w:t>上药益药</w:t>
            </w:r>
            <w:r>
              <w:rPr>
                <w:lang w:val="en-US"/>
              </w:rPr>
              <w:t>于</w:t>
            </w:r>
            <w:r>
              <w:rPr>
                <w:lang w:val="en-US"/>
              </w:rPr>
              <w:t>2026</w:t>
            </w:r>
            <w:r>
              <w:rPr>
                <w:lang w:val="en-US"/>
              </w:rPr>
              <w:t>年</w:t>
            </w:r>
            <w:r>
              <w:rPr>
                <w:lang w:val="en-US"/>
              </w:rPr>
              <w:t>4</w:t>
            </w:r>
            <w:r>
              <w:rPr>
                <w:lang w:val="en-US"/>
              </w:rPr>
              <w:t>月</w:t>
            </w:r>
            <w:r>
              <w:rPr>
                <w:lang w:val="en-US"/>
              </w:rPr>
              <w:t>28</w:t>
            </w:r>
            <w:r>
              <w:rPr>
                <w:lang w:val="en-US"/>
              </w:rPr>
              <w:t>日在上海市成立，</w:t>
            </w:r>
            <w:r>
              <w:t>主要在</w:t>
            </w:r>
            <w:r>
              <w:rPr>
                <w:lang w:val="en-US"/>
              </w:rPr>
              <w:t>上海市</w:t>
            </w:r>
            <w:r>
              <w:t>从事药品零售业务</w:t>
            </w:r>
            <w:r>
              <w:rPr>
                <w:rFonts w:hint="eastAsia"/>
              </w:rPr>
              <w:t>和少量医疗器械零售业务</w:t>
            </w:r>
            <w:r>
              <w:t>。</w:t>
            </w:r>
          </w:p>
          <w:p w14:paraId="62597888" w14:textId="77777777" w:rsidR="005B66E1" w:rsidRDefault="00211371">
            <w:pPr>
              <w:widowControl w:val="0"/>
              <w:adjustRightInd w:val="0"/>
              <w:snapToGrid w:val="0"/>
              <w:spacing w:after="0"/>
              <w:rPr>
                <w:bCs/>
                <w:color w:val="000000"/>
                <w:lang w:val="en-US"/>
              </w:rPr>
            </w:pPr>
            <w:r>
              <w:t>上药益药</w:t>
            </w:r>
            <w:r>
              <w:rPr>
                <w:lang w:val="en-US"/>
              </w:rPr>
              <w:t>的最终控制人为</w:t>
            </w:r>
            <w:r>
              <w:t>上海医药集团，</w:t>
            </w:r>
            <w:r>
              <w:rPr>
                <w:bCs/>
                <w:color w:val="000000"/>
                <w:lang w:val="en-US"/>
              </w:rPr>
              <w:t>主要在全球范围从事药品批发和药品零售业务，同时从事药品工业制造业务。</w:t>
            </w:r>
          </w:p>
        </w:tc>
      </w:tr>
      <w:tr w:rsidR="005B66E1" w14:paraId="460B007A" w14:textId="77777777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370078AD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28224703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  <w:lang w:eastAsia="zh-CN"/>
                </w:rPr>
                <w:id w:val="263040633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  <w:lang w:eastAsia="zh-CN"/>
                  </w:rPr>
                  <w:sym w:font="Wingdings 2" w:char="F052"/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1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、在同一相关市场，所有参与集中的经营者所占市场份额之和小于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15%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5B66E1" w14:paraId="37F293C9" w14:textId="77777777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2F1E1F9D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1AF94F7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</w:rPr>
                <w:id w:val="1251311233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</w:rPr>
                  <w:sym w:font="Wingdings 2" w:char="F052"/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2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、存在上下游关系的参与集中的经营者，在上下游市场所占的市场份额均小于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5B66E1" w14:paraId="20A0CE38" w14:textId="77777777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701C4781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7F016A1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  <w:lang w:eastAsia="zh-CN"/>
                </w:rPr>
                <w:id w:val="-2083480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  <w:lang w:eastAsia="zh-CN"/>
                  </w:rPr>
                  <w:t>☐</w:t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3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、不在同一相关市场、也不存在上下游关系的参与集中的经营者，在与交易有关的每个市场所占的份额均小于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5B66E1" w14:paraId="1B07A34A" w14:textId="77777777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541408DE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FA51447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  <w:lang w:eastAsia="zh-CN"/>
                </w:rPr>
                <w:id w:val="15510343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  <w:lang w:eastAsia="zh-CN"/>
                  </w:rPr>
                  <w:t>☐</w:t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4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、参与集中的经营者在中国境外设立合营企业，合营企业不在中国境内从事经济活动。</w:t>
            </w:r>
          </w:p>
        </w:tc>
      </w:tr>
      <w:tr w:rsidR="005B66E1" w14:paraId="6565B1A4" w14:textId="77777777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0F1009E7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558A959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  <w:lang w:eastAsia="zh-CN"/>
                </w:rPr>
                <w:id w:val="-9523223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  <w:lang w:eastAsia="zh-CN"/>
                  </w:rPr>
                  <w:t>☐</w:t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5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5B66E1" w14:paraId="0484FC68" w14:textId="77777777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095CD997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4A1436BE" w14:textId="77777777" w:rsidR="005B66E1" w:rsidRDefault="00C87B26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sdt>
              <w:sdtPr>
                <w:rPr>
                  <w:rFonts w:cs="Times New Roman"/>
                  <w:lang w:eastAsia="zh-CN"/>
                </w:rPr>
                <w:id w:val="17983386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11371">
                  <w:rPr>
                    <w:rFonts w:cs="Times New Roman"/>
                    <w:lang w:eastAsia="zh-CN"/>
                  </w:rPr>
                  <w:t>☐</w:t>
                </w:r>
              </w:sdtContent>
            </w:sdt>
            <w:r w:rsidR="00211371">
              <w:rPr>
                <w:rFonts w:cs="Times New Roman"/>
                <w:lang w:eastAsia="zh-CN"/>
              </w:rPr>
              <w:t xml:space="preserve"> 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6</w:t>
            </w:r>
            <w:r w:rsidR="00211371">
              <w:rPr>
                <w:rFonts w:cs="Times New Roman"/>
                <w:bCs/>
                <w:color w:val="000000"/>
                <w:lang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5B66E1" w14:paraId="6170A0F1" w14:textId="77777777">
        <w:trPr>
          <w:trHeight w:val="7596"/>
        </w:trPr>
        <w:tc>
          <w:tcPr>
            <w:tcW w:w="1940" w:type="dxa"/>
            <w:shd w:val="clear" w:color="auto" w:fill="D9D9D9"/>
            <w:vAlign w:val="center"/>
          </w:tcPr>
          <w:p w14:paraId="7CD3CC0A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val="en-US" w:eastAsia="zh-CN"/>
              </w:rPr>
              <w:lastRenderedPageBreak/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6447868E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val="en-US" w:eastAsia="zh-CN"/>
              </w:rPr>
            </w:pPr>
            <w:r>
              <w:rPr>
                <w:rFonts w:cs="Times New Roman"/>
                <w:b/>
                <w:color w:val="000000"/>
                <w:lang w:val="en-US" w:eastAsia="zh-CN"/>
              </w:rPr>
              <w:t>横向重叠：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91"/>
              <w:gridCol w:w="2290"/>
              <w:gridCol w:w="2693"/>
            </w:tblGrid>
            <w:tr w:rsidR="005B66E1" w14:paraId="6D1B05D0" w14:textId="77777777">
              <w:tc>
                <w:tcPr>
                  <w:tcW w:w="2491" w:type="dxa"/>
                  <w:vAlign w:val="center"/>
                </w:tcPr>
                <w:p w14:paraId="2701D738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相关商品市场</w:t>
                  </w:r>
                </w:p>
              </w:tc>
              <w:tc>
                <w:tcPr>
                  <w:tcW w:w="2290" w:type="dxa"/>
                  <w:vAlign w:val="center"/>
                </w:tcPr>
                <w:p w14:paraId="0CAA4CD3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相关地域市场</w:t>
                  </w:r>
                </w:p>
              </w:tc>
              <w:tc>
                <w:tcPr>
                  <w:tcW w:w="2693" w:type="dxa"/>
                  <w:vAlign w:val="center"/>
                </w:tcPr>
                <w:p w14:paraId="7C51E715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2025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年市场份额</w:t>
                  </w:r>
                </w:p>
              </w:tc>
            </w:tr>
            <w:tr w:rsidR="005B66E1" w14:paraId="25843DB6" w14:textId="77777777">
              <w:trPr>
                <w:trHeight w:val="972"/>
              </w:trPr>
              <w:tc>
                <w:tcPr>
                  <w:tcW w:w="2491" w:type="dxa"/>
                  <w:vAlign w:val="center"/>
                </w:tcPr>
                <w:p w14:paraId="40BB0010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/>
                    </w:rPr>
                    <w:t>药品零售市场</w:t>
                  </w:r>
                </w:p>
              </w:tc>
              <w:tc>
                <w:tcPr>
                  <w:tcW w:w="2290" w:type="dxa"/>
                  <w:vAlign w:val="center"/>
                </w:tcPr>
                <w:p w14:paraId="60FE3742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hint="eastAsia"/>
                      <w:lang w:val="en-US"/>
                    </w:rPr>
                    <w:t>广东省广州市</w:t>
                  </w:r>
                </w:p>
              </w:tc>
              <w:tc>
                <w:tcPr>
                  <w:tcW w:w="2693" w:type="dxa"/>
                </w:tcPr>
                <w:p w14:paraId="139AC9D4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343D7E3E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上药广东大药房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3620DB27" w14:textId="21517D71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各方合计：</w:t>
                  </w:r>
                  <w:r w:rsidR="004C008C"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</w:tc>
            </w:tr>
            <w:tr w:rsidR="005B66E1" w14:paraId="01080849" w14:textId="77777777">
              <w:trPr>
                <w:trHeight w:val="972"/>
              </w:trPr>
              <w:tc>
                <w:tcPr>
                  <w:tcW w:w="2491" w:type="dxa"/>
                  <w:vAlign w:val="center"/>
                </w:tcPr>
                <w:p w14:paraId="5D404116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/>
                    </w:rPr>
                    <w:t>药品零售市场</w:t>
                  </w:r>
                </w:p>
              </w:tc>
              <w:tc>
                <w:tcPr>
                  <w:tcW w:w="2290" w:type="dxa"/>
                  <w:vAlign w:val="center"/>
                </w:tcPr>
                <w:p w14:paraId="050DDE42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US"/>
                    </w:rPr>
                    <w:t>上海市</w:t>
                  </w:r>
                </w:p>
              </w:tc>
              <w:tc>
                <w:tcPr>
                  <w:tcW w:w="2693" w:type="dxa"/>
                </w:tcPr>
                <w:p w14:paraId="001447B9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25102B19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上药益药：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5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-10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  <w:p w14:paraId="78521BF9" w14:textId="714EBF0A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各方合计：</w:t>
                  </w:r>
                  <w:r w:rsidR="004C008C"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5</w:t>
                  </w:r>
                  <w:r w:rsidR="004C008C"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-10</w:t>
                  </w:r>
                  <w:r w:rsidR="004C008C"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</w:tc>
            </w:tr>
            <w:tr w:rsidR="005B66E1" w14:paraId="7F8299A0" w14:textId="77777777">
              <w:trPr>
                <w:trHeight w:val="972"/>
              </w:trPr>
              <w:tc>
                <w:tcPr>
                  <w:tcW w:w="2491" w:type="dxa"/>
                  <w:vAlign w:val="center"/>
                </w:tcPr>
                <w:p w14:paraId="2C32907E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US"/>
                    </w:rPr>
                    <w:t>医疗器械</w:t>
                  </w:r>
                  <w:r>
                    <w:rPr>
                      <w:rFonts w:ascii="Times New Roman Regular" w:hAnsi="Times New Roman Regular" w:cs="Times New Roman Regular" w:hint="eastAsia"/>
                      <w:lang w:val="en-AU"/>
                    </w:rPr>
                    <w:t>零售市场</w:t>
                  </w:r>
                </w:p>
              </w:tc>
              <w:tc>
                <w:tcPr>
                  <w:tcW w:w="2290" w:type="dxa"/>
                  <w:vAlign w:val="center"/>
                </w:tcPr>
                <w:p w14:paraId="2ADDFF8D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hint="eastAsia"/>
                      <w:lang w:val="en-US"/>
                    </w:rPr>
                    <w:t>广东省广州市</w:t>
                  </w:r>
                </w:p>
              </w:tc>
              <w:tc>
                <w:tcPr>
                  <w:tcW w:w="2693" w:type="dxa"/>
                </w:tcPr>
                <w:p w14:paraId="21A19808" w14:textId="16A7B4CF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 w:rsidR="00593910"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  <w:p w14:paraId="4F5237E5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上药广东大药房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20372B3D" w14:textId="00A8C5A3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各方合计：</w:t>
                  </w:r>
                  <w:r w:rsidR="00593910"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</w:tc>
            </w:tr>
            <w:tr w:rsidR="005B66E1" w14:paraId="341F6DAA" w14:textId="77777777">
              <w:trPr>
                <w:trHeight w:val="972"/>
              </w:trPr>
              <w:tc>
                <w:tcPr>
                  <w:tcW w:w="2491" w:type="dxa"/>
                  <w:vAlign w:val="center"/>
                </w:tcPr>
                <w:p w14:paraId="504C807E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US"/>
                    </w:rPr>
                    <w:t>医疗器械</w:t>
                  </w:r>
                  <w:r>
                    <w:rPr>
                      <w:rFonts w:ascii="Times New Roman Regular" w:hAnsi="Times New Roman Regular" w:cs="Times New Roman Regular" w:hint="eastAsia"/>
                      <w:lang w:val="en-AU"/>
                    </w:rPr>
                    <w:t>零售市场</w:t>
                  </w:r>
                </w:p>
              </w:tc>
              <w:tc>
                <w:tcPr>
                  <w:tcW w:w="2290" w:type="dxa"/>
                  <w:vAlign w:val="center"/>
                </w:tcPr>
                <w:p w14:paraId="21EA34DF" w14:textId="77777777" w:rsidR="005B66E1" w:rsidRDefault="00211371">
                  <w:pPr>
                    <w:widowControl w:val="0"/>
                    <w:spacing w:line="360" w:lineRule="auto"/>
                    <w:rPr>
                      <w:bCs/>
                      <w:color w:val="000000"/>
                      <w:lang w:val="en-US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US"/>
                    </w:rPr>
                    <w:t>上海市</w:t>
                  </w:r>
                </w:p>
              </w:tc>
              <w:tc>
                <w:tcPr>
                  <w:tcW w:w="2693" w:type="dxa"/>
                </w:tcPr>
                <w:p w14:paraId="30FB1359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2B2209FC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上药益药：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5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-10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  <w:p w14:paraId="53E5DB6B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各方合计：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5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-10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%</w:t>
                  </w:r>
                </w:p>
              </w:tc>
            </w:tr>
          </w:tbl>
          <w:p w14:paraId="34BEEBC6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val="en-US" w:eastAsia="zh-CN"/>
              </w:rPr>
            </w:pPr>
          </w:p>
          <w:p w14:paraId="1B67DCAE" w14:textId="77777777" w:rsidR="005B66E1" w:rsidRDefault="0021137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val="en-US" w:eastAsia="zh-CN"/>
              </w:rPr>
            </w:pPr>
            <w:r>
              <w:rPr>
                <w:rFonts w:cs="Times New Roman"/>
                <w:b/>
                <w:color w:val="000000"/>
                <w:lang w:val="en-US" w:eastAsia="zh-CN"/>
              </w:rPr>
              <w:t>纵向关联：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91"/>
              <w:gridCol w:w="2491"/>
              <w:gridCol w:w="2492"/>
            </w:tblGrid>
            <w:tr w:rsidR="005B66E1" w14:paraId="74795A8C" w14:textId="77777777">
              <w:tc>
                <w:tcPr>
                  <w:tcW w:w="2491" w:type="dxa"/>
                  <w:vAlign w:val="center"/>
                </w:tcPr>
                <w:p w14:paraId="7A89B934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相关商品市场</w:t>
                  </w:r>
                </w:p>
              </w:tc>
              <w:tc>
                <w:tcPr>
                  <w:tcW w:w="2491" w:type="dxa"/>
                  <w:vAlign w:val="center"/>
                </w:tcPr>
                <w:p w14:paraId="1092F05C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相关地域市场</w:t>
                  </w:r>
                </w:p>
              </w:tc>
              <w:tc>
                <w:tcPr>
                  <w:tcW w:w="2492" w:type="dxa"/>
                  <w:vAlign w:val="center"/>
                </w:tcPr>
                <w:p w14:paraId="701BC59F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2025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年市场份额</w:t>
                  </w:r>
                </w:p>
              </w:tc>
            </w:tr>
            <w:tr w:rsidR="005B66E1" w14:paraId="0B425F05" w14:textId="77777777">
              <w:tc>
                <w:tcPr>
                  <w:tcW w:w="2491" w:type="dxa"/>
                  <w:vAlign w:val="center"/>
                </w:tcPr>
                <w:p w14:paraId="6E939B60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上游：药品批发市场</w:t>
                  </w:r>
                </w:p>
                <w:p w14:paraId="2FBCAF15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下游：药品零售市场</w:t>
                  </w:r>
                </w:p>
              </w:tc>
              <w:tc>
                <w:tcPr>
                  <w:tcW w:w="2491" w:type="dxa"/>
                  <w:vAlign w:val="center"/>
                </w:tcPr>
                <w:p w14:paraId="7495802F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上游：中国境内</w:t>
                  </w:r>
                </w:p>
                <w:p w14:paraId="266376D3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</w:t>
                  </w: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广东省广州市</w:t>
                  </w:r>
                </w:p>
              </w:tc>
              <w:tc>
                <w:tcPr>
                  <w:tcW w:w="2492" w:type="dxa"/>
                  <w:vAlign w:val="center"/>
                </w:tcPr>
                <w:p w14:paraId="50D237EC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上游：中国境内药品批发市场</w:t>
                  </w:r>
                </w:p>
                <w:p w14:paraId="2BB82636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0-5%</w:t>
                  </w:r>
                </w:p>
                <w:p w14:paraId="529EB86A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</w:t>
                  </w: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广东省广州市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药品零售市场</w:t>
                  </w:r>
                </w:p>
                <w:p w14:paraId="4C0E57CD" w14:textId="08F1ABED" w:rsidR="004C2512" w:rsidRDefault="004C2512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云健康：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如上所述</w:t>
                  </w:r>
                </w:p>
                <w:p w14:paraId="2E158955" w14:textId="21C635E5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上药广东大药房：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如上所述</w:t>
                  </w:r>
                </w:p>
              </w:tc>
            </w:tr>
            <w:tr w:rsidR="005B66E1" w14:paraId="70A98283" w14:textId="77777777">
              <w:trPr>
                <w:trHeight w:val="1145"/>
              </w:trPr>
              <w:tc>
                <w:tcPr>
                  <w:tcW w:w="2491" w:type="dxa"/>
                  <w:vAlign w:val="center"/>
                </w:tcPr>
                <w:p w14:paraId="0C43EDD4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上游：药品批发市场</w:t>
                  </w:r>
                </w:p>
                <w:p w14:paraId="25079B89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下游：药品零售市场</w:t>
                  </w:r>
                </w:p>
              </w:tc>
              <w:tc>
                <w:tcPr>
                  <w:tcW w:w="2491" w:type="dxa"/>
                  <w:vAlign w:val="center"/>
                </w:tcPr>
                <w:p w14:paraId="2FE68F1E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上游：中国境内</w:t>
                  </w:r>
                </w:p>
                <w:p w14:paraId="3B0D3C27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jc w:val="center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</w:t>
                  </w:r>
                  <w:r>
                    <w:rPr>
                      <w:rFonts w:ascii="Times New Roman Regular" w:hAnsi="Times New Roman Regular" w:cs="Times New Roman Regular"/>
                      <w:lang w:val="en-US" w:eastAsia="zh-CN"/>
                    </w:rPr>
                    <w:t>上海市</w:t>
                  </w:r>
                </w:p>
              </w:tc>
              <w:tc>
                <w:tcPr>
                  <w:tcW w:w="2492" w:type="dxa"/>
                  <w:vAlign w:val="center"/>
                </w:tcPr>
                <w:p w14:paraId="05C97E3C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上游：中国境内药品批发市场</w:t>
                  </w:r>
                </w:p>
                <w:p w14:paraId="1DFC8403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云健康：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如上所述</w:t>
                  </w:r>
                </w:p>
                <w:p w14:paraId="7B61341D" w14:textId="77777777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下游：</w:t>
                  </w:r>
                  <w:r>
                    <w:rPr>
                      <w:rFonts w:ascii="Times New Roman Regular" w:hAnsi="Times New Roman Regular" w:cs="Times New Roman Regular"/>
                      <w:lang w:val="en-US" w:eastAsia="zh-CN"/>
                    </w:rPr>
                    <w:t>上海市</w:t>
                  </w: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药品零售市场</w:t>
                  </w:r>
                </w:p>
                <w:p w14:paraId="299B5967" w14:textId="1E18D599" w:rsidR="004C2512" w:rsidRPr="004C2512" w:rsidRDefault="004C2512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</w:pPr>
                  <w:r>
                    <w:rPr>
                      <w:rFonts w:ascii="Times New Roman Regular" w:hAnsi="Times New Roman Regular" w:cs="Times New Roman Regular" w:hint="eastAsia"/>
                      <w:lang w:val="en-AU" w:eastAsia="zh-CN"/>
                    </w:rPr>
                    <w:t>云健康：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如上所述</w:t>
                  </w:r>
                </w:p>
                <w:p w14:paraId="5B19323F" w14:textId="3A5D553A" w:rsidR="005B66E1" w:rsidRDefault="00211371">
                  <w:pPr>
                    <w:pStyle w:val="BodyText"/>
                    <w:adjustRightInd w:val="0"/>
                    <w:snapToGrid w:val="0"/>
                    <w:spacing w:after="0"/>
                    <w:rPr>
                      <w:rFonts w:cs="Times New Roman"/>
                      <w:bCs/>
                      <w:color w:val="000000"/>
                      <w:lang w:val="en-US" w:eastAsia="zh-CN"/>
                    </w:rPr>
                  </w:pPr>
                  <w:r>
                    <w:rPr>
                      <w:rFonts w:cs="Times New Roman"/>
                      <w:bCs/>
                      <w:color w:val="000000"/>
                      <w:lang w:val="en-US" w:eastAsia="zh-CN"/>
                    </w:rPr>
                    <w:t>上药益药：</w:t>
                  </w:r>
                  <w:r>
                    <w:rPr>
                      <w:rFonts w:cs="Times New Roman" w:hint="eastAsia"/>
                      <w:bCs/>
                      <w:color w:val="000000"/>
                      <w:lang w:val="en-US" w:eastAsia="zh-CN"/>
                    </w:rPr>
                    <w:t>如上所述</w:t>
                  </w:r>
                </w:p>
              </w:tc>
            </w:tr>
          </w:tbl>
          <w:p w14:paraId="3200BD73" w14:textId="77777777" w:rsidR="005B66E1" w:rsidRDefault="005B66E1">
            <w:pPr>
              <w:pStyle w:val="BodyText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</w:tr>
    </w:tbl>
    <w:p w14:paraId="38DB3849" w14:textId="77777777" w:rsidR="005B66E1" w:rsidRDefault="005B66E1">
      <w:pPr>
        <w:pStyle w:val="BodyText"/>
        <w:adjustRightInd w:val="0"/>
        <w:snapToGrid w:val="0"/>
        <w:spacing w:after="0"/>
        <w:rPr>
          <w:rFonts w:ascii="Arial" w:eastAsia="KaiTi_GB2312" w:hAnsi="Arial" w:cs="Arial"/>
          <w:b/>
          <w:color w:val="000000"/>
          <w:sz w:val="22"/>
          <w:szCs w:val="22"/>
          <w:lang w:eastAsia="zh-CN"/>
        </w:rPr>
      </w:pPr>
    </w:p>
    <w:sectPr w:rsidR="005B66E1">
      <w:footerReference w:type="default" r:id="rId11"/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FCAF" w14:textId="77777777" w:rsidR="00C87B26" w:rsidRDefault="00C87B26">
      <w:pPr>
        <w:spacing w:after="0"/>
      </w:pPr>
      <w:r>
        <w:separator/>
      </w:r>
    </w:p>
  </w:endnote>
  <w:endnote w:type="continuationSeparator" w:id="0">
    <w:p w14:paraId="423458F3" w14:textId="77777777" w:rsidR="00C87B26" w:rsidRDefault="00C87B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angSong_GB2312">
    <w:altName w:val="FangSong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_GB2312">
    <w:altName w:val="KaiTi"/>
    <w:panose1 w:val="020B0604020202020204"/>
    <w:charset w:val="86"/>
    <w:family w:val="modern"/>
    <w:pitch w:val="default"/>
    <w:sig w:usb0="00000000" w:usb1="00000000" w:usb2="00000010" w:usb3="00000000" w:csb0="0004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007"/>
      <w:gridCol w:w="3011"/>
      <w:gridCol w:w="3008"/>
    </w:tblGrid>
    <w:tr w:rsidR="005B66E1" w14:paraId="06027FDF" w14:textId="77777777">
      <w:tc>
        <w:tcPr>
          <w:tcW w:w="3080" w:type="dxa"/>
        </w:tcPr>
        <w:p w14:paraId="5533C535" w14:textId="77777777" w:rsidR="005B66E1" w:rsidRDefault="005B66E1">
          <w:pPr>
            <w:pStyle w:val="Footer"/>
          </w:pPr>
        </w:p>
      </w:tc>
      <w:tc>
        <w:tcPr>
          <w:tcW w:w="3081" w:type="dxa"/>
        </w:tcPr>
        <w:p w14:paraId="3E21708C" w14:textId="77777777" w:rsidR="005B66E1" w:rsidRDefault="00211371">
          <w:pPr>
            <w:pStyle w:val="Footer"/>
            <w:jc w:val="center"/>
            <w:rPr>
              <w:rStyle w:val="PageNumber"/>
              <w:rFonts w:cs="Times New Roman"/>
            </w:rPr>
          </w:pPr>
          <w:r>
            <w:rPr>
              <w:rStyle w:val="PageNumber"/>
              <w:rFonts w:cs="Times New Roman"/>
            </w:rPr>
            <w:t xml:space="preserve">- </w:t>
          </w:r>
          <w:r>
            <w:rPr>
              <w:rStyle w:val="PageNumber"/>
              <w:rFonts w:cs="Times New Roman"/>
            </w:rPr>
            <w:fldChar w:fldCharType="begin"/>
          </w:r>
          <w:r>
            <w:rPr>
              <w:rStyle w:val="PageNumber"/>
              <w:rFonts w:cs="Times New Roman"/>
            </w:rPr>
            <w:instrText xml:space="preserve"> PAGE   \* MERGEFORMAT </w:instrText>
          </w:r>
          <w:r>
            <w:rPr>
              <w:rStyle w:val="PageNumber"/>
              <w:rFonts w:cs="Times New Roman"/>
            </w:rPr>
            <w:fldChar w:fldCharType="separate"/>
          </w:r>
          <w:r>
            <w:rPr>
              <w:rStyle w:val="PageNumber"/>
              <w:rFonts w:cs="Times New Roman"/>
              <w:lang w:val="en-US"/>
            </w:rPr>
            <w:t>2</w:t>
          </w:r>
          <w:r>
            <w:rPr>
              <w:rStyle w:val="PageNumber"/>
              <w:rFonts w:cs="Times New Roman"/>
            </w:rPr>
            <w:fldChar w:fldCharType="end"/>
          </w:r>
          <w:r>
            <w:rPr>
              <w:rStyle w:val="PageNumber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23E79316" w14:textId="77777777" w:rsidR="005B66E1" w:rsidRDefault="005B66E1">
          <w:pPr>
            <w:pStyle w:val="FooterRight"/>
          </w:pPr>
        </w:p>
      </w:tc>
    </w:tr>
  </w:tbl>
  <w:p w14:paraId="28F04F6D" w14:textId="77777777" w:rsidR="005B66E1" w:rsidRDefault="005B66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3D630" w14:textId="77777777" w:rsidR="00C87B26" w:rsidRDefault="00C87B26">
      <w:pPr>
        <w:spacing w:after="0"/>
      </w:pPr>
      <w:r>
        <w:separator/>
      </w:r>
    </w:p>
  </w:footnote>
  <w:footnote w:type="continuationSeparator" w:id="0">
    <w:p w14:paraId="61F19242" w14:textId="77777777" w:rsidR="00C87B26" w:rsidRDefault="00C87B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A02ABD"/>
    <w:multiLevelType w:val="singleLevel"/>
    <w:tmpl w:val="A2A02ABD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5195CAD"/>
    <w:multiLevelType w:val="multilevel"/>
    <w:tmpl w:val="25195CAD"/>
    <w:lvl w:ilvl="0">
      <w:start w:val="1"/>
      <w:numFmt w:val="bullet"/>
      <w:pStyle w:val="BulletL1"/>
      <w:lvlText w:val="·"/>
      <w:lvlJc w:val="left"/>
      <w:pPr>
        <w:tabs>
          <w:tab w:val="left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left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left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left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left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left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left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left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left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" w15:restartNumberingAfterBreak="0">
    <w:nsid w:val="4F0244F7"/>
    <w:multiLevelType w:val="multilevel"/>
    <w:tmpl w:val="4F0244F7"/>
    <w:lvl w:ilvl="0">
      <w:start w:val="1"/>
      <w:numFmt w:val="decimal"/>
      <w:pStyle w:val="NormalLeft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B4F0377"/>
    <w:multiLevelType w:val="multilevel"/>
    <w:tmpl w:val="6B4F0377"/>
    <w:lvl w:ilvl="0">
      <w:start w:val="1"/>
      <w:numFmt w:val="decimal"/>
      <w:pStyle w:val="StandardL1"/>
      <w:isLgl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left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left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left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rawingGridHorizontalSpacing w:val="12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C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  <w:rsid w:val="000024FF"/>
    <w:rsid w:val="000027BD"/>
    <w:rsid w:val="00007724"/>
    <w:rsid w:val="0001326C"/>
    <w:rsid w:val="000150B7"/>
    <w:rsid w:val="00021AB2"/>
    <w:rsid w:val="00026D08"/>
    <w:rsid w:val="00027D56"/>
    <w:rsid w:val="000326C8"/>
    <w:rsid w:val="00034466"/>
    <w:rsid w:val="00041C40"/>
    <w:rsid w:val="0004292A"/>
    <w:rsid w:val="000467AA"/>
    <w:rsid w:val="00062616"/>
    <w:rsid w:val="0007104A"/>
    <w:rsid w:val="00073E6B"/>
    <w:rsid w:val="0007723F"/>
    <w:rsid w:val="00077D60"/>
    <w:rsid w:val="00083590"/>
    <w:rsid w:val="00092F4E"/>
    <w:rsid w:val="000A4053"/>
    <w:rsid w:val="000A5242"/>
    <w:rsid w:val="000B0F4E"/>
    <w:rsid w:val="000B4BD7"/>
    <w:rsid w:val="000B58E5"/>
    <w:rsid w:val="000B653C"/>
    <w:rsid w:val="000C240E"/>
    <w:rsid w:val="000C6953"/>
    <w:rsid w:val="000C7DA1"/>
    <w:rsid w:val="000D6D84"/>
    <w:rsid w:val="000E29A9"/>
    <w:rsid w:val="000E3A81"/>
    <w:rsid w:val="000E7332"/>
    <w:rsid w:val="000F441B"/>
    <w:rsid w:val="001010CC"/>
    <w:rsid w:val="00107E19"/>
    <w:rsid w:val="001140BA"/>
    <w:rsid w:val="0011433B"/>
    <w:rsid w:val="00115F62"/>
    <w:rsid w:val="00123E26"/>
    <w:rsid w:val="00130748"/>
    <w:rsid w:val="00132C1E"/>
    <w:rsid w:val="00142646"/>
    <w:rsid w:val="00142EC4"/>
    <w:rsid w:val="00145B05"/>
    <w:rsid w:val="00146C06"/>
    <w:rsid w:val="00146C56"/>
    <w:rsid w:val="00151BF4"/>
    <w:rsid w:val="00157F5F"/>
    <w:rsid w:val="001639D8"/>
    <w:rsid w:val="00185B15"/>
    <w:rsid w:val="00186A05"/>
    <w:rsid w:val="001965E2"/>
    <w:rsid w:val="001A2F31"/>
    <w:rsid w:val="001B3A79"/>
    <w:rsid w:val="001B4EA1"/>
    <w:rsid w:val="001C5840"/>
    <w:rsid w:val="001C7EB8"/>
    <w:rsid w:val="001D1555"/>
    <w:rsid w:val="001D6168"/>
    <w:rsid w:val="001D667E"/>
    <w:rsid w:val="001E0F1F"/>
    <w:rsid w:val="001F346E"/>
    <w:rsid w:val="001F35AA"/>
    <w:rsid w:val="001F367B"/>
    <w:rsid w:val="001F7FB2"/>
    <w:rsid w:val="00201B27"/>
    <w:rsid w:val="0020688D"/>
    <w:rsid w:val="00210EA3"/>
    <w:rsid w:val="00211371"/>
    <w:rsid w:val="00224A7C"/>
    <w:rsid w:val="002278D1"/>
    <w:rsid w:val="00231665"/>
    <w:rsid w:val="00233737"/>
    <w:rsid w:val="0023397F"/>
    <w:rsid w:val="0023420F"/>
    <w:rsid w:val="002403B5"/>
    <w:rsid w:val="00245281"/>
    <w:rsid w:val="00250E61"/>
    <w:rsid w:val="00261F94"/>
    <w:rsid w:val="00263C1C"/>
    <w:rsid w:val="002669FC"/>
    <w:rsid w:val="00267941"/>
    <w:rsid w:val="00287E91"/>
    <w:rsid w:val="00291652"/>
    <w:rsid w:val="002964A1"/>
    <w:rsid w:val="002A0F48"/>
    <w:rsid w:val="002A21CF"/>
    <w:rsid w:val="002A25F2"/>
    <w:rsid w:val="002A5243"/>
    <w:rsid w:val="002A7C26"/>
    <w:rsid w:val="002B14B6"/>
    <w:rsid w:val="002C5583"/>
    <w:rsid w:val="002C7FBB"/>
    <w:rsid w:val="002D3701"/>
    <w:rsid w:val="002E080B"/>
    <w:rsid w:val="002E3342"/>
    <w:rsid w:val="002F09A7"/>
    <w:rsid w:val="002F3775"/>
    <w:rsid w:val="002F5271"/>
    <w:rsid w:val="00305A61"/>
    <w:rsid w:val="003065A2"/>
    <w:rsid w:val="00306B88"/>
    <w:rsid w:val="00310488"/>
    <w:rsid w:val="00311263"/>
    <w:rsid w:val="00315E46"/>
    <w:rsid w:val="00323BB7"/>
    <w:rsid w:val="0032575A"/>
    <w:rsid w:val="00336527"/>
    <w:rsid w:val="0034107F"/>
    <w:rsid w:val="00342000"/>
    <w:rsid w:val="00344D27"/>
    <w:rsid w:val="00345672"/>
    <w:rsid w:val="00354BED"/>
    <w:rsid w:val="0035604C"/>
    <w:rsid w:val="00356A35"/>
    <w:rsid w:val="0036781E"/>
    <w:rsid w:val="00367EB9"/>
    <w:rsid w:val="00371332"/>
    <w:rsid w:val="00372964"/>
    <w:rsid w:val="003850D4"/>
    <w:rsid w:val="00385F00"/>
    <w:rsid w:val="00386264"/>
    <w:rsid w:val="003866EF"/>
    <w:rsid w:val="00390205"/>
    <w:rsid w:val="003A41F0"/>
    <w:rsid w:val="003A4565"/>
    <w:rsid w:val="003A5F3B"/>
    <w:rsid w:val="003B27EC"/>
    <w:rsid w:val="003B2F86"/>
    <w:rsid w:val="003B4439"/>
    <w:rsid w:val="003B47A1"/>
    <w:rsid w:val="003B4C9E"/>
    <w:rsid w:val="003B7CBC"/>
    <w:rsid w:val="003C335C"/>
    <w:rsid w:val="003C3456"/>
    <w:rsid w:val="003D1E79"/>
    <w:rsid w:val="003E3B57"/>
    <w:rsid w:val="003E4895"/>
    <w:rsid w:val="003E69E8"/>
    <w:rsid w:val="003E6F15"/>
    <w:rsid w:val="003E73DB"/>
    <w:rsid w:val="00403807"/>
    <w:rsid w:val="00404261"/>
    <w:rsid w:val="0041013C"/>
    <w:rsid w:val="00410914"/>
    <w:rsid w:val="004119F5"/>
    <w:rsid w:val="00416471"/>
    <w:rsid w:val="004166B2"/>
    <w:rsid w:val="004203EF"/>
    <w:rsid w:val="004221C3"/>
    <w:rsid w:val="0042649B"/>
    <w:rsid w:val="00427E52"/>
    <w:rsid w:val="0044476B"/>
    <w:rsid w:val="00446353"/>
    <w:rsid w:val="00446D40"/>
    <w:rsid w:val="0044739B"/>
    <w:rsid w:val="00454CAD"/>
    <w:rsid w:val="004574FB"/>
    <w:rsid w:val="004601C8"/>
    <w:rsid w:val="00467A6B"/>
    <w:rsid w:val="0049707A"/>
    <w:rsid w:val="004973DB"/>
    <w:rsid w:val="0049771A"/>
    <w:rsid w:val="004A4BF1"/>
    <w:rsid w:val="004B0885"/>
    <w:rsid w:val="004B3B38"/>
    <w:rsid w:val="004B5880"/>
    <w:rsid w:val="004C008C"/>
    <w:rsid w:val="004C2512"/>
    <w:rsid w:val="004C3420"/>
    <w:rsid w:val="004D018B"/>
    <w:rsid w:val="004D124C"/>
    <w:rsid w:val="004D4435"/>
    <w:rsid w:val="004D483F"/>
    <w:rsid w:val="004E7026"/>
    <w:rsid w:val="0050063F"/>
    <w:rsid w:val="00500963"/>
    <w:rsid w:val="00512A53"/>
    <w:rsid w:val="00523905"/>
    <w:rsid w:val="005251B9"/>
    <w:rsid w:val="00525BC8"/>
    <w:rsid w:val="00525D3D"/>
    <w:rsid w:val="00527499"/>
    <w:rsid w:val="00530BB4"/>
    <w:rsid w:val="005319F9"/>
    <w:rsid w:val="00544A0B"/>
    <w:rsid w:val="00545A47"/>
    <w:rsid w:val="005476C2"/>
    <w:rsid w:val="00547A2B"/>
    <w:rsid w:val="0057200D"/>
    <w:rsid w:val="005774BE"/>
    <w:rsid w:val="00591CEC"/>
    <w:rsid w:val="00593910"/>
    <w:rsid w:val="005A0701"/>
    <w:rsid w:val="005B0CEB"/>
    <w:rsid w:val="005B18A3"/>
    <w:rsid w:val="005B492E"/>
    <w:rsid w:val="005B5E00"/>
    <w:rsid w:val="005B66E1"/>
    <w:rsid w:val="005C65A3"/>
    <w:rsid w:val="005D0A63"/>
    <w:rsid w:val="005D277C"/>
    <w:rsid w:val="005D6D17"/>
    <w:rsid w:val="005E7B2F"/>
    <w:rsid w:val="005F5280"/>
    <w:rsid w:val="005F7223"/>
    <w:rsid w:val="00600651"/>
    <w:rsid w:val="0060413B"/>
    <w:rsid w:val="00605EE6"/>
    <w:rsid w:val="0060669E"/>
    <w:rsid w:val="00612488"/>
    <w:rsid w:val="006129D3"/>
    <w:rsid w:val="00614EBB"/>
    <w:rsid w:val="0061583E"/>
    <w:rsid w:val="006173C7"/>
    <w:rsid w:val="00617BCA"/>
    <w:rsid w:val="006221A7"/>
    <w:rsid w:val="00632159"/>
    <w:rsid w:val="00634C68"/>
    <w:rsid w:val="00645B6A"/>
    <w:rsid w:val="00651176"/>
    <w:rsid w:val="00654396"/>
    <w:rsid w:val="00655225"/>
    <w:rsid w:val="00663E17"/>
    <w:rsid w:val="00664174"/>
    <w:rsid w:val="006643EA"/>
    <w:rsid w:val="00664745"/>
    <w:rsid w:val="0066567A"/>
    <w:rsid w:val="00665B93"/>
    <w:rsid w:val="00673095"/>
    <w:rsid w:val="0067348D"/>
    <w:rsid w:val="006745A9"/>
    <w:rsid w:val="00674C23"/>
    <w:rsid w:val="00682729"/>
    <w:rsid w:val="00687BB7"/>
    <w:rsid w:val="006A0E90"/>
    <w:rsid w:val="006A1622"/>
    <w:rsid w:val="006B4541"/>
    <w:rsid w:val="006C0EED"/>
    <w:rsid w:val="006C62FC"/>
    <w:rsid w:val="006D0D00"/>
    <w:rsid w:val="006D1E2B"/>
    <w:rsid w:val="006D3AAF"/>
    <w:rsid w:val="006D6A64"/>
    <w:rsid w:val="006E0D98"/>
    <w:rsid w:val="006E11E6"/>
    <w:rsid w:val="006E3180"/>
    <w:rsid w:val="006E6E26"/>
    <w:rsid w:val="006E70AA"/>
    <w:rsid w:val="006E74E1"/>
    <w:rsid w:val="006F1F2E"/>
    <w:rsid w:val="006F25BF"/>
    <w:rsid w:val="006F38A6"/>
    <w:rsid w:val="006F7A98"/>
    <w:rsid w:val="007029CB"/>
    <w:rsid w:val="00705778"/>
    <w:rsid w:val="00705A94"/>
    <w:rsid w:val="007105F0"/>
    <w:rsid w:val="00712917"/>
    <w:rsid w:val="0071373B"/>
    <w:rsid w:val="00720F7B"/>
    <w:rsid w:val="00725DBE"/>
    <w:rsid w:val="00726629"/>
    <w:rsid w:val="00726B19"/>
    <w:rsid w:val="00727BD0"/>
    <w:rsid w:val="00731ABF"/>
    <w:rsid w:val="007373F0"/>
    <w:rsid w:val="00742AFE"/>
    <w:rsid w:val="00742EDF"/>
    <w:rsid w:val="00751420"/>
    <w:rsid w:val="007674D7"/>
    <w:rsid w:val="00772298"/>
    <w:rsid w:val="00774FE1"/>
    <w:rsid w:val="00794062"/>
    <w:rsid w:val="00794118"/>
    <w:rsid w:val="00797584"/>
    <w:rsid w:val="007A2D94"/>
    <w:rsid w:val="007A6523"/>
    <w:rsid w:val="007B2296"/>
    <w:rsid w:val="007B651A"/>
    <w:rsid w:val="007B6ED8"/>
    <w:rsid w:val="007B75E4"/>
    <w:rsid w:val="007D4E77"/>
    <w:rsid w:val="007E2608"/>
    <w:rsid w:val="007F1726"/>
    <w:rsid w:val="007F6995"/>
    <w:rsid w:val="0080200E"/>
    <w:rsid w:val="00803A33"/>
    <w:rsid w:val="008051ED"/>
    <w:rsid w:val="0081046A"/>
    <w:rsid w:val="00811437"/>
    <w:rsid w:val="00811775"/>
    <w:rsid w:val="008248B2"/>
    <w:rsid w:val="00824F6D"/>
    <w:rsid w:val="00827D6D"/>
    <w:rsid w:val="008318C7"/>
    <w:rsid w:val="00834D88"/>
    <w:rsid w:val="0083548A"/>
    <w:rsid w:val="00836BBE"/>
    <w:rsid w:val="00837EF0"/>
    <w:rsid w:val="008476D3"/>
    <w:rsid w:val="00862B30"/>
    <w:rsid w:val="00863571"/>
    <w:rsid w:val="008636BA"/>
    <w:rsid w:val="00864085"/>
    <w:rsid w:val="008757CA"/>
    <w:rsid w:val="008803D0"/>
    <w:rsid w:val="00880AF9"/>
    <w:rsid w:val="00880F24"/>
    <w:rsid w:val="008836AF"/>
    <w:rsid w:val="00885C9B"/>
    <w:rsid w:val="00893879"/>
    <w:rsid w:val="008B2172"/>
    <w:rsid w:val="008B3B21"/>
    <w:rsid w:val="008C0FFB"/>
    <w:rsid w:val="008C4868"/>
    <w:rsid w:val="008C5B7A"/>
    <w:rsid w:val="008D1090"/>
    <w:rsid w:val="008D4ED8"/>
    <w:rsid w:val="008D644E"/>
    <w:rsid w:val="008D7816"/>
    <w:rsid w:val="008E09C9"/>
    <w:rsid w:val="008E5BCA"/>
    <w:rsid w:val="009022B0"/>
    <w:rsid w:val="009030E0"/>
    <w:rsid w:val="00905F4A"/>
    <w:rsid w:val="00906E63"/>
    <w:rsid w:val="0091056F"/>
    <w:rsid w:val="009145E4"/>
    <w:rsid w:val="009217B5"/>
    <w:rsid w:val="009256CD"/>
    <w:rsid w:val="00925FA8"/>
    <w:rsid w:val="00927553"/>
    <w:rsid w:val="009301D9"/>
    <w:rsid w:val="00930616"/>
    <w:rsid w:val="00933D52"/>
    <w:rsid w:val="00936A32"/>
    <w:rsid w:val="009377D5"/>
    <w:rsid w:val="00937D5C"/>
    <w:rsid w:val="0094346F"/>
    <w:rsid w:val="00946CFA"/>
    <w:rsid w:val="00953187"/>
    <w:rsid w:val="009551E9"/>
    <w:rsid w:val="0096333E"/>
    <w:rsid w:val="00965A30"/>
    <w:rsid w:val="009668EC"/>
    <w:rsid w:val="00970DD5"/>
    <w:rsid w:val="00977C3B"/>
    <w:rsid w:val="009901B5"/>
    <w:rsid w:val="009A0BCC"/>
    <w:rsid w:val="009A19EE"/>
    <w:rsid w:val="009A1A16"/>
    <w:rsid w:val="009A2EFA"/>
    <w:rsid w:val="009A4508"/>
    <w:rsid w:val="009A5059"/>
    <w:rsid w:val="009A57C5"/>
    <w:rsid w:val="009A6C73"/>
    <w:rsid w:val="009A6CD4"/>
    <w:rsid w:val="009A6E66"/>
    <w:rsid w:val="009A7783"/>
    <w:rsid w:val="009B0211"/>
    <w:rsid w:val="009B6400"/>
    <w:rsid w:val="009C16F8"/>
    <w:rsid w:val="009C1DE7"/>
    <w:rsid w:val="009C5625"/>
    <w:rsid w:val="009C5962"/>
    <w:rsid w:val="009C59DD"/>
    <w:rsid w:val="009D0999"/>
    <w:rsid w:val="009E2FF5"/>
    <w:rsid w:val="009F0698"/>
    <w:rsid w:val="009F2516"/>
    <w:rsid w:val="009F36C1"/>
    <w:rsid w:val="00A03C93"/>
    <w:rsid w:val="00A05705"/>
    <w:rsid w:val="00A1286C"/>
    <w:rsid w:val="00A16F03"/>
    <w:rsid w:val="00A21136"/>
    <w:rsid w:val="00A24E6C"/>
    <w:rsid w:val="00A3323A"/>
    <w:rsid w:val="00A3697C"/>
    <w:rsid w:val="00A44D91"/>
    <w:rsid w:val="00A46C66"/>
    <w:rsid w:val="00A46FAF"/>
    <w:rsid w:val="00A51DB2"/>
    <w:rsid w:val="00A56327"/>
    <w:rsid w:val="00A5674A"/>
    <w:rsid w:val="00A60F91"/>
    <w:rsid w:val="00A623EF"/>
    <w:rsid w:val="00A632C9"/>
    <w:rsid w:val="00A64F91"/>
    <w:rsid w:val="00A7438D"/>
    <w:rsid w:val="00A74797"/>
    <w:rsid w:val="00A74C0D"/>
    <w:rsid w:val="00A7601D"/>
    <w:rsid w:val="00A81984"/>
    <w:rsid w:val="00A850E0"/>
    <w:rsid w:val="00A871E0"/>
    <w:rsid w:val="00A915D0"/>
    <w:rsid w:val="00A932D1"/>
    <w:rsid w:val="00A93D8E"/>
    <w:rsid w:val="00AA0F23"/>
    <w:rsid w:val="00AA3E2F"/>
    <w:rsid w:val="00AA46CA"/>
    <w:rsid w:val="00AA535B"/>
    <w:rsid w:val="00AA582F"/>
    <w:rsid w:val="00AB409D"/>
    <w:rsid w:val="00AB6788"/>
    <w:rsid w:val="00AC3273"/>
    <w:rsid w:val="00AC6130"/>
    <w:rsid w:val="00AC68C4"/>
    <w:rsid w:val="00AD310D"/>
    <w:rsid w:val="00AD31F0"/>
    <w:rsid w:val="00AD3D4D"/>
    <w:rsid w:val="00AD508B"/>
    <w:rsid w:val="00AD54BD"/>
    <w:rsid w:val="00AE00A5"/>
    <w:rsid w:val="00AE06C7"/>
    <w:rsid w:val="00AE4069"/>
    <w:rsid w:val="00AE7916"/>
    <w:rsid w:val="00AF09EA"/>
    <w:rsid w:val="00AF1D6D"/>
    <w:rsid w:val="00AF5632"/>
    <w:rsid w:val="00AF668A"/>
    <w:rsid w:val="00B04913"/>
    <w:rsid w:val="00B16AE7"/>
    <w:rsid w:val="00B2169A"/>
    <w:rsid w:val="00B271A6"/>
    <w:rsid w:val="00B27564"/>
    <w:rsid w:val="00B27F45"/>
    <w:rsid w:val="00B31D4D"/>
    <w:rsid w:val="00B3616B"/>
    <w:rsid w:val="00B37633"/>
    <w:rsid w:val="00B37DB3"/>
    <w:rsid w:val="00B40390"/>
    <w:rsid w:val="00B475FA"/>
    <w:rsid w:val="00B518C9"/>
    <w:rsid w:val="00B52EAC"/>
    <w:rsid w:val="00B52F43"/>
    <w:rsid w:val="00B54969"/>
    <w:rsid w:val="00B61738"/>
    <w:rsid w:val="00B61BB8"/>
    <w:rsid w:val="00B66D4B"/>
    <w:rsid w:val="00B746A3"/>
    <w:rsid w:val="00B77D90"/>
    <w:rsid w:val="00B80B9E"/>
    <w:rsid w:val="00B835A1"/>
    <w:rsid w:val="00B838DA"/>
    <w:rsid w:val="00B86E3A"/>
    <w:rsid w:val="00BA017F"/>
    <w:rsid w:val="00BA295F"/>
    <w:rsid w:val="00BB0605"/>
    <w:rsid w:val="00BD535F"/>
    <w:rsid w:val="00BE6E64"/>
    <w:rsid w:val="00BF31B7"/>
    <w:rsid w:val="00BF4F99"/>
    <w:rsid w:val="00BF6751"/>
    <w:rsid w:val="00C02573"/>
    <w:rsid w:val="00C06D4E"/>
    <w:rsid w:val="00C10048"/>
    <w:rsid w:val="00C22DAB"/>
    <w:rsid w:val="00C24AD9"/>
    <w:rsid w:val="00C25963"/>
    <w:rsid w:val="00C30E9B"/>
    <w:rsid w:val="00C424FC"/>
    <w:rsid w:val="00C51CAD"/>
    <w:rsid w:val="00C51ECC"/>
    <w:rsid w:val="00C600D9"/>
    <w:rsid w:val="00C632C0"/>
    <w:rsid w:val="00C67ADA"/>
    <w:rsid w:val="00C810E8"/>
    <w:rsid w:val="00C847C2"/>
    <w:rsid w:val="00C87B26"/>
    <w:rsid w:val="00C93D80"/>
    <w:rsid w:val="00CA11AF"/>
    <w:rsid w:val="00CA6613"/>
    <w:rsid w:val="00CC281A"/>
    <w:rsid w:val="00CC69AD"/>
    <w:rsid w:val="00CD5F49"/>
    <w:rsid w:val="00CD77BD"/>
    <w:rsid w:val="00CF0D2C"/>
    <w:rsid w:val="00CF1664"/>
    <w:rsid w:val="00CF5A8A"/>
    <w:rsid w:val="00CF72D9"/>
    <w:rsid w:val="00D01278"/>
    <w:rsid w:val="00D03E9E"/>
    <w:rsid w:val="00D064A7"/>
    <w:rsid w:val="00D12AB1"/>
    <w:rsid w:val="00D140A6"/>
    <w:rsid w:val="00D15886"/>
    <w:rsid w:val="00D23B36"/>
    <w:rsid w:val="00D24BF2"/>
    <w:rsid w:val="00D27AEB"/>
    <w:rsid w:val="00D50CBF"/>
    <w:rsid w:val="00D53BAE"/>
    <w:rsid w:val="00D57DBA"/>
    <w:rsid w:val="00D57EBC"/>
    <w:rsid w:val="00D61919"/>
    <w:rsid w:val="00D6475C"/>
    <w:rsid w:val="00D70469"/>
    <w:rsid w:val="00D7111D"/>
    <w:rsid w:val="00D71F76"/>
    <w:rsid w:val="00D77095"/>
    <w:rsid w:val="00D77535"/>
    <w:rsid w:val="00D80573"/>
    <w:rsid w:val="00D80F88"/>
    <w:rsid w:val="00D838B7"/>
    <w:rsid w:val="00D94BB1"/>
    <w:rsid w:val="00D961C9"/>
    <w:rsid w:val="00D97B80"/>
    <w:rsid w:val="00DA1D73"/>
    <w:rsid w:val="00DB1DC1"/>
    <w:rsid w:val="00DB2761"/>
    <w:rsid w:val="00DB2E8D"/>
    <w:rsid w:val="00DB2FF6"/>
    <w:rsid w:val="00DB403F"/>
    <w:rsid w:val="00DD0E0C"/>
    <w:rsid w:val="00DD3803"/>
    <w:rsid w:val="00DD5FE2"/>
    <w:rsid w:val="00DD7765"/>
    <w:rsid w:val="00DE522D"/>
    <w:rsid w:val="00E1021B"/>
    <w:rsid w:val="00E23955"/>
    <w:rsid w:val="00E24C1D"/>
    <w:rsid w:val="00E417DF"/>
    <w:rsid w:val="00E47327"/>
    <w:rsid w:val="00E53105"/>
    <w:rsid w:val="00E5702B"/>
    <w:rsid w:val="00E6438B"/>
    <w:rsid w:val="00E7385D"/>
    <w:rsid w:val="00E7639A"/>
    <w:rsid w:val="00E766DD"/>
    <w:rsid w:val="00E80B5B"/>
    <w:rsid w:val="00E86579"/>
    <w:rsid w:val="00E87AFC"/>
    <w:rsid w:val="00E90A19"/>
    <w:rsid w:val="00E958B5"/>
    <w:rsid w:val="00E974F8"/>
    <w:rsid w:val="00EA0FF1"/>
    <w:rsid w:val="00EA7489"/>
    <w:rsid w:val="00EA79DA"/>
    <w:rsid w:val="00EC352D"/>
    <w:rsid w:val="00EC4836"/>
    <w:rsid w:val="00EC5825"/>
    <w:rsid w:val="00EC5BD8"/>
    <w:rsid w:val="00EC636E"/>
    <w:rsid w:val="00EC6CF8"/>
    <w:rsid w:val="00EC7E55"/>
    <w:rsid w:val="00ED1A0D"/>
    <w:rsid w:val="00ED1F92"/>
    <w:rsid w:val="00ED6F93"/>
    <w:rsid w:val="00EE160E"/>
    <w:rsid w:val="00EE7CB8"/>
    <w:rsid w:val="00EF16FB"/>
    <w:rsid w:val="00EF3C6D"/>
    <w:rsid w:val="00F02216"/>
    <w:rsid w:val="00F0291C"/>
    <w:rsid w:val="00F03767"/>
    <w:rsid w:val="00F101DD"/>
    <w:rsid w:val="00F107A3"/>
    <w:rsid w:val="00F14193"/>
    <w:rsid w:val="00F14D59"/>
    <w:rsid w:val="00F20CCE"/>
    <w:rsid w:val="00F26846"/>
    <w:rsid w:val="00F3614E"/>
    <w:rsid w:val="00F41C4A"/>
    <w:rsid w:val="00F457CA"/>
    <w:rsid w:val="00F52516"/>
    <w:rsid w:val="00F551CC"/>
    <w:rsid w:val="00F56870"/>
    <w:rsid w:val="00F57580"/>
    <w:rsid w:val="00F576E0"/>
    <w:rsid w:val="00F6440C"/>
    <w:rsid w:val="00F65007"/>
    <w:rsid w:val="00F70FB7"/>
    <w:rsid w:val="00F71AAB"/>
    <w:rsid w:val="00F774F6"/>
    <w:rsid w:val="00F901CF"/>
    <w:rsid w:val="00F906EF"/>
    <w:rsid w:val="00F94099"/>
    <w:rsid w:val="00FA11BE"/>
    <w:rsid w:val="00FA4631"/>
    <w:rsid w:val="00FB0B9A"/>
    <w:rsid w:val="00FB33FD"/>
    <w:rsid w:val="00FB4728"/>
    <w:rsid w:val="00FB47F9"/>
    <w:rsid w:val="00FB645E"/>
    <w:rsid w:val="00FB6FC5"/>
    <w:rsid w:val="00FC25BB"/>
    <w:rsid w:val="00FC35ED"/>
    <w:rsid w:val="00FC6EC1"/>
    <w:rsid w:val="00FD6CD9"/>
    <w:rsid w:val="00FE20D9"/>
    <w:rsid w:val="00FE38D7"/>
    <w:rsid w:val="00FF640D"/>
    <w:rsid w:val="00FF7804"/>
    <w:rsid w:val="01115B19"/>
    <w:rsid w:val="03FDA2BC"/>
    <w:rsid w:val="04904FA4"/>
    <w:rsid w:val="049B3B35"/>
    <w:rsid w:val="05BF65B9"/>
    <w:rsid w:val="08F97449"/>
    <w:rsid w:val="096D58B6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126136C"/>
    <w:rsid w:val="15383C05"/>
    <w:rsid w:val="15D2125B"/>
    <w:rsid w:val="170C73DC"/>
    <w:rsid w:val="17395E35"/>
    <w:rsid w:val="17AFEFC6"/>
    <w:rsid w:val="17EE000C"/>
    <w:rsid w:val="19DFB821"/>
    <w:rsid w:val="1AFB42F4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1E2ADA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6E7553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8E4690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8CF5396"/>
    <w:rsid w:val="3ABDA3FE"/>
    <w:rsid w:val="3AEFDBD4"/>
    <w:rsid w:val="3B7B7066"/>
    <w:rsid w:val="3BBDA242"/>
    <w:rsid w:val="3BDF9F69"/>
    <w:rsid w:val="3BEDED19"/>
    <w:rsid w:val="3BFFFE0C"/>
    <w:rsid w:val="3D6F0AEC"/>
    <w:rsid w:val="3D77C6DA"/>
    <w:rsid w:val="3D797B18"/>
    <w:rsid w:val="3DA615F6"/>
    <w:rsid w:val="3DBB4CBE"/>
    <w:rsid w:val="3DDF2299"/>
    <w:rsid w:val="3DF36AC0"/>
    <w:rsid w:val="3DFDF9AD"/>
    <w:rsid w:val="3DFE292E"/>
    <w:rsid w:val="3DFF849D"/>
    <w:rsid w:val="3E7FE082"/>
    <w:rsid w:val="3EB798F5"/>
    <w:rsid w:val="3EBEEE8A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033445D"/>
    <w:rsid w:val="42C7515C"/>
    <w:rsid w:val="42F753FC"/>
    <w:rsid w:val="43B6787E"/>
    <w:rsid w:val="449B372C"/>
    <w:rsid w:val="46CE6229"/>
    <w:rsid w:val="4773B61B"/>
    <w:rsid w:val="47F50431"/>
    <w:rsid w:val="49E03229"/>
    <w:rsid w:val="4B1B3133"/>
    <w:rsid w:val="4B7BFAEC"/>
    <w:rsid w:val="4BBFA8A3"/>
    <w:rsid w:val="4BC7DFAF"/>
    <w:rsid w:val="4BFCF763"/>
    <w:rsid w:val="4C5FB004"/>
    <w:rsid w:val="4CEF7E6C"/>
    <w:rsid w:val="4D993263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74150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1B4F52"/>
    <w:rsid w:val="563E5CD6"/>
    <w:rsid w:val="56872AE0"/>
    <w:rsid w:val="56F35C6F"/>
    <w:rsid w:val="577DBDFE"/>
    <w:rsid w:val="57BB52F0"/>
    <w:rsid w:val="57BF346C"/>
    <w:rsid w:val="57C61670"/>
    <w:rsid w:val="57D7FC0A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4D3256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AD3D62"/>
    <w:rsid w:val="5DDB5B2C"/>
    <w:rsid w:val="5DDD5EAB"/>
    <w:rsid w:val="5DDD7D50"/>
    <w:rsid w:val="5DEEAABD"/>
    <w:rsid w:val="5DFEBFA4"/>
    <w:rsid w:val="5E1350D1"/>
    <w:rsid w:val="5E3EF07D"/>
    <w:rsid w:val="5E5E2B95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0C1245D"/>
    <w:rsid w:val="60C858F1"/>
    <w:rsid w:val="60F34BF0"/>
    <w:rsid w:val="627AAA82"/>
    <w:rsid w:val="62FF31B9"/>
    <w:rsid w:val="633373BE"/>
    <w:rsid w:val="63951BF9"/>
    <w:rsid w:val="63F73954"/>
    <w:rsid w:val="63FF8F2C"/>
    <w:rsid w:val="64374E25"/>
    <w:rsid w:val="649B6672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B00DD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3A5527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41380E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A5CBD"/>
    <w:rsid w:val="7B1F2734"/>
    <w:rsid w:val="7B254011"/>
    <w:rsid w:val="7B2F7E68"/>
    <w:rsid w:val="7B5A4576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86560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8944E8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CF8B62"/>
  <w15:docId w15:val="{E4F90273-20C0-2C45-A7C3-15AA25F7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CN" w:eastAsia="zh-CN" w:bidi="ar-SA"/>
      </w:rPr>
    </w:rPrDefault>
    <w:pPrDefault/>
  </w:docDefaults>
  <w:latentStyles w:defLockedState="0" w:defUIPriority="0" w:defSemiHidden="0" w:defUnhideWhenUsed="0" w:defQFormat="1" w:count="376">
    <w:lsdException w:name="header" w:uiPriority="99"/>
    <w:lsdException w:name="line number" w:qFormat="0"/>
    <w:lsdException w:name="List Bullet" w:qFormat="0"/>
    <w:lsdException w:name="List Number" w:qFormat="0"/>
    <w:lsdException w:name="List Bullet 2" w:qFormat="0"/>
    <w:lsdException w:name="List Bullet 3" w:qFormat="0"/>
    <w:lsdException w:name="List Bullet 4" w:qFormat="0"/>
    <w:lsdException w:name="List Bullet 5" w:qFormat="0"/>
    <w:lsdException w:name="List Number 2" w:qFormat="0"/>
    <w:lsdException w:name="List Number 3" w:qFormat="0"/>
    <w:lsdException w:name="List Number 4" w:qFormat="0"/>
    <w:lsdException w:name="List Number 5" w:qFormat="0"/>
    <w:lsdException w:name="Default Paragraph Font" w:semiHidden="1" w:uiPriority="1" w:unhideWhenUsed="1"/>
    <w:lsdException w:name="Hyperlink" w:uiPriority="99"/>
    <w:lsdException w:name="HTML Top of Form" w:semiHidden="1" w:uiPriority="99" w:unhideWhenUsed="1" w:qFormat="0"/>
    <w:lsdException w:name="HTML Bottom of Form" w:semiHidden="1" w:uiPriority="99" w:unhideWhenUsed="1" w:qFormat="0"/>
    <w:lsdException w:name="HTML Acronym" w:qFormat="0"/>
    <w:lsdException w:name="HTML Cite" w:qFormat="0"/>
    <w:lsdException w:name="HTML Code" w:qFormat="0"/>
    <w:lsdException w:name="HTML Definition" w:qFormat="0"/>
    <w:lsdException w:name="HTML Keyboard" w:qFormat="0"/>
    <w:lsdException w:name="HTML Sample" w:qFormat="0"/>
    <w:lsdException w:name="HTML Typewriter" w:qFormat="0"/>
    <w:lsdException w:name="HTML Variable" w:qFormat="0"/>
    <w:lsdException w:name="Normal Table" w:semiHidden="1" w:uiPriority="99" w:unhideWhenUsed="1" w:qFormat="0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qFormat="0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uiPriority="99" w:qFormat="0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">
    <w:name w:val="Normal"/>
    <w:qFormat/>
    <w:pPr>
      <w:spacing w:after="240"/>
      <w:jc w:val="both"/>
    </w:pPr>
    <w:rPr>
      <w:sz w:val="24"/>
      <w:szCs w:val="24"/>
      <w:lang w:val="en-GB" w:bidi="ar-AE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  <w:rPr>
      <w:rFonts w:cs="Simplified Arabic"/>
    </w:rPr>
  </w:style>
  <w:style w:type="paragraph" w:styleId="Heading2">
    <w:name w:val="heading 2"/>
    <w:basedOn w:val="Normal"/>
    <w:next w:val="BodyText"/>
    <w:link w:val="Heading2Char"/>
    <w:qFormat/>
    <w:pPr>
      <w:outlineLvl w:val="1"/>
    </w:pPr>
    <w:rPr>
      <w:rFonts w:cs="Simplified Arabic"/>
    </w:rPr>
  </w:style>
  <w:style w:type="paragraph" w:styleId="Heading3">
    <w:name w:val="heading 3"/>
    <w:basedOn w:val="Heading2"/>
    <w:next w:val="BodyText"/>
    <w:link w:val="Heading3Char"/>
    <w:qFormat/>
    <w:pPr>
      <w:outlineLvl w:val="2"/>
    </w:pPr>
  </w:style>
  <w:style w:type="paragraph" w:styleId="Heading4">
    <w:name w:val="heading 4"/>
    <w:basedOn w:val="Normal"/>
    <w:next w:val="BodyText"/>
    <w:link w:val="Heading4Char"/>
    <w:qFormat/>
    <w:pPr>
      <w:outlineLvl w:val="3"/>
    </w:pPr>
    <w:rPr>
      <w:rFonts w:cs="Simplified Arabic"/>
    </w:rPr>
  </w:style>
  <w:style w:type="paragraph" w:styleId="Heading5">
    <w:name w:val="heading 5"/>
    <w:basedOn w:val="Normal"/>
    <w:next w:val="BodyText"/>
    <w:link w:val="Heading5Char"/>
    <w:qFormat/>
    <w:pPr>
      <w:outlineLvl w:val="4"/>
    </w:pPr>
    <w:rPr>
      <w:rFonts w:cs="Simplified Arabic"/>
    </w:rPr>
  </w:style>
  <w:style w:type="paragraph" w:styleId="Heading6">
    <w:name w:val="heading 6"/>
    <w:basedOn w:val="Normal"/>
    <w:next w:val="BodyText"/>
    <w:link w:val="Heading6Char"/>
    <w:qFormat/>
    <w:pPr>
      <w:outlineLvl w:val="5"/>
    </w:pPr>
    <w:rPr>
      <w:rFonts w:cs="Simplified Arabic"/>
    </w:rPr>
  </w:style>
  <w:style w:type="paragraph" w:styleId="Heading7">
    <w:name w:val="heading 7"/>
    <w:basedOn w:val="Normal"/>
    <w:next w:val="BodyText"/>
    <w:link w:val="Heading7Char"/>
    <w:qFormat/>
    <w:pPr>
      <w:outlineLvl w:val="6"/>
    </w:pPr>
    <w:rPr>
      <w:rFonts w:cs="Simplified Arabic"/>
    </w:rPr>
  </w:style>
  <w:style w:type="paragraph" w:styleId="Heading8">
    <w:name w:val="heading 8"/>
    <w:basedOn w:val="Normal"/>
    <w:next w:val="BodyText"/>
    <w:link w:val="Heading8Char"/>
    <w:qFormat/>
    <w:pPr>
      <w:outlineLvl w:val="7"/>
    </w:pPr>
    <w:rPr>
      <w:rFonts w:cs="Simplified Arabic"/>
    </w:rPr>
  </w:style>
  <w:style w:type="paragraph" w:styleId="Heading9">
    <w:name w:val="heading 9"/>
    <w:basedOn w:val="Normal"/>
    <w:next w:val="BodyText"/>
    <w:link w:val="Heading9Char"/>
    <w:qFormat/>
    <w:pPr>
      <w:outlineLvl w:val="8"/>
    </w:pPr>
    <w:rPr>
      <w:rFonts w:cs="Simplified Arab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 w:bidi="ar-AE"/>
    </w:rPr>
  </w:style>
  <w:style w:type="paragraph" w:styleId="BodyText">
    <w:name w:val="Body Text"/>
    <w:basedOn w:val="Normal"/>
    <w:link w:val="BodyTextChar"/>
    <w:qFormat/>
    <w:rPr>
      <w:rFonts w:cs="Simplified Arabic"/>
      <w:lang w:eastAsia="en-GB"/>
    </w:rPr>
  </w:style>
  <w:style w:type="paragraph" w:styleId="List3">
    <w:name w:val="List 3"/>
    <w:basedOn w:val="Normal"/>
    <w:qFormat/>
    <w:pPr>
      <w:ind w:left="1080" w:hanging="360"/>
      <w:contextualSpacing/>
    </w:pPr>
  </w:style>
  <w:style w:type="paragraph" w:styleId="TOC7">
    <w:name w:val="toc 7"/>
    <w:basedOn w:val="Normal"/>
    <w:next w:val="Normal"/>
    <w:qFormat/>
    <w:pPr>
      <w:ind w:left="1440"/>
    </w:pPr>
  </w:style>
  <w:style w:type="paragraph" w:styleId="TableofAuthorities">
    <w:name w:val="table of authorities"/>
    <w:basedOn w:val="Normal"/>
    <w:next w:val="Normal"/>
    <w:qFormat/>
    <w:pPr>
      <w:ind w:left="240" w:hanging="240"/>
    </w:pPr>
  </w:style>
  <w:style w:type="paragraph" w:styleId="NoteHeading">
    <w:name w:val="Note Heading"/>
    <w:basedOn w:val="Normal"/>
    <w:next w:val="Normal"/>
    <w:link w:val="NoteHeadingChar"/>
    <w:qFormat/>
    <w:rPr>
      <w:rFonts w:cs="Simplified Arabic"/>
    </w:rPr>
  </w:style>
  <w:style w:type="paragraph" w:styleId="Index8">
    <w:name w:val="index 8"/>
    <w:basedOn w:val="Normal"/>
    <w:next w:val="Normal"/>
    <w:qFormat/>
    <w:pPr>
      <w:ind w:left="1920" w:hanging="240"/>
    </w:pPr>
  </w:style>
  <w:style w:type="paragraph" w:styleId="E-mailSignature">
    <w:name w:val="E-mail Signature"/>
    <w:basedOn w:val="Normal"/>
    <w:link w:val="E-mailSignatureChar"/>
    <w:qFormat/>
    <w:rPr>
      <w:rFonts w:cs="Simplified Arabic"/>
    </w:rPr>
  </w:style>
  <w:style w:type="paragraph" w:styleId="NormalIndent">
    <w:name w:val="Normal Indent"/>
    <w:basedOn w:val="Normal"/>
    <w:qFormat/>
    <w:pPr>
      <w:ind w:left="72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Index5">
    <w:name w:val="index 5"/>
    <w:basedOn w:val="Normal"/>
    <w:next w:val="Normal"/>
    <w:qFormat/>
    <w:pPr>
      <w:ind w:left="1200" w:hanging="240"/>
    </w:pPr>
  </w:style>
  <w:style w:type="paragraph" w:styleId="EnvelopeAddress">
    <w:name w:val="envelope address"/>
    <w:basedOn w:val="Normal"/>
    <w:qFormat/>
    <w:pPr>
      <w:framePr w:w="7920" w:h="1980" w:hRule="exact" w:hSpace="180" w:wrap="auto" w:hAnchor="page" w:xAlign="center" w:yAlign="bottom"/>
      <w:ind w:left="2880"/>
    </w:pPr>
    <w:rPr>
      <w:rFonts w:cs="Simplified Arabic"/>
    </w:rPr>
  </w:style>
  <w:style w:type="paragraph" w:styleId="DocumentMap">
    <w:name w:val="Document Map"/>
    <w:basedOn w:val="Normal"/>
    <w:link w:val="DocumentMapChar"/>
    <w:qFormat/>
    <w:rPr>
      <w:rFonts w:ascii="Tahoma" w:hAnsi="Tahoma" w:cs="Tahoma"/>
      <w:sz w:val="16"/>
      <w:szCs w:val="16"/>
    </w:rPr>
  </w:style>
  <w:style w:type="paragraph" w:styleId="TOAHeading">
    <w:name w:val="toa heading"/>
    <w:basedOn w:val="Normal"/>
    <w:next w:val="Normal"/>
    <w:qFormat/>
    <w:pPr>
      <w:spacing w:before="120"/>
    </w:pPr>
    <w:rPr>
      <w:rFonts w:cs="Simplified Arabic"/>
      <w:b/>
      <w:bCs/>
    </w:rPr>
  </w:style>
  <w:style w:type="paragraph" w:styleId="CommentText">
    <w:name w:val="annotation text"/>
    <w:basedOn w:val="Normal"/>
    <w:link w:val="CommentTextChar"/>
    <w:qFormat/>
    <w:pPr>
      <w:spacing w:after="120"/>
    </w:pPr>
    <w:rPr>
      <w:rFonts w:cs="Simplified Arabic"/>
      <w:sz w:val="20"/>
      <w:szCs w:val="20"/>
    </w:rPr>
  </w:style>
  <w:style w:type="paragraph" w:styleId="Index6">
    <w:name w:val="index 6"/>
    <w:basedOn w:val="Normal"/>
    <w:next w:val="Normal"/>
    <w:qFormat/>
    <w:pPr>
      <w:ind w:left="1440" w:hanging="240"/>
    </w:pPr>
  </w:style>
  <w:style w:type="paragraph" w:styleId="Salutation">
    <w:name w:val="Salutation"/>
    <w:basedOn w:val="Normal"/>
    <w:next w:val="Normal"/>
    <w:link w:val="SalutationChar"/>
    <w:qFormat/>
    <w:rPr>
      <w:rFonts w:cs="Simplified Arabic"/>
    </w:rPr>
  </w:style>
  <w:style w:type="paragraph" w:styleId="BodyText3">
    <w:name w:val="Body Text 3"/>
    <w:basedOn w:val="Normal"/>
    <w:link w:val="BodyText3Char"/>
    <w:qFormat/>
    <w:pPr>
      <w:ind w:left="2160"/>
    </w:pPr>
    <w:rPr>
      <w:rFonts w:cs="Simplified Arabic"/>
      <w:lang w:eastAsia="en-GB"/>
    </w:rPr>
  </w:style>
  <w:style w:type="paragraph" w:styleId="Closing">
    <w:name w:val="Closing"/>
    <w:basedOn w:val="Normal"/>
    <w:link w:val="ClosingChar"/>
    <w:qFormat/>
    <w:pPr>
      <w:ind w:left="4320"/>
    </w:pPr>
    <w:rPr>
      <w:rFonts w:cs="Simplified Arabic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283"/>
    </w:pPr>
    <w:rPr>
      <w:rFonts w:cs="Simplified Arabic"/>
    </w:rPr>
  </w:style>
  <w:style w:type="paragraph" w:styleId="List2">
    <w:name w:val="List 2"/>
    <w:basedOn w:val="Normal"/>
    <w:qFormat/>
    <w:pPr>
      <w:ind w:left="720" w:hanging="360"/>
      <w:contextualSpacing/>
    </w:pPr>
  </w:style>
  <w:style w:type="paragraph" w:styleId="ListContinue">
    <w:name w:val="List Continue"/>
    <w:basedOn w:val="Normal"/>
    <w:qFormat/>
    <w:pPr>
      <w:spacing w:after="120"/>
      <w:ind w:left="360"/>
      <w:contextualSpacing/>
    </w:pPr>
  </w:style>
  <w:style w:type="paragraph" w:styleId="BlockText">
    <w:name w:val="Block Text"/>
    <w:basedOn w:val="Normal"/>
    <w:qFormat/>
    <w:pPr>
      <w:spacing w:after="120"/>
      <w:ind w:left="1440" w:right="1440"/>
    </w:pPr>
  </w:style>
  <w:style w:type="paragraph" w:styleId="HTMLAddress">
    <w:name w:val="HTML Address"/>
    <w:basedOn w:val="Normal"/>
    <w:link w:val="HTMLAddressChar"/>
    <w:qFormat/>
    <w:rPr>
      <w:rFonts w:cs="Simplified Arabic"/>
      <w:i/>
      <w:iCs/>
    </w:rPr>
  </w:style>
  <w:style w:type="paragraph" w:styleId="Index4">
    <w:name w:val="index 4"/>
    <w:basedOn w:val="Normal"/>
    <w:next w:val="Normal"/>
    <w:qFormat/>
    <w:pPr>
      <w:ind w:left="960" w:hanging="240"/>
    </w:pPr>
  </w:style>
  <w:style w:type="paragraph" w:styleId="TOC5">
    <w:name w:val="toc 5"/>
    <w:basedOn w:val="Normal"/>
    <w:next w:val="Normal"/>
    <w:qFormat/>
    <w:pPr>
      <w:ind w:left="960"/>
    </w:pPr>
  </w:style>
  <w:style w:type="paragraph" w:styleId="TOC3">
    <w:name w:val="toc 3"/>
    <w:basedOn w:val="Normal"/>
    <w:next w:val="Normal"/>
    <w:qFormat/>
    <w:pPr>
      <w:ind w:left="480"/>
    </w:pPr>
  </w:style>
  <w:style w:type="paragraph" w:styleId="PlainText">
    <w:name w:val="Plain Text"/>
    <w:basedOn w:val="Normal"/>
    <w:link w:val="PlainTextChar"/>
    <w:qFormat/>
    <w:rPr>
      <w:rFonts w:ascii="Courier New" w:hAnsi="Courier New" w:cs="Courier New"/>
      <w:sz w:val="20"/>
      <w:szCs w:val="20"/>
    </w:rPr>
  </w:style>
  <w:style w:type="paragraph" w:styleId="TOC8">
    <w:name w:val="toc 8"/>
    <w:basedOn w:val="Normal"/>
    <w:next w:val="Normal"/>
    <w:qFormat/>
    <w:pPr>
      <w:ind w:left="1680"/>
    </w:pPr>
  </w:style>
  <w:style w:type="paragraph" w:styleId="Index3">
    <w:name w:val="index 3"/>
    <w:basedOn w:val="Normal"/>
    <w:next w:val="Normal"/>
    <w:qFormat/>
    <w:pPr>
      <w:ind w:left="720" w:hanging="240"/>
    </w:pPr>
  </w:style>
  <w:style w:type="paragraph" w:styleId="Date">
    <w:name w:val="Date"/>
    <w:basedOn w:val="Normal"/>
    <w:next w:val="Normal"/>
    <w:link w:val="DateChar"/>
    <w:qFormat/>
    <w:rPr>
      <w:rFonts w:cs="Simplified Arabic"/>
    </w:rPr>
  </w:style>
  <w:style w:type="paragraph" w:styleId="BodyTextIndent2">
    <w:name w:val="Body Text Indent 2"/>
    <w:basedOn w:val="Normal"/>
    <w:link w:val="BodyTextIndent2Char"/>
    <w:qFormat/>
    <w:pPr>
      <w:spacing w:after="120"/>
      <w:ind w:left="360"/>
    </w:pPr>
    <w:rPr>
      <w:rFonts w:cs="Simplified Arabic"/>
    </w:rPr>
  </w:style>
  <w:style w:type="paragraph" w:styleId="EndnoteText">
    <w:name w:val="endnote text"/>
    <w:basedOn w:val="Normal"/>
    <w:next w:val="Normal"/>
    <w:link w:val="EndnoteTextChar"/>
    <w:qFormat/>
    <w:pPr>
      <w:spacing w:after="120"/>
      <w:ind w:left="340" w:hanging="340"/>
    </w:pPr>
    <w:rPr>
      <w:rFonts w:cs="Simplified Arabic"/>
      <w:sz w:val="20"/>
      <w:szCs w:val="20"/>
    </w:rPr>
  </w:style>
  <w:style w:type="paragraph" w:styleId="ListContinue5">
    <w:name w:val="List Continue 5"/>
    <w:basedOn w:val="Normal"/>
    <w:qFormat/>
    <w:pPr>
      <w:spacing w:after="120"/>
      <w:ind w:left="1800"/>
      <w:contextualSpacing/>
    </w:pPr>
  </w:style>
  <w:style w:type="paragraph" w:styleId="BalloonText">
    <w:name w:val="Balloon Text"/>
    <w:basedOn w:val="Normal"/>
    <w:link w:val="BalloonTextChar"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link w:val="FooterChar"/>
    <w:qFormat/>
    <w:rPr>
      <w:sz w:val="16"/>
      <w:szCs w:val="16"/>
      <w:lang w:val="en-GB" w:bidi="he-IL"/>
    </w:rPr>
  </w:style>
  <w:style w:type="paragraph" w:styleId="EnvelopeReturn">
    <w:name w:val="envelope return"/>
    <w:basedOn w:val="Normal"/>
    <w:qFormat/>
    <w:rPr>
      <w:rFonts w:cs="Simplified Arabic"/>
      <w:sz w:val="20"/>
      <w:szCs w:val="20"/>
    </w:rPr>
  </w:style>
  <w:style w:type="paragraph" w:styleId="Header">
    <w:name w:val="header"/>
    <w:link w:val="HeaderChar"/>
    <w:uiPriority w:val="99"/>
    <w:qFormat/>
    <w:pPr>
      <w:jc w:val="both"/>
    </w:pPr>
    <w:rPr>
      <w:sz w:val="24"/>
      <w:szCs w:val="24"/>
      <w:lang w:val="en-GB" w:bidi="he-IL"/>
    </w:rPr>
  </w:style>
  <w:style w:type="paragraph" w:styleId="Signature">
    <w:name w:val="Signature"/>
    <w:basedOn w:val="Normal"/>
    <w:link w:val="SignatureChar"/>
    <w:qFormat/>
    <w:pPr>
      <w:ind w:left="4320"/>
    </w:pPr>
    <w:rPr>
      <w:rFonts w:cs="Simplified Arabic"/>
    </w:rPr>
  </w:style>
  <w:style w:type="paragraph" w:styleId="TOC1">
    <w:name w:val="toc 1"/>
    <w:basedOn w:val="Normal"/>
    <w:next w:val="BodyText"/>
    <w:qFormat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ListContinue4">
    <w:name w:val="List Continue 4"/>
    <w:basedOn w:val="Normal"/>
    <w:qFormat/>
    <w:pPr>
      <w:spacing w:after="120"/>
      <w:ind w:left="1440"/>
      <w:contextualSpacing/>
    </w:pPr>
  </w:style>
  <w:style w:type="paragraph" w:styleId="TOC4">
    <w:name w:val="toc 4"/>
    <w:basedOn w:val="Normal"/>
    <w:next w:val="Normal"/>
    <w:qFormat/>
    <w:pPr>
      <w:ind w:left="720"/>
    </w:pPr>
  </w:style>
  <w:style w:type="paragraph" w:styleId="IndexHeading">
    <w:name w:val="index heading"/>
    <w:basedOn w:val="Normal"/>
    <w:next w:val="Normal"/>
    <w:qFormat/>
    <w:rPr>
      <w:b/>
      <w:bCs/>
    </w:rPr>
  </w:style>
  <w:style w:type="paragraph" w:styleId="Subtitle">
    <w:name w:val="Subtitle"/>
    <w:basedOn w:val="Normal"/>
    <w:next w:val="BodyText"/>
    <w:link w:val="SubtitleChar"/>
    <w:qFormat/>
    <w:pPr>
      <w:jc w:val="center"/>
    </w:pPr>
    <w:rPr>
      <w:rFonts w:cs="Simplified Arabic"/>
    </w:rPr>
  </w:style>
  <w:style w:type="paragraph" w:styleId="List">
    <w:name w:val="List"/>
    <w:basedOn w:val="Normal"/>
    <w:qFormat/>
    <w:pPr>
      <w:ind w:left="360" w:hanging="360"/>
      <w:contextualSpacing/>
    </w:pPr>
  </w:style>
  <w:style w:type="paragraph" w:styleId="FootnoteText">
    <w:name w:val="footnote text"/>
    <w:basedOn w:val="Normal"/>
    <w:next w:val="Normal"/>
    <w:link w:val="FootnoteTextChar"/>
    <w:qFormat/>
    <w:pPr>
      <w:spacing w:after="120"/>
      <w:ind w:left="340" w:hanging="340"/>
    </w:pPr>
    <w:rPr>
      <w:rFonts w:cs="Simplified Arabic"/>
      <w:sz w:val="20"/>
      <w:szCs w:val="20"/>
    </w:rPr>
  </w:style>
  <w:style w:type="paragraph" w:styleId="TOC6">
    <w:name w:val="toc 6"/>
    <w:basedOn w:val="Normal"/>
    <w:next w:val="Normal"/>
    <w:qFormat/>
    <w:pPr>
      <w:ind w:left="1200"/>
    </w:pPr>
  </w:style>
  <w:style w:type="paragraph" w:styleId="List5">
    <w:name w:val="List 5"/>
    <w:basedOn w:val="Normal"/>
    <w:qFormat/>
    <w:pPr>
      <w:ind w:left="1800" w:hanging="360"/>
      <w:contextualSpacing/>
    </w:pPr>
  </w:style>
  <w:style w:type="paragraph" w:styleId="BodyTextIndent3">
    <w:name w:val="Body Text Indent 3"/>
    <w:basedOn w:val="Normal"/>
    <w:link w:val="BodyTextIndent3Char"/>
    <w:qFormat/>
    <w:pPr>
      <w:spacing w:after="120"/>
      <w:ind w:left="360"/>
    </w:pPr>
    <w:rPr>
      <w:rFonts w:cs="Simplified Arabic"/>
      <w:sz w:val="16"/>
      <w:szCs w:val="16"/>
    </w:rPr>
  </w:style>
  <w:style w:type="paragraph" w:styleId="Index7">
    <w:name w:val="index 7"/>
    <w:basedOn w:val="Normal"/>
    <w:next w:val="Normal"/>
    <w:qFormat/>
    <w:pPr>
      <w:ind w:left="1680" w:hanging="240"/>
    </w:pPr>
  </w:style>
  <w:style w:type="paragraph" w:styleId="Index9">
    <w:name w:val="index 9"/>
    <w:basedOn w:val="Normal"/>
    <w:next w:val="Normal"/>
    <w:qFormat/>
    <w:pPr>
      <w:ind w:left="2160" w:hanging="240"/>
    </w:pPr>
  </w:style>
  <w:style w:type="paragraph" w:styleId="TableofFigures">
    <w:name w:val="table of figures"/>
    <w:basedOn w:val="Normal"/>
    <w:next w:val="Normal"/>
    <w:qFormat/>
  </w:style>
  <w:style w:type="paragraph" w:styleId="TOC2">
    <w:name w:val="toc 2"/>
    <w:basedOn w:val="Normal"/>
    <w:next w:val="BodyText"/>
    <w:qFormat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TOC9">
    <w:name w:val="toc 9"/>
    <w:basedOn w:val="Normal"/>
    <w:next w:val="Normal"/>
    <w:qFormat/>
    <w:pPr>
      <w:ind w:left="1920"/>
    </w:pPr>
  </w:style>
  <w:style w:type="paragraph" w:styleId="BodyText2">
    <w:name w:val="Body Text 2"/>
    <w:basedOn w:val="Normal"/>
    <w:link w:val="BodyText2Char"/>
    <w:qFormat/>
    <w:pPr>
      <w:ind w:left="1440"/>
    </w:pPr>
    <w:rPr>
      <w:rFonts w:cs="Simplified Arabic"/>
      <w:lang w:eastAsia="en-GB"/>
    </w:rPr>
  </w:style>
  <w:style w:type="paragraph" w:styleId="List4">
    <w:name w:val="List 4"/>
    <w:basedOn w:val="Normal"/>
    <w:qFormat/>
    <w:pPr>
      <w:ind w:left="1440" w:hanging="360"/>
      <w:contextualSpacing/>
    </w:pPr>
  </w:style>
  <w:style w:type="paragraph" w:styleId="ListContinue2">
    <w:name w:val="List Continue 2"/>
    <w:basedOn w:val="Normal"/>
    <w:qFormat/>
    <w:pPr>
      <w:spacing w:after="120"/>
      <w:ind w:left="720"/>
      <w:contextualSpacing/>
    </w:pPr>
  </w:style>
  <w:style w:type="paragraph" w:styleId="MessageHeader">
    <w:name w:val="Message Header"/>
    <w:basedOn w:val="Normal"/>
    <w:link w:val="MessageHeaderChar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Simplified Arabic"/>
    </w:rPr>
  </w:style>
  <w:style w:type="paragraph" w:styleId="HTMLPreformatted">
    <w:name w:val="HTML Preformatted"/>
    <w:basedOn w:val="Normal"/>
    <w:link w:val="HTMLPreformattedChar"/>
    <w:qFormat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qFormat/>
  </w:style>
  <w:style w:type="paragraph" w:styleId="ListContinue3">
    <w:name w:val="List Continue 3"/>
    <w:basedOn w:val="Normal"/>
    <w:qFormat/>
    <w:pPr>
      <w:spacing w:after="120"/>
      <w:ind w:left="1080"/>
      <w:contextualSpacing/>
    </w:pPr>
  </w:style>
  <w:style w:type="paragraph" w:styleId="Index1">
    <w:name w:val="index 1"/>
    <w:basedOn w:val="Normal"/>
    <w:next w:val="Normal"/>
    <w:qFormat/>
    <w:pPr>
      <w:ind w:left="240" w:hanging="240"/>
    </w:pPr>
  </w:style>
  <w:style w:type="paragraph" w:styleId="Index2">
    <w:name w:val="index 2"/>
    <w:basedOn w:val="Normal"/>
    <w:next w:val="Normal"/>
    <w:qFormat/>
    <w:pPr>
      <w:ind w:left="480" w:hanging="240"/>
    </w:pPr>
  </w:style>
  <w:style w:type="paragraph" w:styleId="Title">
    <w:name w:val="Title"/>
    <w:basedOn w:val="Normal"/>
    <w:next w:val="BodyText"/>
    <w:link w:val="TitleChar"/>
    <w:qFormat/>
    <w:pPr>
      <w:jc w:val="center"/>
    </w:pPr>
    <w:rPr>
      <w:rFonts w:cs="Simplified Arabic"/>
      <w:b/>
      <w:bCs/>
    </w:rPr>
  </w:style>
  <w:style w:type="paragraph" w:styleId="CommentSubject">
    <w:name w:val="annotation subject"/>
    <w:basedOn w:val="CommentText"/>
    <w:next w:val="CommentText"/>
    <w:link w:val="CommentSubjectChar"/>
    <w:qFormat/>
    <w:pPr>
      <w:spacing w:after="240"/>
    </w:pPr>
    <w:rPr>
      <w:b/>
      <w:bCs/>
    </w:rPr>
  </w:style>
  <w:style w:type="paragraph" w:styleId="BodyTextFirstIndent">
    <w:name w:val="Body Text First Indent"/>
    <w:basedOn w:val="BodyText"/>
    <w:link w:val="BodyTextFirstIndentChar"/>
    <w:qFormat/>
    <w:pPr>
      <w:ind w:firstLine="720"/>
    </w:pPr>
  </w:style>
  <w:style w:type="paragraph" w:styleId="BodyTextFirstIndent2">
    <w:name w:val="Body Text First Indent 2"/>
    <w:basedOn w:val="BodyTextFirstIndent"/>
    <w:link w:val="BodyTextFirstIndent2Char"/>
    <w:qFormat/>
    <w:pPr>
      <w:ind w:firstLine="1440"/>
    </w:p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Theme">
    <w:name w:val="Table Theme"/>
    <w:basedOn w:val="TableNormal"/>
    <w:qFormat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qFormat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2">
    <w:name w:val="Table Colorful 2"/>
    <w:basedOn w:val="TableNormal"/>
    <w:qFormat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qFormat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3">
    <w:name w:val="Table Classic 3"/>
    <w:basedOn w:val="TableNormal"/>
    <w:qFormat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qFormat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1">
    <w:name w:val="Table Simple 1"/>
    <w:basedOn w:val="TableNormal"/>
    <w:qFormat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qFormat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qFormat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1">
    <w:name w:val="Table 3D effects 1"/>
    <w:basedOn w:val="TableNormal"/>
    <w:qFormat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pPr>
      <w:spacing w:after="24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qFormat/>
    <w:pPr>
      <w:spacing w:after="24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qFormat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qFormat/>
    <w:pPr>
      <w:spacing w:after="24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TableContemporary">
    <w:name w:val="Table Contemporary"/>
    <w:basedOn w:val="TableNormal"/>
    <w:qFormat/>
    <w:pPr>
      <w:spacing w:after="24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Columns1">
    <w:name w:val="Table Columns 1"/>
    <w:basedOn w:val="TableNormal"/>
    <w:qFormat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pPr>
      <w:spacing w:after="24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qFormat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qFormat/>
    <w:pPr>
      <w:spacing w:after="24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qFormat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qFormat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qFormat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qFormat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qFormat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1">
    <w:name w:val="Table Web 1"/>
    <w:basedOn w:val="TableNormal"/>
    <w:qFormat/>
    <w:pPr>
      <w:spacing w:after="24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qFormat/>
    <w:pPr>
      <w:spacing w:after="24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pPr>
      <w:spacing w:after="24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qFormat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LightShading-Accent2">
    <w:name w:val="Light Shading Accent 2"/>
    <w:basedOn w:val="TableNormal"/>
    <w:qFormat/>
    <w:rPr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ghtShading-Accent3">
    <w:name w:val="Light Shading Accent 3"/>
    <w:basedOn w:val="TableNormal"/>
    <w:qFormat/>
    <w:rPr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ghtShading-Accent4">
    <w:name w:val="Light Shading Accent 4"/>
    <w:basedOn w:val="TableNormal"/>
    <w:qFormat/>
    <w:rPr>
      <w:color w:val="5F497A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ghtShading-Accent5">
    <w:name w:val="Light Shading Accent 5"/>
    <w:basedOn w:val="TableNormal"/>
    <w:qFormat/>
    <w:rPr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ghtShading-Accent6">
    <w:name w:val="Light Shading Accent 6"/>
    <w:basedOn w:val="TableNormal"/>
    <w:qFormat/>
    <w:rPr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ghtList-Accent2">
    <w:name w:val="Light List Accent 2"/>
    <w:basedOn w:val="TableNormal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LightList-Accent3">
    <w:name w:val="Light List Accent 3"/>
    <w:basedOn w:val="TableNormal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LightList-Accent4">
    <w:name w:val="Light List Accent 4"/>
    <w:basedOn w:val="TableNormal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LightList-Accent5">
    <w:name w:val="Light List Accent 5"/>
    <w:basedOn w:val="TableNormal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LightList-Accent6">
    <w:name w:val="Light List Accent 6"/>
    <w:basedOn w:val="TableNormal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LightGrid-Accent2">
    <w:name w:val="Light Grid Accent 2"/>
    <w:basedOn w:val="TableNormal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3">
    <w:name w:val="Light Grid Accent 3"/>
    <w:basedOn w:val="TableNormal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4">
    <w:name w:val="Light Grid Accent 4"/>
    <w:basedOn w:val="TableNormal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5">
    <w:name w:val="Light Grid Accent 5"/>
    <w:basedOn w:val="TableNormal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6">
    <w:name w:val="Light Grid Accent 6"/>
    <w:basedOn w:val="TableNormal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MediumShading1-Accent2">
    <w:name w:val="Medium Shading 1 Accent 2"/>
    <w:basedOn w:val="TableNormal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3">
    <w:name w:val="Medium Shading 2 Accent 3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4">
    <w:name w:val="Medium Shading 2 Accent 4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5">
    <w:name w:val="Medium Shading 2 Accent 5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6">
    <w:name w:val="Medium Shading 2 Accent 6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-Accent2">
    <w:name w:val="Medium List 1 Accent 2"/>
    <w:basedOn w:val="TableNormal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-Accent1">
    <w:name w:val="Medium List 2 Accent 1"/>
    <w:basedOn w:val="TableNormal"/>
    <w:qFormat/>
    <w:rPr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qFormat/>
    <w:rPr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qFormat/>
    <w:rPr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qFormat/>
    <w:rPr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qFormat/>
    <w:rPr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qFormat/>
    <w:rPr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1">
    <w:name w:val="Medium Grid 2 Accent 1"/>
    <w:basedOn w:val="TableNormal"/>
    <w:qFormat/>
    <w:rPr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qFormat/>
    <w:rPr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qFormat/>
    <w:rPr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qFormat/>
    <w:rPr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qFormat/>
    <w:rPr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qFormat/>
    <w:rPr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1">
    <w:name w:val="Medium Grid 3 Accent 1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DarkList-Accent1">
    <w:name w:val="Dark List Accent 1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DarkList-Accent2">
    <w:name w:val="Dark List Accent 2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DarkList-Accent3">
    <w:name w:val="Dark List Accent 3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DarkList-Accent4">
    <w:name w:val="Dark List Accent 4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DarkList-Accent5">
    <w:name w:val="Dark List Accent 5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DarkList-Accent6">
    <w:name w:val="Dark List Accent 6"/>
    <w:basedOn w:val="TableNormal"/>
    <w:qFormat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ColorfulShading-Accent1">
    <w:name w:val="Colorful Shading Accent 1"/>
    <w:basedOn w:val="TableNormal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1">
    <w:name w:val="Colorful List Accent 1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qFormat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-Accent1">
    <w:name w:val="Colorful Grid Accent 1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Strong">
    <w:name w:val="Strong"/>
    <w:qFormat/>
    <w:rPr>
      <w:b/>
      <w:bCs/>
    </w:rPr>
  </w:style>
  <w:style w:type="character" w:styleId="EndnoteReference">
    <w:name w:val="endnote reference"/>
    <w:qFormat/>
    <w:rPr>
      <w:rFonts w:ascii="Times New Roman" w:eastAsia="SimSun" w:hAnsi="Times New Roman" w:cs="Simplified Arabic"/>
      <w:sz w:val="18"/>
      <w:szCs w:val="18"/>
      <w:vertAlign w:val="superscript"/>
      <w:lang w:val="en-GB" w:bidi="ar-AE"/>
    </w:rPr>
  </w:style>
  <w:style w:type="character" w:styleId="PageNumber">
    <w:name w:val="page number"/>
    <w:qFormat/>
    <w:rPr>
      <w:rFonts w:ascii="Times New Roman" w:eastAsia="SimSun" w:hAnsi="Times New Roman" w:cs="Simplified Arabic"/>
      <w:sz w:val="24"/>
      <w:szCs w:val="24"/>
      <w:lang w:val="en-GB" w:bidi="ar-A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CommentReference">
    <w:name w:val="annotation reference"/>
    <w:qFormat/>
    <w:rPr>
      <w:rFonts w:ascii="Times New Roman" w:eastAsia="SimSun" w:hAnsi="Times New Roman" w:cs="Simplified Arabic"/>
      <w:sz w:val="18"/>
      <w:szCs w:val="18"/>
      <w:lang w:val="en-GB" w:bidi="ar-AE"/>
    </w:rPr>
  </w:style>
  <w:style w:type="character" w:styleId="FootnoteReference">
    <w:name w:val="footnote reference"/>
    <w:qFormat/>
    <w:rPr>
      <w:rFonts w:ascii="Times New Roman" w:eastAsia="SimSun" w:hAnsi="Times New Roman" w:cs="Simplified Arabic"/>
      <w:sz w:val="18"/>
      <w:szCs w:val="18"/>
      <w:vertAlign w:val="superscript"/>
      <w:lang w:bidi="ar-AE"/>
    </w:rPr>
  </w:style>
  <w:style w:type="character" w:customStyle="1" w:styleId="MacroTextChar">
    <w:name w:val="Macro Text Char"/>
    <w:link w:val="MacroText"/>
    <w:qFormat/>
    <w:rPr>
      <w:rFonts w:ascii="Courier New" w:hAnsi="Courier New" w:cs="Courier New"/>
      <w:lang w:val="en-GB" w:eastAsia="zh-CN" w:bidi="ar-AE"/>
    </w:rPr>
  </w:style>
  <w:style w:type="character" w:customStyle="1" w:styleId="Heading1Char">
    <w:name w:val="Heading 1 Char"/>
    <w:link w:val="Heading1"/>
    <w:qFormat/>
    <w:rPr>
      <w:sz w:val="24"/>
      <w:szCs w:val="24"/>
      <w:lang w:bidi="ar-AE"/>
    </w:rPr>
  </w:style>
  <w:style w:type="character" w:customStyle="1" w:styleId="Heading2Char">
    <w:name w:val="Heading 2 Char"/>
    <w:link w:val="Heading2"/>
    <w:qFormat/>
    <w:rPr>
      <w:sz w:val="24"/>
      <w:szCs w:val="24"/>
      <w:lang w:bidi="ar-AE"/>
    </w:rPr>
  </w:style>
  <w:style w:type="character" w:customStyle="1" w:styleId="BodyTextChar">
    <w:name w:val="Body Text Char"/>
    <w:link w:val="BodyText"/>
    <w:qFormat/>
    <w:rPr>
      <w:sz w:val="24"/>
      <w:szCs w:val="24"/>
      <w:lang w:eastAsia="en-GB" w:bidi="ar-AE"/>
    </w:rPr>
  </w:style>
  <w:style w:type="character" w:customStyle="1" w:styleId="Heading3Char">
    <w:name w:val="Heading 3 Char"/>
    <w:link w:val="Heading3"/>
    <w:qFormat/>
    <w:rPr>
      <w:sz w:val="24"/>
      <w:szCs w:val="24"/>
      <w:lang w:bidi="ar-AE"/>
    </w:rPr>
  </w:style>
  <w:style w:type="character" w:customStyle="1" w:styleId="Heading4Char">
    <w:name w:val="Heading 4 Char"/>
    <w:link w:val="Heading4"/>
    <w:qFormat/>
    <w:rPr>
      <w:sz w:val="24"/>
      <w:szCs w:val="24"/>
      <w:lang w:bidi="ar-AE"/>
    </w:rPr>
  </w:style>
  <w:style w:type="character" w:customStyle="1" w:styleId="Heading5Char">
    <w:name w:val="Heading 5 Char"/>
    <w:link w:val="Heading5"/>
    <w:qFormat/>
    <w:rPr>
      <w:sz w:val="24"/>
      <w:szCs w:val="24"/>
      <w:lang w:bidi="ar-AE"/>
    </w:rPr>
  </w:style>
  <w:style w:type="character" w:customStyle="1" w:styleId="Heading6Char">
    <w:name w:val="Heading 6 Char"/>
    <w:link w:val="Heading6"/>
    <w:qFormat/>
    <w:rPr>
      <w:sz w:val="24"/>
      <w:szCs w:val="24"/>
      <w:lang w:bidi="ar-AE"/>
    </w:rPr>
  </w:style>
  <w:style w:type="character" w:customStyle="1" w:styleId="Heading7Char">
    <w:name w:val="Heading 7 Char"/>
    <w:link w:val="Heading7"/>
    <w:qFormat/>
    <w:rPr>
      <w:sz w:val="24"/>
      <w:szCs w:val="24"/>
      <w:lang w:bidi="ar-AE"/>
    </w:rPr>
  </w:style>
  <w:style w:type="character" w:customStyle="1" w:styleId="Heading8Char">
    <w:name w:val="Heading 8 Char"/>
    <w:link w:val="Heading8"/>
    <w:qFormat/>
    <w:rPr>
      <w:sz w:val="24"/>
      <w:szCs w:val="24"/>
      <w:lang w:bidi="ar-AE"/>
    </w:rPr>
  </w:style>
  <w:style w:type="character" w:customStyle="1" w:styleId="Heading9Char">
    <w:name w:val="Heading 9 Char"/>
    <w:link w:val="Heading9"/>
    <w:qFormat/>
    <w:rPr>
      <w:sz w:val="24"/>
      <w:szCs w:val="24"/>
      <w:lang w:bidi="ar-AE"/>
    </w:rPr>
  </w:style>
  <w:style w:type="character" w:customStyle="1" w:styleId="NoteHeadingChar">
    <w:name w:val="Note Heading Char"/>
    <w:link w:val="NoteHeading"/>
    <w:qFormat/>
    <w:rPr>
      <w:sz w:val="24"/>
      <w:szCs w:val="24"/>
      <w:lang w:bidi="ar-AE"/>
    </w:rPr>
  </w:style>
  <w:style w:type="character" w:customStyle="1" w:styleId="E-mailSignatureChar">
    <w:name w:val="E-mail Signature Char"/>
    <w:link w:val="E-mailSignature"/>
    <w:qFormat/>
    <w:rPr>
      <w:sz w:val="24"/>
      <w:szCs w:val="24"/>
      <w:lang w:bidi="ar-AE"/>
    </w:rPr>
  </w:style>
  <w:style w:type="character" w:customStyle="1" w:styleId="DocumentMapChar">
    <w:name w:val="Document Map Char"/>
    <w:link w:val="DocumentMap"/>
    <w:qFormat/>
    <w:rPr>
      <w:rFonts w:ascii="Tahoma" w:hAnsi="Tahoma" w:cs="Tahoma"/>
      <w:sz w:val="16"/>
      <w:szCs w:val="16"/>
      <w:lang w:bidi="ar-AE"/>
    </w:rPr>
  </w:style>
  <w:style w:type="character" w:customStyle="1" w:styleId="CommentTextChar">
    <w:name w:val="Comment Text Char"/>
    <w:link w:val="CommentText"/>
    <w:qFormat/>
    <w:rPr>
      <w:lang w:bidi="ar-AE"/>
    </w:rPr>
  </w:style>
  <w:style w:type="character" w:customStyle="1" w:styleId="SalutationChar">
    <w:name w:val="Salutation Char"/>
    <w:link w:val="Salutation"/>
    <w:qFormat/>
    <w:rPr>
      <w:sz w:val="24"/>
      <w:szCs w:val="24"/>
      <w:lang w:bidi="ar-AE"/>
    </w:rPr>
  </w:style>
  <w:style w:type="character" w:customStyle="1" w:styleId="BodyText3Char">
    <w:name w:val="Body Text 3 Char"/>
    <w:link w:val="BodyText3"/>
    <w:qFormat/>
    <w:rPr>
      <w:sz w:val="24"/>
      <w:szCs w:val="24"/>
      <w:lang w:eastAsia="en-GB" w:bidi="ar-AE"/>
    </w:rPr>
  </w:style>
  <w:style w:type="character" w:customStyle="1" w:styleId="ClosingChar">
    <w:name w:val="Closing Char"/>
    <w:link w:val="Closing"/>
    <w:qFormat/>
    <w:rPr>
      <w:sz w:val="24"/>
      <w:szCs w:val="24"/>
      <w:lang w:bidi="ar-AE"/>
    </w:rPr>
  </w:style>
  <w:style w:type="character" w:customStyle="1" w:styleId="BodyTextIndentChar">
    <w:name w:val="Body Text Indent Char"/>
    <w:link w:val="BodyTextIndent"/>
    <w:qFormat/>
    <w:rPr>
      <w:sz w:val="24"/>
      <w:szCs w:val="24"/>
      <w:lang w:bidi="ar-AE"/>
    </w:rPr>
  </w:style>
  <w:style w:type="character" w:customStyle="1" w:styleId="HTMLAddressChar">
    <w:name w:val="HTML Address Char"/>
    <w:link w:val="HTMLAddress"/>
    <w:qFormat/>
    <w:rPr>
      <w:i/>
      <w:iCs/>
      <w:sz w:val="24"/>
      <w:szCs w:val="24"/>
      <w:lang w:bidi="ar-AE"/>
    </w:rPr>
  </w:style>
  <w:style w:type="character" w:customStyle="1" w:styleId="PlainTextChar">
    <w:name w:val="Plain Text Char"/>
    <w:link w:val="PlainText"/>
    <w:qFormat/>
    <w:rPr>
      <w:rFonts w:ascii="Courier New" w:hAnsi="Courier New" w:cs="Courier New"/>
      <w:lang w:bidi="ar-AE"/>
    </w:rPr>
  </w:style>
  <w:style w:type="character" w:customStyle="1" w:styleId="DateChar">
    <w:name w:val="Date Char"/>
    <w:link w:val="Date"/>
    <w:qFormat/>
    <w:rPr>
      <w:sz w:val="24"/>
      <w:szCs w:val="24"/>
      <w:lang w:bidi="ar-AE"/>
    </w:rPr>
  </w:style>
  <w:style w:type="character" w:customStyle="1" w:styleId="BodyTextIndent2Char">
    <w:name w:val="Body Text Indent 2 Char"/>
    <w:link w:val="BodyTextIndent2"/>
    <w:qFormat/>
    <w:rPr>
      <w:sz w:val="24"/>
      <w:szCs w:val="24"/>
      <w:lang w:bidi="ar-AE"/>
    </w:rPr>
  </w:style>
  <w:style w:type="character" w:customStyle="1" w:styleId="EndnoteTextChar">
    <w:name w:val="Endnote Text Char"/>
    <w:link w:val="EndnoteText"/>
    <w:qFormat/>
    <w:rPr>
      <w:lang w:bidi="ar-AE"/>
    </w:r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  <w:lang w:bidi="ar-AE"/>
    </w:rPr>
  </w:style>
  <w:style w:type="character" w:customStyle="1" w:styleId="FooterChar">
    <w:name w:val="Footer Char"/>
    <w:link w:val="Footer"/>
    <w:qFormat/>
    <w:rPr>
      <w:sz w:val="16"/>
      <w:szCs w:val="16"/>
      <w:lang w:val="en-GB" w:eastAsia="zh-CN" w:bidi="he-IL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  <w:lang w:val="en-GB" w:eastAsia="zh-CN" w:bidi="he-IL"/>
    </w:rPr>
  </w:style>
  <w:style w:type="character" w:customStyle="1" w:styleId="SignatureChar">
    <w:name w:val="Signature Char"/>
    <w:link w:val="Signature"/>
    <w:qFormat/>
    <w:rPr>
      <w:sz w:val="24"/>
      <w:szCs w:val="24"/>
      <w:lang w:bidi="ar-AE"/>
    </w:rPr>
  </w:style>
  <w:style w:type="character" w:customStyle="1" w:styleId="SubtitleChar">
    <w:name w:val="Subtitle Char"/>
    <w:link w:val="Subtitle"/>
    <w:qFormat/>
    <w:rPr>
      <w:sz w:val="24"/>
      <w:szCs w:val="24"/>
      <w:lang w:bidi="ar-AE"/>
    </w:rPr>
  </w:style>
  <w:style w:type="character" w:customStyle="1" w:styleId="FootnoteTextChar">
    <w:name w:val="Footnote Text Char"/>
    <w:link w:val="FootnoteText"/>
    <w:qFormat/>
    <w:rPr>
      <w:lang w:bidi="ar-AE"/>
    </w:rPr>
  </w:style>
  <w:style w:type="character" w:customStyle="1" w:styleId="BodyTextIndent3Char">
    <w:name w:val="Body Text Indent 3 Char"/>
    <w:link w:val="BodyTextIndent3"/>
    <w:qFormat/>
    <w:rPr>
      <w:sz w:val="16"/>
      <w:szCs w:val="16"/>
      <w:lang w:bidi="ar-AE"/>
    </w:rPr>
  </w:style>
  <w:style w:type="character" w:customStyle="1" w:styleId="BodyText2Char">
    <w:name w:val="Body Text 2 Char"/>
    <w:link w:val="BodyText2"/>
    <w:qFormat/>
    <w:rPr>
      <w:sz w:val="24"/>
      <w:szCs w:val="24"/>
      <w:lang w:eastAsia="en-GB" w:bidi="ar-AE"/>
    </w:rPr>
  </w:style>
  <w:style w:type="character" w:customStyle="1" w:styleId="MessageHeaderChar">
    <w:name w:val="Message Header Char"/>
    <w:link w:val="MessageHeader"/>
    <w:qFormat/>
    <w:rPr>
      <w:rFonts w:ascii="Times New Roman" w:eastAsia="SimSun" w:hAnsi="Times New Roman" w:cs="Simplified Arabic"/>
      <w:sz w:val="24"/>
      <w:szCs w:val="24"/>
      <w:shd w:val="pct20" w:color="auto" w:fill="auto"/>
      <w:lang w:bidi="ar-AE"/>
    </w:rPr>
  </w:style>
  <w:style w:type="character" w:customStyle="1" w:styleId="HTMLPreformattedChar">
    <w:name w:val="HTML Preformatted Char"/>
    <w:link w:val="HTMLPreformatted"/>
    <w:qFormat/>
    <w:rPr>
      <w:rFonts w:ascii="Courier New" w:hAnsi="Courier New" w:cs="Courier New"/>
      <w:lang w:bidi="ar-AE"/>
    </w:rPr>
  </w:style>
  <w:style w:type="character" w:customStyle="1" w:styleId="TitleChar">
    <w:name w:val="Title Char"/>
    <w:link w:val="Title"/>
    <w:qFormat/>
    <w:rPr>
      <w:b/>
      <w:bCs/>
      <w:sz w:val="24"/>
      <w:szCs w:val="24"/>
      <w:lang w:bidi="ar-AE"/>
    </w:rPr>
  </w:style>
  <w:style w:type="character" w:customStyle="1" w:styleId="CommentSubjectChar">
    <w:name w:val="Comment Subject Char"/>
    <w:link w:val="CommentSubject"/>
    <w:qFormat/>
    <w:rPr>
      <w:b/>
      <w:bCs/>
      <w:lang w:bidi="ar-AE"/>
    </w:rPr>
  </w:style>
  <w:style w:type="character" w:customStyle="1" w:styleId="BodyTextFirstIndentChar">
    <w:name w:val="Body Text First Indent Char"/>
    <w:link w:val="BodyTextFirstIndent"/>
    <w:qFormat/>
    <w:rPr>
      <w:sz w:val="24"/>
      <w:szCs w:val="24"/>
      <w:lang w:eastAsia="en-GB" w:bidi="ar-AE"/>
    </w:rPr>
  </w:style>
  <w:style w:type="character" w:customStyle="1" w:styleId="BodyTextFirstIndent2Char">
    <w:name w:val="Body Text First Indent 2 Char"/>
    <w:link w:val="BodyTextFirstIndent2"/>
    <w:qFormat/>
    <w:rPr>
      <w:sz w:val="24"/>
      <w:szCs w:val="24"/>
      <w:lang w:eastAsia="en-GB" w:bidi="ar-AE"/>
    </w:rPr>
  </w:style>
  <w:style w:type="paragraph" w:customStyle="1" w:styleId="BodyText1">
    <w:name w:val="Body Text 1"/>
    <w:basedOn w:val="Normal"/>
    <w:qFormat/>
    <w:pPr>
      <w:ind w:left="720"/>
    </w:pPr>
    <w:rPr>
      <w:lang w:eastAsia="en-GB"/>
    </w:rPr>
  </w:style>
  <w:style w:type="paragraph" w:customStyle="1" w:styleId="BodyText4">
    <w:name w:val="Body Text 4"/>
    <w:basedOn w:val="Normal"/>
    <w:qFormat/>
    <w:pPr>
      <w:ind w:left="2880"/>
    </w:pPr>
    <w:rPr>
      <w:lang w:eastAsia="en-GB"/>
    </w:rPr>
  </w:style>
  <w:style w:type="paragraph" w:customStyle="1" w:styleId="BodyText5">
    <w:name w:val="Body Text 5"/>
    <w:basedOn w:val="Normal"/>
    <w:qFormat/>
    <w:pPr>
      <w:ind w:left="3600"/>
    </w:pPr>
    <w:rPr>
      <w:lang w:eastAsia="en-GB"/>
    </w:rPr>
  </w:style>
  <w:style w:type="paragraph" w:customStyle="1" w:styleId="BodyText6">
    <w:name w:val="Body Text 6"/>
    <w:basedOn w:val="Normal"/>
    <w:qFormat/>
    <w:pPr>
      <w:ind w:left="4320"/>
    </w:pPr>
    <w:rPr>
      <w:lang w:eastAsia="en-GB"/>
    </w:rPr>
  </w:style>
  <w:style w:type="paragraph" w:customStyle="1" w:styleId="BodyText7">
    <w:name w:val="Body Text 7"/>
    <w:basedOn w:val="Normal"/>
    <w:qFormat/>
    <w:pPr>
      <w:ind w:left="5041"/>
    </w:pPr>
    <w:rPr>
      <w:lang w:eastAsia="en-GB"/>
    </w:rPr>
  </w:style>
  <w:style w:type="paragraph" w:customStyle="1" w:styleId="FooterRight">
    <w:name w:val="Footer Right"/>
    <w:basedOn w:val="Footer"/>
    <w:qFormat/>
    <w:pPr>
      <w:jc w:val="right"/>
    </w:pPr>
  </w:style>
  <w:style w:type="paragraph" w:customStyle="1" w:styleId="Footnote">
    <w:name w:val="Footnote"/>
    <w:basedOn w:val="FootnoteText"/>
    <w:qFormat/>
    <w:pPr>
      <w:tabs>
        <w:tab w:val="left" w:pos="340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qFormat/>
    <w:pPr>
      <w:spacing w:after="0"/>
    </w:pPr>
  </w:style>
  <w:style w:type="paragraph" w:customStyle="1" w:styleId="NormalBold">
    <w:name w:val="NormalBold"/>
    <w:basedOn w:val="Normal"/>
    <w:next w:val="Normal"/>
    <w:qFormat/>
    <w:rPr>
      <w:b/>
      <w:bCs/>
    </w:rPr>
  </w:style>
  <w:style w:type="paragraph" w:customStyle="1" w:styleId="NormalBoldNS">
    <w:name w:val="NormalBoldNS"/>
    <w:basedOn w:val="Normal"/>
    <w:next w:val="Normal"/>
    <w:qFormat/>
    <w:pPr>
      <w:spacing w:after="0"/>
      <w:jc w:val="left"/>
    </w:pPr>
    <w:rPr>
      <w:b/>
      <w:bCs/>
    </w:rPr>
  </w:style>
  <w:style w:type="paragraph" w:customStyle="1" w:styleId="NormalNS">
    <w:name w:val="NormalNS"/>
    <w:basedOn w:val="Normal"/>
    <w:qFormat/>
    <w:pPr>
      <w:spacing w:after="0"/>
    </w:pPr>
  </w:style>
  <w:style w:type="paragraph" w:customStyle="1" w:styleId="NormalRight">
    <w:name w:val="NormalRight"/>
    <w:basedOn w:val="NormalNS"/>
    <w:qFormat/>
    <w:pPr>
      <w:jc w:val="right"/>
    </w:pPr>
  </w:style>
  <w:style w:type="paragraph" w:customStyle="1" w:styleId="NoteContinuation">
    <w:name w:val="Note Continuation"/>
    <w:basedOn w:val="Normal"/>
    <w:qFormat/>
    <w:pPr>
      <w:spacing w:after="120"/>
      <w:ind w:left="340"/>
    </w:pPr>
    <w:rPr>
      <w:sz w:val="20"/>
      <w:szCs w:val="20"/>
    </w:rPr>
  </w:style>
  <w:style w:type="paragraph" w:customStyle="1" w:styleId="TOCHeading1">
    <w:name w:val="TOC Heading1"/>
    <w:basedOn w:val="Normal"/>
    <w:next w:val="Normal"/>
    <w:qFormat/>
    <w:pPr>
      <w:jc w:val="center"/>
    </w:pPr>
    <w:rPr>
      <w:b/>
      <w:bCs/>
      <w:caps/>
    </w:rPr>
  </w:style>
  <w:style w:type="paragraph" w:customStyle="1" w:styleId="BGHStandard">
    <w:name w:val="BGH Standard"/>
    <w:basedOn w:val="Normal"/>
    <w:qFormat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qFormat/>
    <w:pPr>
      <w:spacing w:after="240"/>
    </w:pPr>
  </w:style>
  <w:style w:type="paragraph" w:customStyle="1" w:styleId="SubTitle0">
    <w:name w:val="SubTitle0"/>
    <w:basedOn w:val="Subtitle"/>
    <w:qFormat/>
    <w:pPr>
      <w:spacing w:after="0"/>
    </w:pPr>
  </w:style>
  <w:style w:type="paragraph" w:customStyle="1" w:styleId="OptionLabel">
    <w:name w:val="OptionLabel"/>
    <w:qFormat/>
    <w:rPr>
      <w:b/>
      <w:bCs/>
      <w:sz w:val="24"/>
      <w:szCs w:val="24"/>
      <w:lang w:val="en-GB" w:bidi="ar-AE"/>
    </w:rPr>
  </w:style>
  <w:style w:type="paragraph" w:customStyle="1" w:styleId="NormalLeft0">
    <w:name w:val="NormalLeft"/>
    <w:basedOn w:val="Normal"/>
    <w:next w:val="Normal"/>
    <w:qFormat/>
    <w:pPr>
      <w:jc w:val="left"/>
    </w:pPr>
  </w:style>
  <w:style w:type="paragraph" w:customStyle="1" w:styleId="Bibliography1">
    <w:name w:val="Bibliography1"/>
    <w:basedOn w:val="Normal"/>
    <w:next w:val="Normal"/>
    <w:qFormat/>
  </w:style>
  <w:style w:type="table" w:customStyle="1" w:styleId="ColorfulGrid1">
    <w:name w:val="Colorful Grid1"/>
    <w:basedOn w:val="TableNormal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1">
    <w:name w:val="Colorful List1"/>
    <w:basedOn w:val="TableNormal"/>
    <w:qFormat/>
    <w:rPr>
      <w:color w:val="000000"/>
    </w:rPr>
    <w:tblPr/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1">
    <w:name w:val="Colorful Shading1"/>
    <w:basedOn w:val="TableNormal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qFormat/>
    <w:rPr>
      <w:color w:val="FFFFFF"/>
    </w:rPr>
    <w:tblPr/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IntenseQuoteChar">
    <w:name w:val="Intense Quote Char"/>
    <w:link w:val="IntenseQuote"/>
    <w:qFormat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TableNormal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LightGrid-Accent11">
    <w:name w:val="Light Grid - Accent 11"/>
    <w:basedOn w:val="TableNormal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LightList1">
    <w:name w:val="Light List1"/>
    <w:basedOn w:val="TableNormal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customStyle="1" w:styleId="LightList-Accent11">
    <w:name w:val="Light List - Accent 11"/>
    <w:basedOn w:val="TableNormal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customStyle="1" w:styleId="LightShading1">
    <w:name w:val="Light Shading1"/>
    <w:basedOn w:val="TableNormal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qFormat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Grid11">
    <w:name w:val="Medium Grid 11"/>
    <w:basedOn w:val="TableNormal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TableNormal"/>
    <w:qFormat/>
    <w:rPr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customStyle="1" w:styleId="MediumList11">
    <w:name w:val="Medium List 11"/>
    <w:basedOn w:val="TableNormal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1">
    <w:name w:val="Medium List 21"/>
    <w:basedOn w:val="TableNormal"/>
    <w:qFormat/>
    <w:rPr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Shading11">
    <w:name w:val="Medium Shading 11"/>
    <w:basedOn w:val="TableNormal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Shading1-Accent11">
    <w:name w:val="Medium Shading 1 - Accent 11"/>
    <w:basedOn w:val="TableNormal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Shading21">
    <w:name w:val="Medium Shading 21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-Accent11">
    <w:name w:val="Medium Shading 2 - Accent 11"/>
    <w:basedOn w:val="TableNormal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Quote">
    <w:name w:val="Quote"/>
    <w:basedOn w:val="Normal"/>
    <w:next w:val="Normal"/>
    <w:link w:val="QuoteChar"/>
    <w:qFormat/>
    <w:rPr>
      <w:rFonts w:cs="Simplified Arabic"/>
      <w:i/>
      <w:iCs/>
      <w:color w:val="000000"/>
    </w:rPr>
  </w:style>
  <w:style w:type="character" w:customStyle="1" w:styleId="QuoteChar">
    <w:name w:val="Quote Char"/>
    <w:link w:val="Quote"/>
    <w:qFormat/>
    <w:rPr>
      <w:i/>
      <w:iCs/>
      <w:color w:val="000000"/>
      <w:sz w:val="24"/>
      <w:szCs w:val="24"/>
      <w:lang w:bidi="ar-AE"/>
    </w:rPr>
  </w:style>
  <w:style w:type="paragraph" w:customStyle="1" w:styleId="StandardL9">
    <w:name w:val="Standard L9"/>
    <w:basedOn w:val="Normal"/>
    <w:next w:val="BodyText3"/>
    <w:link w:val="StandardL9Char"/>
    <w:qFormat/>
    <w:pPr>
      <w:numPr>
        <w:ilvl w:val="8"/>
        <w:numId w:val="1"/>
      </w:numPr>
      <w:outlineLvl w:val="8"/>
    </w:pPr>
    <w:rPr>
      <w:rFonts w:cs="Simplified Arabic"/>
    </w:rPr>
  </w:style>
  <w:style w:type="character" w:customStyle="1" w:styleId="StandardL9Char">
    <w:name w:val="Standard L9 Char"/>
    <w:link w:val="StandardL9"/>
    <w:qFormat/>
    <w:rPr>
      <w:sz w:val="24"/>
      <w:szCs w:val="24"/>
      <w:lang w:bidi="ar-AE"/>
    </w:rPr>
  </w:style>
  <w:style w:type="paragraph" w:customStyle="1" w:styleId="StandardL8">
    <w:name w:val="Standard L8"/>
    <w:basedOn w:val="Normal"/>
    <w:next w:val="BodyText2"/>
    <w:link w:val="StandardL8Char"/>
    <w:qFormat/>
    <w:pPr>
      <w:numPr>
        <w:ilvl w:val="7"/>
        <w:numId w:val="1"/>
      </w:numPr>
      <w:outlineLvl w:val="7"/>
    </w:pPr>
    <w:rPr>
      <w:rFonts w:cs="Simplified Arabic"/>
    </w:rPr>
  </w:style>
  <w:style w:type="character" w:customStyle="1" w:styleId="StandardL8Char">
    <w:name w:val="Standard L8 Char"/>
    <w:link w:val="StandardL8"/>
    <w:qFormat/>
    <w:rPr>
      <w:sz w:val="24"/>
      <w:szCs w:val="24"/>
      <w:lang w:bidi="ar-AE"/>
    </w:rPr>
  </w:style>
  <w:style w:type="paragraph" w:customStyle="1" w:styleId="StandardL7">
    <w:name w:val="Standard L7"/>
    <w:basedOn w:val="Normal"/>
    <w:next w:val="BodyText6"/>
    <w:link w:val="StandardL7Char"/>
    <w:qFormat/>
    <w:pPr>
      <w:numPr>
        <w:ilvl w:val="6"/>
        <w:numId w:val="1"/>
      </w:numPr>
      <w:outlineLvl w:val="6"/>
    </w:pPr>
    <w:rPr>
      <w:rFonts w:cs="Simplified Arabic"/>
    </w:rPr>
  </w:style>
  <w:style w:type="character" w:customStyle="1" w:styleId="StandardL7Char">
    <w:name w:val="Standard L7 Char"/>
    <w:link w:val="StandardL7"/>
    <w:qFormat/>
    <w:rPr>
      <w:sz w:val="24"/>
      <w:szCs w:val="24"/>
      <w:lang w:bidi="ar-AE"/>
    </w:rPr>
  </w:style>
  <w:style w:type="paragraph" w:customStyle="1" w:styleId="StandardL6">
    <w:name w:val="Standard L6"/>
    <w:basedOn w:val="Normal"/>
    <w:next w:val="BodyText5"/>
    <w:link w:val="StandardL6Char"/>
    <w:qFormat/>
    <w:pPr>
      <w:numPr>
        <w:ilvl w:val="5"/>
        <w:numId w:val="1"/>
      </w:numPr>
      <w:outlineLvl w:val="5"/>
    </w:pPr>
    <w:rPr>
      <w:rFonts w:cs="Simplified Arabic"/>
    </w:rPr>
  </w:style>
  <w:style w:type="character" w:customStyle="1" w:styleId="StandardL6Char">
    <w:name w:val="Standard L6 Char"/>
    <w:link w:val="StandardL6"/>
    <w:qFormat/>
    <w:rPr>
      <w:sz w:val="24"/>
      <w:szCs w:val="24"/>
      <w:lang w:bidi="ar-AE"/>
    </w:rPr>
  </w:style>
  <w:style w:type="paragraph" w:customStyle="1" w:styleId="StandardL5">
    <w:name w:val="Standard L5"/>
    <w:basedOn w:val="Normal"/>
    <w:next w:val="BodyText4"/>
    <w:link w:val="StandardL5Char"/>
    <w:qFormat/>
    <w:pPr>
      <w:numPr>
        <w:ilvl w:val="4"/>
        <w:numId w:val="1"/>
      </w:numPr>
      <w:outlineLvl w:val="4"/>
    </w:pPr>
    <w:rPr>
      <w:rFonts w:cs="Simplified Arabic"/>
    </w:rPr>
  </w:style>
  <w:style w:type="character" w:customStyle="1" w:styleId="StandardL5Char">
    <w:name w:val="Standard L5 Char"/>
    <w:link w:val="StandardL5"/>
    <w:qFormat/>
    <w:rPr>
      <w:sz w:val="24"/>
      <w:szCs w:val="24"/>
      <w:lang w:bidi="ar-AE"/>
    </w:rPr>
  </w:style>
  <w:style w:type="paragraph" w:customStyle="1" w:styleId="BulletL9">
    <w:name w:val="Bullet L9"/>
    <w:basedOn w:val="Normal"/>
    <w:link w:val="BulletL9Char"/>
    <w:qFormat/>
    <w:pPr>
      <w:numPr>
        <w:ilvl w:val="8"/>
        <w:numId w:val="2"/>
      </w:numPr>
      <w:outlineLvl w:val="8"/>
    </w:pPr>
    <w:rPr>
      <w:rFonts w:cs="Simplified Arabic"/>
    </w:rPr>
  </w:style>
  <w:style w:type="character" w:customStyle="1" w:styleId="BulletL9Char">
    <w:name w:val="Bullet L9 Char"/>
    <w:link w:val="BulletL9"/>
    <w:qFormat/>
    <w:rPr>
      <w:sz w:val="24"/>
      <w:szCs w:val="24"/>
      <w:lang w:bidi="ar-AE"/>
    </w:rPr>
  </w:style>
  <w:style w:type="paragraph" w:customStyle="1" w:styleId="BulletL8">
    <w:name w:val="Bullet L8"/>
    <w:basedOn w:val="Normal"/>
    <w:link w:val="BulletL8Char"/>
    <w:qFormat/>
    <w:pPr>
      <w:numPr>
        <w:ilvl w:val="7"/>
        <w:numId w:val="2"/>
      </w:numPr>
      <w:outlineLvl w:val="7"/>
    </w:pPr>
    <w:rPr>
      <w:rFonts w:cs="Simplified Arabic"/>
    </w:rPr>
  </w:style>
  <w:style w:type="character" w:customStyle="1" w:styleId="BulletL8Char">
    <w:name w:val="Bullet L8 Char"/>
    <w:link w:val="BulletL8"/>
    <w:qFormat/>
    <w:rPr>
      <w:sz w:val="24"/>
      <w:szCs w:val="24"/>
      <w:lang w:bidi="ar-AE"/>
    </w:rPr>
  </w:style>
  <w:style w:type="paragraph" w:customStyle="1" w:styleId="BulletL7">
    <w:name w:val="Bullet L7"/>
    <w:basedOn w:val="Normal"/>
    <w:link w:val="BulletL7Char"/>
    <w:qFormat/>
    <w:pPr>
      <w:numPr>
        <w:ilvl w:val="6"/>
        <w:numId w:val="2"/>
      </w:numPr>
      <w:outlineLvl w:val="6"/>
    </w:pPr>
    <w:rPr>
      <w:rFonts w:cs="Simplified Arabic"/>
    </w:rPr>
  </w:style>
  <w:style w:type="character" w:customStyle="1" w:styleId="BulletL7Char">
    <w:name w:val="Bullet L7 Char"/>
    <w:link w:val="BulletL7"/>
    <w:qFormat/>
    <w:rPr>
      <w:sz w:val="24"/>
      <w:szCs w:val="24"/>
      <w:lang w:bidi="ar-AE"/>
    </w:rPr>
  </w:style>
  <w:style w:type="paragraph" w:customStyle="1" w:styleId="BulletL6">
    <w:name w:val="Bullet L6"/>
    <w:basedOn w:val="Normal"/>
    <w:link w:val="BulletL6Char"/>
    <w:qFormat/>
    <w:pPr>
      <w:numPr>
        <w:ilvl w:val="5"/>
        <w:numId w:val="2"/>
      </w:numPr>
      <w:outlineLvl w:val="5"/>
    </w:pPr>
    <w:rPr>
      <w:rFonts w:cs="Simplified Arabic"/>
    </w:rPr>
  </w:style>
  <w:style w:type="character" w:customStyle="1" w:styleId="BulletL6Char">
    <w:name w:val="Bullet L6 Char"/>
    <w:link w:val="BulletL6"/>
    <w:qFormat/>
    <w:rPr>
      <w:sz w:val="24"/>
      <w:szCs w:val="24"/>
      <w:lang w:bidi="ar-AE"/>
    </w:rPr>
  </w:style>
  <w:style w:type="paragraph" w:customStyle="1" w:styleId="BulletL5">
    <w:name w:val="Bullet L5"/>
    <w:basedOn w:val="Normal"/>
    <w:link w:val="BulletL5Char"/>
    <w:qFormat/>
    <w:pPr>
      <w:numPr>
        <w:ilvl w:val="4"/>
        <w:numId w:val="2"/>
      </w:numPr>
      <w:outlineLvl w:val="4"/>
    </w:pPr>
    <w:rPr>
      <w:rFonts w:cs="Simplified Arabic"/>
    </w:rPr>
  </w:style>
  <w:style w:type="character" w:customStyle="1" w:styleId="BulletL5Char">
    <w:name w:val="Bullet L5 Char"/>
    <w:link w:val="BulletL5"/>
    <w:qFormat/>
    <w:rPr>
      <w:sz w:val="24"/>
      <w:szCs w:val="24"/>
      <w:lang w:bidi="ar-AE"/>
    </w:rPr>
  </w:style>
  <w:style w:type="paragraph" w:customStyle="1" w:styleId="BulletL4">
    <w:name w:val="Bullet L4"/>
    <w:basedOn w:val="Normal"/>
    <w:link w:val="BulletL4Char"/>
    <w:qFormat/>
    <w:pPr>
      <w:numPr>
        <w:ilvl w:val="3"/>
        <w:numId w:val="2"/>
      </w:numPr>
      <w:outlineLvl w:val="3"/>
    </w:pPr>
    <w:rPr>
      <w:rFonts w:cs="Simplified Arabic"/>
    </w:rPr>
  </w:style>
  <w:style w:type="character" w:customStyle="1" w:styleId="BulletL4Char">
    <w:name w:val="Bullet L4 Char"/>
    <w:link w:val="BulletL4"/>
    <w:qFormat/>
    <w:rPr>
      <w:sz w:val="24"/>
      <w:szCs w:val="24"/>
      <w:lang w:bidi="ar-AE"/>
    </w:rPr>
  </w:style>
  <w:style w:type="paragraph" w:customStyle="1" w:styleId="BulletL3">
    <w:name w:val="Bullet L3"/>
    <w:basedOn w:val="Normal"/>
    <w:link w:val="BulletL3Char"/>
    <w:qFormat/>
    <w:pPr>
      <w:numPr>
        <w:ilvl w:val="2"/>
        <w:numId w:val="2"/>
      </w:numPr>
      <w:outlineLvl w:val="2"/>
    </w:pPr>
    <w:rPr>
      <w:rFonts w:cs="Simplified Arabic"/>
    </w:rPr>
  </w:style>
  <w:style w:type="character" w:customStyle="1" w:styleId="BulletL3Char">
    <w:name w:val="Bullet L3 Char"/>
    <w:link w:val="BulletL3"/>
    <w:qFormat/>
    <w:rPr>
      <w:sz w:val="24"/>
      <w:szCs w:val="24"/>
      <w:lang w:bidi="ar-AE"/>
    </w:rPr>
  </w:style>
  <w:style w:type="paragraph" w:customStyle="1" w:styleId="BulletL2">
    <w:name w:val="Bullet L2"/>
    <w:basedOn w:val="Normal"/>
    <w:link w:val="BulletL2Char"/>
    <w:qFormat/>
    <w:pPr>
      <w:numPr>
        <w:ilvl w:val="1"/>
        <w:numId w:val="2"/>
      </w:numPr>
      <w:outlineLvl w:val="1"/>
    </w:pPr>
    <w:rPr>
      <w:rFonts w:cs="Simplified Arabic"/>
    </w:rPr>
  </w:style>
  <w:style w:type="character" w:customStyle="1" w:styleId="BulletL2Char">
    <w:name w:val="Bullet L2 Char"/>
    <w:link w:val="BulletL2"/>
    <w:qFormat/>
    <w:rPr>
      <w:sz w:val="24"/>
      <w:szCs w:val="24"/>
      <w:lang w:bidi="ar-AE"/>
    </w:rPr>
  </w:style>
  <w:style w:type="paragraph" w:customStyle="1" w:styleId="BulletL1">
    <w:name w:val="Bullet L1"/>
    <w:basedOn w:val="Normal"/>
    <w:link w:val="BulletL1Char"/>
    <w:qFormat/>
    <w:pPr>
      <w:numPr>
        <w:numId w:val="2"/>
      </w:numPr>
      <w:outlineLvl w:val="0"/>
    </w:pPr>
    <w:rPr>
      <w:rFonts w:cs="Simplified Arabic"/>
    </w:rPr>
  </w:style>
  <w:style w:type="character" w:customStyle="1" w:styleId="BulletL1Char">
    <w:name w:val="Bullet L1 Char"/>
    <w:link w:val="BulletL1"/>
    <w:qFormat/>
    <w:rPr>
      <w:sz w:val="24"/>
      <w:szCs w:val="24"/>
      <w:lang w:bidi="ar-AE"/>
    </w:rPr>
  </w:style>
  <w:style w:type="paragraph" w:customStyle="1" w:styleId="StandardL4">
    <w:name w:val="Standard L4"/>
    <w:basedOn w:val="Normal"/>
    <w:next w:val="BodyText3"/>
    <w:link w:val="StandardL4Char"/>
    <w:qFormat/>
    <w:pPr>
      <w:numPr>
        <w:ilvl w:val="3"/>
        <w:numId w:val="1"/>
      </w:numPr>
      <w:outlineLvl w:val="3"/>
    </w:pPr>
    <w:rPr>
      <w:rFonts w:cs="Simplified Arabic"/>
    </w:rPr>
  </w:style>
  <w:style w:type="character" w:customStyle="1" w:styleId="StandardL4Char">
    <w:name w:val="Standard L4 Char"/>
    <w:link w:val="StandardL4"/>
    <w:qFormat/>
    <w:rPr>
      <w:sz w:val="24"/>
      <w:szCs w:val="24"/>
      <w:lang w:bidi="ar-AE"/>
    </w:rPr>
  </w:style>
  <w:style w:type="paragraph" w:customStyle="1" w:styleId="StandardL3">
    <w:name w:val="Standard L3"/>
    <w:basedOn w:val="Normal"/>
    <w:next w:val="BodyText2"/>
    <w:link w:val="StandardL3Char"/>
    <w:qFormat/>
    <w:pPr>
      <w:numPr>
        <w:ilvl w:val="2"/>
        <w:numId w:val="1"/>
      </w:numPr>
      <w:outlineLvl w:val="2"/>
    </w:pPr>
    <w:rPr>
      <w:rFonts w:cs="Simplified Arabic"/>
    </w:rPr>
  </w:style>
  <w:style w:type="character" w:customStyle="1" w:styleId="StandardL3Char">
    <w:name w:val="Standard L3 Char"/>
    <w:link w:val="StandardL3"/>
    <w:qFormat/>
    <w:rPr>
      <w:sz w:val="24"/>
      <w:szCs w:val="24"/>
      <w:lang w:bidi="ar-AE"/>
    </w:rPr>
  </w:style>
  <w:style w:type="paragraph" w:customStyle="1" w:styleId="StandardL2">
    <w:name w:val="Standard L2"/>
    <w:basedOn w:val="Normal"/>
    <w:next w:val="BodyText1"/>
    <w:link w:val="StandardL2Char"/>
    <w:qFormat/>
    <w:pPr>
      <w:numPr>
        <w:ilvl w:val="1"/>
        <w:numId w:val="1"/>
      </w:numPr>
      <w:outlineLvl w:val="1"/>
    </w:pPr>
    <w:rPr>
      <w:rFonts w:cs="Simplified Arabic"/>
    </w:rPr>
  </w:style>
  <w:style w:type="character" w:customStyle="1" w:styleId="StandardL2Char">
    <w:name w:val="Standard L2 Char"/>
    <w:link w:val="StandardL2"/>
    <w:qFormat/>
    <w:rPr>
      <w:sz w:val="24"/>
      <w:szCs w:val="24"/>
      <w:lang w:bidi="ar-AE"/>
    </w:rPr>
  </w:style>
  <w:style w:type="paragraph" w:customStyle="1" w:styleId="StandardL1">
    <w:name w:val="Standard L1"/>
    <w:basedOn w:val="Normal"/>
    <w:next w:val="BodyText1"/>
    <w:link w:val="StandardL1Char"/>
    <w:qFormat/>
    <w:pPr>
      <w:keepNext/>
      <w:numPr>
        <w:numId w:val="1"/>
      </w:numPr>
      <w:suppressAutoHyphens/>
      <w:jc w:val="left"/>
      <w:outlineLvl w:val="0"/>
    </w:pPr>
    <w:rPr>
      <w:rFonts w:cs="Simplified Arabic"/>
      <w:b/>
      <w:caps/>
    </w:rPr>
  </w:style>
  <w:style w:type="character" w:customStyle="1" w:styleId="StandardL1Char">
    <w:name w:val="Standard L1 Char"/>
    <w:link w:val="StandardL1"/>
    <w:qFormat/>
    <w:rPr>
      <w:b/>
      <w:caps/>
      <w:sz w:val="24"/>
      <w:szCs w:val="24"/>
      <w:lang w:bidi="ar-AE"/>
    </w:rPr>
  </w:style>
  <w:style w:type="paragraph" w:customStyle="1" w:styleId="Bullet1">
    <w:name w:val="Bullet 1"/>
    <w:qFormat/>
    <w:pPr>
      <w:spacing w:before="240" w:line="260" w:lineRule="atLeast"/>
      <w:jc w:val="both"/>
    </w:pPr>
    <w:rPr>
      <w:rFonts w:eastAsia="Calibri"/>
      <w:sz w:val="22"/>
      <w:szCs w:val="22"/>
      <w:lang w:val="en-GB" w:eastAsia="en-US"/>
    </w:rPr>
  </w:style>
  <w:style w:type="paragraph" w:customStyle="1" w:styleId="NormalLeft">
    <w:name w:val="Normal + Left"/>
    <w:basedOn w:val="Bullet1"/>
    <w:qFormat/>
    <w:pPr>
      <w:numPr>
        <w:numId w:val="3"/>
      </w:numPr>
      <w:spacing w:before="0"/>
    </w:pPr>
    <w:rPr>
      <w:rFonts w:eastAsia="FangSong_GB2312"/>
      <w:bCs/>
      <w:sz w:val="21"/>
      <w:szCs w:val="21"/>
    </w:rPr>
  </w:style>
  <w:style w:type="paragraph" w:customStyle="1" w:styleId="Revision1">
    <w:name w:val="Revision1"/>
    <w:hidden/>
    <w:uiPriority w:val="99"/>
    <w:unhideWhenUsed/>
    <w:qFormat/>
    <w:rPr>
      <w:sz w:val="24"/>
      <w:szCs w:val="24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KWM\blank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6A2BEFD371A2D43AF26B316195BAA8F" ma:contentTypeVersion="2" ma:contentTypeDescription="新建文档。" ma:contentTypeScope="" ma:versionID="b1eecc3491faeb640b7f37cfe9d18cbb">
  <xsd:schema xmlns:xsd="http://www.w3.org/2001/XMLSchema" xmlns:xs="http://www.w3.org/2001/XMLSchema" xmlns:p="http://schemas.microsoft.com/office/2006/metadata/properties" xmlns:ns2="d0400def-d59b-43ac-9ce1-d8ee2e82e940" targetNamespace="http://schemas.microsoft.com/office/2006/metadata/properties" ma:root="true" ma:fieldsID="2eacc22e744b46b031800c01404c57d9" ns2:_="">
    <xsd:import namespace="d0400def-d59b-43ac-9ce1-d8ee2e82e9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00def-d59b-43ac-9ce1-d8ee2e82e9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59A43-313D-4CAC-86A8-EA64C2CC38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2C31E1-2A29-43FC-9A09-18CC4BE1ED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58C313-7436-47C2-BE5F-574DF2F568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C465F0-A23F-426F-B115-4AE77A793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00def-d59b-43ac-9ce1-d8ee2e82e9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(x86)\Microsoft Office\Templates\KWM\blank.dot</Template>
  <TotalTime>19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KWM</dc:creator>
  <cp:lastModifiedBy>Dacheng SH</cp:lastModifiedBy>
  <cp:revision>41</cp:revision>
  <cp:lastPrinted>2022-03-20T13:18:00Z</cp:lastPrinted>
  <dcterms:created xsi:type="dcterms:W3CDTF">2026-05-29T05:49:00Z</dcterms:created>
  <dcterms:modified xsi:type="dcterms:W3CDTF">2026-10-26T06:05:00Z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E1E9CC4F1AAB4B34ACF2F551B591E4A4_13</vt:lpwstr>
  </property>
  <property fmtid="{D5CDD505-2E9C-101B-9397-08002B2CF9AE}" pid="4" name="KSOTemplateDocerSaveRecord">
    <vt:lpwstr>eyJoZGlkIjoiMWQyYzg0M2ZhYzI1OGY1MGNjZGQ2YzRmODk3ZmNkZjciLCJ1c2VySWQiOiIxOTAwNTA1NzUwIn0=</vt:lpwstr>
  </property>
</Properties>
</file>