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verflowPunct w:val="0"/>
        <w:adjustRightInd w:val="0"/>
        <w:snapToGrid w:val="0"/>
        <w:spacing w:line="336" w:lineRule="auto"/>
        <w:rPr>
          <w:rFonts w:hint="eastAsia" w:ascii="黑体" w:eastAsia="黑体"/>
          <w:kern w:val="2"/>
          <w:szCs w:val="32"/>
        </w:rPr>
      </w:pPr>
    </w:p>
    <w:p>
      <w:pPr>
        <w:overflowPunct w:val="0"/>
        <w:adjustRightInd w:val="0"/>
        <w:snapToGrid w:val="0"/>
        <w:spacing w:line="336" w:lineRule="auto"/>
        <w:rPr>
          <w:rFonts w:hint="eastAsia" w:ascii="黑体" w:eastAsia="黑体"/>
          <w:kern w:val="2"/>
          <w:szCs w:val="32"/>
        </w:rPr>
      </w:pPr>
    </w:p>
    <w:p>
      <w:pPr>
        <w:overflowPunct w:val="0"/>
        <w:adjustRightInd w:val="0"/>
        <w:snapToGrid w:val="0"/>
        <w:spacing w:line="336" w:lineRule="auto"/>
        <w:rPr>
          <w:rFonts w:hint="eastAsia" w:ascii="黑体" w:eastAsia="黑体"/>
          <w:kern w:val="2"/>
          <w:szCs w:val="32"/>
        </w:rPr>
      </w:pPr>
    </w:p>
    <w:p>
      <w:pPr>
        <w:overflowPunct w:val="0"/>
        <w:adjustRightInd w:val="0"/>
        <w:snapToGrid w:val="0"/>
        <w:spacing w:line="100" w:lineRule="exact"/>
        <w:rPr>
          <w:rFonts w:hint="eastAsia" w:ascii="黑体" w:eastAsia="黑体"/>
          <w:kern w:val="2"/>
          <w:szCs w:val="32"/>
        </w:rPr>
      </w:pPr>
    </w:p>
    <w:p>
      <w:pPr>
        <w:overflowPunct w:val="0"/>
        <w:adjustRightInd w:val="0"/>
        <w:snapToGrid w:val="0"/>
        <w:ind w:left="-57"/>
        <w:jc w:val="center"/>
        <w:rPr>
          <w:rFonts w:hint="eastAsia" w:ascii="方正小标宋简体" w:hAnsi="宋体" w:eastAsia="方正小标宋简体"/>
          <w:color w:val="FF0000"/>
          <w:kern w:val="2"/>
          <w:sz w:val="72"/>
          <w:szCs w:val="72"/>
        </w:rPr>
      </w:pPr>
      <w:r>
        <w:rPr>
          <w:rFonts w:hint="eastAsia" w:ascii="方正小标宋简体" w:hAnsi="宋体" w:eastAsia="方正小标宋简体"/>
          <w:color w:val="FF0000"/>
          <w:kern w:val="2"/>
          <w:sz w:val="72"/>
          <w:szCs w:val="72"/>
        </w:rPr>
        <w:t>上海市市场监督管理局文件</w:t>
      </w:r>
    </w:p>
    <w:p>
      <w:pPr>
        <w:tabs>
          <w:tab w:val="left" w:pos="790"/>
        </w:tabs>
        <w:overflowPunct w:val="0"/>
        <w:adjustRightInd w:val="0"/>
        <w:snapToGrid w:val="0"/>
        <w:spacing w:line="252" w:lineRule="auto"/>
        <w:jc w:val="center"/>
        <w:rPr>
          <w:rFonts w:hint="eastAsia" w:ascii="黑体" w:eastAsia="黑体"/>
          <w:kern w:val="2"/>
          <w:szCs w:val="32"/>
        </w:rPr>
      </w:pPr>
    </w:p>
    <w:p>
      <w:pPr>
        <w:tabs>
          <w:tab w:val="left" w:pos="790"/>
        </w:tabs>
        <w:overflowPunct w:val="0"/>
        <w:adjustRightInd w:val="0"/>
        <w:snapToGrid w:val="0"/>
        <w:spacing w:line="252" w:lineRule="auto"/>
        <w:jc w:val="center"/>
        <w:rPr>
          <w:rFonts w:hint="eastAsia" w:ascii="黑体" w:eastAsia="黑体"/>
          <w:kern w:val="2"/>
          <w:szCs w:val="32"/>
        </w:rPr>
      </w:pPr>
    </w:p>
    <w:p>
      <w:pPr>
        <w:tabs>
          <w:tab w:val="left" w:pos="790"/>
        </w:tabs>
        <w:overflowPunct w:val="0"/>
        <w:adjustRightInd w:val="0"/>
        <w:snapToGrid w:val="0"/>
        <w:spacing w:line="336" w:lineRule="auto"/>
        <w:jc w:val="center"/>
        <w:rPr>
          <w:rFonts w:hint="eastAsia"/>
          <w:kern w:val="2"/>
          <w:szCs w:val="32"/>
        </w:rPr>
      </w:pPr>
      <w:r>
        <w:rPr>
          <w:rFonts w:hint="eastAsia"/>
          <w:kern w:val="2"/>
          <w:szCs w:val="30"/>
        </w:rPr>
        <mc:AlternateContent>
          <mc:Choice Requires="wps">
            <w:drawing>
              <wp:anchor distT="0" distB="0" distL="114300" distR="114300" simplePos="0" relativeHeight="251658240" behindDoc="0" locked="1" layoutInCell="1" allowOverlap="1">
                <wp:simplePos x="0" y="0"/>
                <wp:positionH relativeFrom="column">
                  <wp:posOffset>635</wp:posOffset>
                </wp:positionH>
                <wp:positionV relativeFrom="paragraph">
                  <wp:posOffset>386080</wp:posOffset>
                </wp:positionV>
                <wp:extent cx="5615940" cy="0"/>
                <wp:effectExtent l="0" t="9525" r="3810" b="9525"/>
                <wp:wrapNone/>
                <wp:docPr id="1" name="直接连接符 1"/>
                <wp:cNvGraphicFramePr/>
                <a:graphic xmlns:a="http://schemas.openxmlformats.org/drawingml/2006/main">
                  <a:graphicData uri="http://schemas.microsoft.com/office/word/2010/wordprocessingShape">
                    <wps:wsp>
                      <wps:cNvCnPr/>
                      <wps:spPr>
                        <a:xfrm>
                          <a:off x="0" y="0"/>
                          <a:ext cx="5615940" cy="0"/>
                        </a:xfrm>
                        <a:prstGeom prst="line">
                          <a:avLst/>
                        </a:prstGeom>
                        <a:ln w="19050" cap="flat" cmpd="sng">
                          <a:solidFill>
                            <a:srgbClr val="FF0000"/>
                          </a:solidFill>
                          <a:prstDash val="solid"/>
                          <a:headEnd type="none" w="med" len="med"/>
                          <a:tailEnd type="none" w="med" len="med"/>
                        </a:ln>
                      </wps:spPr>
                      <wps:bodyPr upright="true"/>
                    </wps:wsp>
                  </a:graphicData>
                </a:graphic>
              </wp:anchor>
            </w:drawing>
          </mc:Choice>
          <mc:Fallback>
            <w:pict>
              <v:line id="_x0000_s1026" o:spid="_x0000_s1026" o:spt="20" style="position:absolute;left:0pt;margin-left:0.05pt;margin-top:30.4pt;height:0pt;width:442.2pt;z-index:251658240;mso-width-relative:page;mso-height-relative:page;" filled="f" stroked="t" coordsize="21600,21600" o:gfxdata="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BYAAABkcnMvUEsBAhQAFAAAAAgA&#10;h07iQIgOgsDUAAAABgEAAA8AAAAAAAAAAQAgAAAAOAAAAGRycy9kb3ducmV2LnhtbFBLAQIUABQA&#10;AAAIAIdO4kApw8Qv3gEAAJoDAAAOAAAAAAAAAAEAIAAAADkBAABkcnMvZTJvRG9jLnhtbFBLBQYA&#10;AAAABgAGAFkBAACJBQAAAAA=&#10;">
                <v:fill on="f" focussize="0,0"/>
                <v:stroke weight="1.5pt" color="#FF0000" joinstyle="round"/>
                <v:imagedata o:title=""/>
                <o:lock v:ext="edit" aspectratio="f"/>
                <w10:anchorlock/>
              </v:line>
            </w:pict>
          </mc:Fallback>
        </mc:AlternateContent>
      </w:r>
      <w:r>
        <w:rPr>
          <w:rFonts w:hint="eastAsia"/>
          <w:kern w:val="2"/>
          <w:szCs w:val="32"/>
        </w:rPr>
        <w:t>沪市监</w:t>
      </w:r>
      <w:r>
        <w:rPr>
          <w:rFonts w:hint="eastAsia"/>
          <w:kern w:val="2"/>
          <w:szCs w:val="32"/>
          <w:lang w:eastAsia="zh-CN"/>
        </w:rPr>
        <w:t>规范</w:t>
      </w:r>
      <w:r>
        <w:rPr>
          <w:rFonts w:hint="eastAsia"/>
          <w:kern w:val="2"/>
          <w:szCs w:val="32"/>
        </w:rPr>
        <w:t>〔202</w:t>
      </w:r>
      <w:r>
        <w:rPr>
          <w:rFonts w:hint="default"/>
          <w:kern w:val="2"/>
          <w:szCs w:val="32"/>
          <w:lang w:val="en"/>
        </w:rPr>
        <w:t>2</w:t>
      </w:r>
      <w:r>
        <w:rPr>
          <w:rFonts w:hint="eastAsia"/>
          <w:kern w:val="2"/>
          <w:szCs w:val="32"/>
        </w:rPr>
        <w:t>〕</w:t>
      </w:r>
      <w:r>
        <w:rPr>
          <w:rFonts w:hint="default"/>
          <w:kern w:val="2"/>
          <w:szCs w:val="32"/>
          <w:lang w:val="en"/>
        </w:rPr>
        <w:t>7</w:t>
      </w:r>
      <w:bookmarkStart w:id="0" w:name="_GoBack"/>
      <w:bookmarkEnd w:id="0"/>
      <w:r>
        <w:rPr>
          <w:rFonts w:hint="eastAsia"/>
          <w:kern w:val="2"/>
          <w:szCs w:val="32"/>
        </w:rPr>
        <w:t>号</w:t>
      </w:r>
    </w:p>
    <w:p>
      <w:pPr>
        <w:keepNext w:val="0"/>
        <w:keepLines w:val="0"/>
        <w:pageBreakBefore w:val="0"/>
        <w:widowControl w:val="0"/>
        <w:tabs>
          <w:tab w:val="left" w:pos="790"/>
        </w:tabs>
        <w:kinsoku/>
        <w:wordWrap/>
        <w:overflowPunct w:val="0"/>
        <w:topLinePunct w:val="0"/>
        <w:autoSpaceDE/>
        <w:autoSpaceDN/>
        <w:bidi w:val="0"/>
        <w:adjustRightInd w:val="0"/>
        <w:snapToGrid w:val="0"/>
        <w:spacing w:line="360" w:lineRule="auto"/>
        <w:jc w:val="center"/>
        <w:textAlignment w:val="auto"/>
        <w:rPr>
          <w:rFonts w:hint="eastAsia"/>
          <w:kern w:val="2"/>
          <w:szCs w:val="30"/>
        </w:rPr>
      </w:pPr>
    </w:p>
    <w:p>
      <w:pPr>
        <w:keepNext w:val="0"/>
        <w:keepLines w:val="0"/>
        <w:pageBreakBefore w:val="0"/>
        <w:widowControl w:val="0"/>
        <w:tabs>
          <w:tab w:val="left" w:pos="790"/>
        </w:tabs>
        <w:kinsoku/>
        <w:wordWrap/>
        <w:overflowPunct w:val="0"/>
        <w:topLinePunct w:val="0"/>
        <w:autoSpaceDE/>
        <w:autoSpaceDN/>
        <w:bidi w:val="0"/>
        <w:adjustRightInd w:val="0"/>
        <w:snapToGrid w:val="0"/>
        <w:spacing w:line="540" w:lineRule="exact"/>
        <w:jc w:val="center"/>
        <w:textAlignment w:val="auto"/>
        <w:rPr>
          <w:rFonts w:hint="eastAsia" w:ascii="方正小标宋简体" w:hAnsi="宋体" w:eastAsia="方正小标宋简体"/>
          <w:kern w:val="2"/>
          <w:sz w:val="44"/>
          <w:szCs w:val="44"/>
        </w:rPr>
      </w:pPr>
      <w:r>
        <w:rPr>
          <w:rFonts w:hint="eastAsia" w:ascii="方正小标宋简体" w:hAnsi="宋体" w:eastAsia="方正小标宋简体"/>
          <w:kern w:val="2"/>
          <w:sz w:val="44"/>
          <w:szCs w:val="44"/>
        </w:rPr>
        <w:t>上海市市场监督管理局关于印发</w:t>
      </w:r>
    </w:p>
    <w:p>
      <w:pPr>
        <w:keepNext w:val="0"/>
        <w:keepLines w:val="0"/>
        <w:pageBreakBefore w:val="0"/>
        <w:widowControl w:val="0"/>
        <w:tabs>
          <w:tab w:val="left" w:pos="790"/>
        </w:tabs>
        <w:kinsoku/>
        <w:wordWrap/>
        <w:overflowPunct w:val="0"/>
        <w:topLinePunct w:val="0"/>
        <w:autoSpaceDE/>
        <w:autoSpaceDN/>
        <w:bidi w:val="0"/>
        <w:adjustRightInd w:val="0"/>
        <w:snapToGrid w:val="0"/>
        <w:spacing w:line="540" w:lineRule="exact"/>
        <w:ind w:right="170"/>
        <w:jc w:val="center"/>
        <w:textAlignment w:val="auto"/>
        <w:rPr>
          <w:rFonts w:hint="eastAsia" w:ascii="方正小标宋简体" w:hAnsi="宋体" w:eastAsia="方正小标宋简体"/>
          <w:kern w:val="2"/>
          <w:sz w:val="44"/>
          <w:szCs w:val="44"/>
        </w:rPr>
      </w:pPr>
      <w:r>
        <w:rPr>
          <w:rFonts w:hint="eastAsia" w:ascii="方正小标宋简体" w:hAnsi="宋体" w:eastAsia="方正小标宋简体"/>
          <w:kern w:val="2"/>
          <w:sz w:val="44"/>
          <w:szCs w:val="44"/>
        </w:rPr>
        <w:t>《上海市特殊食品生产企业食品质量安全</w:t>
      </w:r>
    </w:p>
    <w:p>
      <w:pPr>
        <w:keepNext w:val="0"/>
        <w:keepLines w:val="0"/>
        <w:pageBreakBefore w:val="0"/>
        <w:widowControl w:val="0"/>
        <w:tabs>
          <w:tab w:val="left" w:pos="790"/>
        </w:tabs>
        <w:kinsoku/>
        <w:wordWrap/>
        <w:overflowPunct w:val="0"/>
        <w:topLinePunct w:val="0"/>
        <w:autoSpaceDE/>
        <w:autoSpaceDN/>
        <w:bidi w:val="0"/>
        <w:adjustRightInd w:val="0"/>
        <w:snapToGrid w:val="0"/>
        <w:spacing w:line="540" w:lineRule="exact"/>
        <w:jc w:val="center"/>
        <w:textAlignment w:val="auto"/>
        <w:rPr>
          <w:rFonts w:hint="eastAsia" w:ascii="方正小标宋简体" w:hAnsi="宋体" w:eastAsia="方正小标宋简体"/>
          <w:kern w:val="2"/>
          <w:sz w:val="44"/>
          <w:szCs w:val="44"/>
        </w:rPr>
      </w:pPr>
      <w:r>
        <w:rPr>
          <w:rFonts w:hint="eastAsia" w:ascii="方正小标宋简体" w:hAnsi="宋体" w:eastAsia="方正小标宋简体"/>
          <w:kern w:val="2"/>
          <w:sz w:val="44"/>
          <w:szCs w:val="44"/>
        </w:rPr>
        <w:t>受权人管理办法》的通知</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240" w:lineRule="auto"/>
        <w:ind w:firstLine="624"/>
        <w:jc w:val="both"/>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276" w:lineRule="auto"/>
        <w:jc w:val="both"/>
        <w:textAlignment w:val="auto"/>
        <w:rPr>
          <w:rFonts w:hint="eastAsia" w:hAnsi="宋体"/>
          <w:kern w:val="2"/>
          <w:szCs w:val="30"/>
        </w:rPr>
      </w:pPr>
      <w:r>
        <w:rPr>
          <w:rFonts w:hint="eastAsia" w:hAnsi="宋体"/>
          <w:kern w:val="2"/>
          <w:szCs w:val="30"/>
        </w:rPr>
        <w:t>各区市场监管局，临港新片区市场监管局，市局执法总队、机场分局、行政服务中心，有关单位：</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276" w:lineRule="auto"/>
        <w:ind w:firstLine="624"/>
        <w:jc w:val="both"/>
        <w:textAlignment w:val="auto"/>
        <w:rPr>
          <w:rFonts w:hint="eastAsia" w:hAnsi="宋体"/>
          <w:kern w:val="2"/>
          <w:szCs w:val="30"/>
        </w:rPr>
      </w:pPr>
      <w:r>
        <w:rPr>
          <w:rFonts w:hint="eastAsia" w:hAnsi="宋体"/>
          <w:kern w:val="2"/>
          <w:szCs w:val="30"/>
        </w:rPr>
        <w:t>《上海市特殊食品生产企业食品质量安全受权人管理办法》</w:t>
      </w:r>
      <w:r>
        <w:rPr>
          <w:rFonts w:hint="eastAsia" w:hAnsi="宋体"/>
          <w:kern w:val="2"/>
          <w:szCs w:val="30"/>
          <w:lang w:val="en-US" w:eastAsia="zh-CN"/>
        </w:rPr>
        <w:t>已经2022年5月26日局长办公会审议通过。</w:t>
      </w:r>
      <w:r>
        <w:rPr>
          <w:rFonts w:hint="eastAsia" w:hAnsi="宋体"/>
          <w:kern w:val="2"/>
          <w:szCs w:val="30"/>
        </w:rPr>
        <w:t>现印发给你们，</w:t>
      </w:r>
      <w:r>
        <w:rPr>
          <w:rFonts w:hint="eastAsia" w:hAnsi="宋体"/>
          <w:kern w:val="2"/>
          <w:szCs w:val="30"/>
          <w:lang w:val="en-US" w:eastAsia="zh-CN"/>
        </w:rPr>
        <w:t>自2022年6月6日起实施，</w:t>
      </w:r>
      <w:r>
        <w:rPr>
          <w:rFonts w:hint="eastAsia" w:hAnsi="宋体"/>
          <w:kern w:val="2"/>
          <w:szCs w:val="30"/>
        </w:rPr>
        <w:t>请认真遵照执行。</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276" w:lineRule="auto"/>
        <w:ind w:firstLine="624"/>
        <w:jc w:val="both"/>
        <w:textAlignment w:val="auto"/>
        <w:rPr>
          <w:rFonts w:hint="eastAsia" w:hAnsi="宋体"/>
          <w:kern w:val="2"/>
          <w:szCs w:val="30"/>
        </w:rPr>
      </w:pPr>
      <w:r>
        <w:rPr>
          <w:rFonts w:hint="eastAsia" w:hAnsi="宋体"/>
          <w:kern w:val="2"/>
          <w:szCs w:val="30"/>
        </w:rPr>
        <w:t>特此通知。</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276" w:lineRule="auto"/>
        <w:ind w:firstLine="624"/>
        <w:jc w:val="both"/>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276" w:lineRule="auto"/>
        <w:ind w:firstLine="624"/>
        <w:jc w:val="both"/>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276" w:lineRule="auto"/>
        <w:ind w:firstLine="624"/>
        <w:jc w:val="both"/>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276" w:lineRule="auto"/>
        <w:ind w:right="941" w:firstLine="624"/>
        <w:jc w:val="right"/>
        <w:textAlignment w:val="auto"/>
        <w:rPr>
          <w:rFonts w:hint="eastAsia" w:hAnsi="宋体"/>
          <w:kern w:val="2"/>
          <w:szCs w:val="30"/>
        </w:rPr>
      </w:pPr>
      <w:r>
        <w:rPr>
          <w:rFonts w:hint="eastAsia" w:hAnsi="宋体"/>
          <w:kern w:val="2"/>
          <w:szCs w:val="30"/>
        </w:rPr>
        <w:t>上海市市场监督管理局</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276" w:lineRule="auto"/>
        <w:ind w:right="1247" w:firstLine="624"/>
        <w:jc w:val="right"/>
        <w:textAlignment w:val="auto"/>
        <w:rPr>
          <w:rFonts w:hint="eastAsia" w:hAnsi="宋体"/>
          <w:kern w:val="2"/>
          <w:szCs w:val="30"/>
        </w:rPr>
      </w:pPr>
      <w:r>
        <w:rPr>
          <w:rFonts w:hint="eastAsia" w:hAnsi="宋体"/>
          <w:kern w:val="2"/>
          <w:szCs w:val="30"/>
        </w:rPr>
        <w:t>2022年5月2</w:t>
      </w:r>
      <w:r>
        <w:rPr>
          <w:rFonts w:hint="eastAsia" w:hAnsi="宋体"/>
          <w:kern w:val="2"/>
          <w:szCs w:val="30"/>
          <w:lang w:val="en-US" w:eastAsia="zh-CN"/>
        </w:rPr>
        <w:t>9</w:t>
      </w:r>
      <w:r>
        <w:rPr>
          <w:rFonts w:hint="eastAsia" w:hAnsi="宋体"/>
          <w:kern w:val="2"/>
          <w:szCs w:val="30"/>
        </w:rPr>
        <w:t>日</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276" w:lineRule="auto"/>
        <w:ind w:firstLine="624"/>
        <w:jc w:val="both"/>
        <w:textAlignment w:val="auto"/>
        <w:rPr>
          <w:rFonts w:hint="eastAsia" w:hAnsi="宋体"/>
          <w:kern w:val="2"/>
          <w:szCs w:val="30"/>
        </w:rPr>
      </w:pPr>
      <w:r>
        <w:rPr>
          <w:rFonts w:hint="eastAsia" w:hAnsi="宋体"/>
          <w:kern w:val="2"/>
          <w:szCs w:val="30"/>
        </w:rPr>
        <w:t>（此件公开发布）</w:t>
      </w:r>
    </w:p>
    <w:p>
      <w:pPr>
        <w:keepNext w:val="0"/>
        <w:keepLines w:val="0"/>
        <w:pageBreakBefore w:val="0"/>
        <w:widowControl w:val="0"/>
        <w:tabs>
          <w:tab w:val="left" w:pos="790"/>
        </w:tabs>
        <w:kinsoku/>
        <w:wordWrap/>
        <w:overflowPunct w:val="0"/>
        <w:topLinePunct w:val="0"/>
        <w:autoSpaceDE/>
        <w:autoSpaceDN/>
        <w:bidi w:val="0"/>
        <w:adjustRightInd w:val="0"/>
        <w:snapToGrid w:val="0"/>
        <w:spacing w:line="216" w:lineRule="auto"/>
        <w:jc w:val="center"/>
        <w:textAlignment w:val="auto"/>
        <w:rPr>
          <w:rFonts w:hint="eastAsia" w:ascii="方正小标宋简体" w:hAnsi="宋体" w:eastAsia="方正小标宋简体"/>
          <w:kern w:val="2"/>
          <w:sz w:val="44"/>
          <w:szCs w:val="44"/>
        </w:rPr>
      </w:pPr>
      <w:r>
        <w:rPr>
          <w:rFonts w:hint="eastAsia" w:ascii="方正小标宋简体" w:hAnsi="宋体" w:eastAsia="方正小标宋简体"/>
          <w:kern w:val="2"/>
          <w:sz w:val="44"/>
          <w:szCs w:val="44"/>
        </w:rPr>
        <w:t>上海市特殊食品生产企业食品质量安全</w:t>
      </w:r>
    </w:p>
    <w:p>
      <w:pPr>
        <w:keepNext w:val="0"/>
        <w:keepLines w:val="0"/>
        <w:pageBreakBefore w:val="0"/>
        <w:widowControl w:val="0"/>
        <w:tabs>
          <w:tab w:val="left" w:pos="790"/>
        </w:tabs>
        <w:kinsoku/>
        <w:wordWrap/>
        <w:overflowPunct w:val="0"/>
        <w:topLinePunct w:val="0"/>
        <w:autoSpaceDE/>
        <w:autoSpaceDN/>
        <w:bidi w:val="0"/>
        <w:adjustRightInd w:val="0"/>
        <w:snapToGrid w:val="0"/>
        <w:spacing w:line="216" w:lineRule="auto"/>
        <w:jc w:val="center"/>
        <w:textAlignment w:val="auto"/>
        <w:rPr>
          <w:rFonts w:hint="eastAsia" w:ascii="方正小标宋简体" w:hAnsi="宋体" w:eastAsia="方正小标宋简体"/>
          <w:kern w:val="2"/>
          <w:sz w:val="44"/>
          <w:szCs w:val="44"/>
        </w:rPr>
      </w:pPr>
      <w:r>
        <w:rPr>
          <w:rFonts w:hint="eastAsia" w:ascii="方正小标宋简体" w:hAnsi="宋体" w:eastAsia="方正小标宋简体"/>
          <w:kern w:val="2"/>
          <w:sz w:val="44"/>
          <w:szCs w:val="44"/>
        </w:rPr>
        <w:t>受权人管理办法</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0" w:lineRule="auto"/>
        <w:ind w:firstLine="624"/>
        <w:jc w:val="both"/>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0" w:lineRule="auto"/>
        <w:ind w:firstLine="624"/>
        <w:jc w:val="both"/>
        <w:textAlignment w:val="auto"/>
        <w:rPr>
          <w:rFonts w:hint="eastAsia" w:ascii="黑体" w:hAnsi="黑体" w:eastAsia="黑体" w:cs="黑体"/>
          <w:kern w:val="2"/>
          <w:szCs w:val="30"/>
        </w:rPr>
      </w:pPr>
      <w:r>
        <w:rPr>
          <w:rFonts w:hint="eastAsia" w:ascii="黑体" w:hAnsi="黑体" w:eastAsia="黑体" w:cs="黑体"/>
          <w:kern w:val="2"/>
          <w:szCs w:val="30"/>
        </w:rPr>
        <w:t>第一条（目的依据）</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0" w:lineRule="auto"/>
        <w:ind w:firstLine="624"/>
        <w:jc w:val="both"/>
        <w:textAlignment w:val="auto"/>
        <w:rPr>
          <w:rFonts w:hint="eastAsia" w:hAnsi="宋体"/>
          <w:kern w:val="2"/>
          <w:szCs w:val="30"/>
        </w:rPr>
      </w:pPr>
      <w:r>
        <w:rPr>
          <w:rFonts w:hint="eastAsia" w:hAnsi="宋体"/>
          <w:kern w:val="2"/>
          <w:szCs w:val="30"/>
        </w:rPr>
        <w:t>为规范和加强特殊食品生产企业质量管理体系的有效运行，明确食品质量安全受权人的质量管理职责，确保特殊食品质量安全，根据《中华人民共和国食品安全法》《中华人民共和国食品安全法实施条例》等法律法规规范的规定，结合本市实际，制定本办法。</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0" w:lineRule="auto"/>
        <w:ind w:firstLine="624"/>
        <w:jc w:val="both"/>
        <w:textAlignment w:val="auto"/>
        <w:rPr>
          <w:rFonts w:hint="eastAsia" w:ascii="黑体" w:hAnsi="黑体" w:eastAsia="黑体" w:cs="黑体"/>
          <w:kern w:val="2"/>
          <w:szCs w:val="30"/>
        </w:rPr>
      </w:pPr>
      <w:r>
        <w:rPr>
          <w:rFonts w:hint="eastAsia" w:ascii="黑体" w:hAnsi="黑体" w:eastAsia="黑体" w:cs="黑体"/>
          <w:kern w:val="2"/>
          <w:szCs w:val="30"/>
        </w:rPr>
        <w:t>第二条（适用范围）</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0" w:lineRule="auto"/>
        <w:ind w:firstLine="624"/>
        <w:jc w:val="both"/>
        <w:textAlignment w:val="auto"/>
        <w:rPr>
          <w:rFonts w:hint="eastAsia" w:hAnsi="宋体"/>
          <w:kern w:val="2"/>
          <w:szCs w:val="30"/>
        </w:rPr>
      </w:pPr>
      <w:r>
        <w:rPr>
          <w:rFonts w:hint="eastAsia" w:hAnsi="宋体"/>
          <w:kern w:val="2"/>
          <w:szCs w:val="30"/>
        </w:rPr>
        <w:t>本办法适用于本市特殊食品生产企业的食品质量安全管理活动，包括企业生产质量管理体系检查、日常检查，以及食品安全信用分级的评估管理等。</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0" w:lineRule="auto"/>
        <w:ind w:firstLine="624"/>
        <w:jc w:val="both"/>
        <w:textAlignment w:val="auto"/>
        <w:rPr>
          <w:rFonts w:hint="eastAsia" w:hAnsi="宋体"/>
          <w:kern w:val="2"/>
          <w:szCs w:val="30"/>
        </w:rPr>
      </w:pPr>
      <w:r>
        <w:rPr>
          <w:rFonts w:hint="eastAsia" w:hAnsi="宋体"/>
          <w:kern w:val="2"/>
          <w:szCs w:val="30"/>
        </w:rPr>
        <w:t>本办法所称的食品质量安全受权人是指具有相应专业技术岗位工作经验，经企业主要负责人授权并报告市场监督管理部门，全面负责特殊食品生产企业的食品质量安全的专业管理人员。</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0" w:lineRule="auto"/>
        <w:ind w:firstLine="624"/>
        <w:jc w:val="both"/>
        <w:textAlignment w:val="auto"/>
        <w:rPr>
          <w:rFonts w:hint="eastAsia" w:ascii="黑体" w:hAnsi="黑体" w:eastAsia="黑体" w:cs="黑体"/>
          <w:kern w:val="2"/>
          <w:szCs w:val="30"/>
        </w:rPr>
      </w:pPr>
      <w:r>
        <w:rPr>
          <w:rFonts w:hint="eastAsia" w:ascii="黑体" w:hAnsi="黑体" w:eastAsia="黑体" w:cs="黑体"/>
          <w:kern w:val="2"/>
          <w:szCs w:val="30"/>
        </w:rPr>
        <w:t>第三条（职责分工）</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0" w:lineRule="auto"/>
        <w:ind w:firstLine="624"/>
        <w:jc w:val="both"/>
        <w:textAlignment w:val="auto"/>
        <w:rPr>
          <w:rFonts w:hint="eastAsia" w:hAnsi="宋体"/>
          <w:kern w:val="2"/>
          <w:szCs w:val="30"/>
        </w:rPr>
      </w:pPr>
      <w:r>
        <w:rPr>
          <w:rFonts w:hint="eastAsia" w:hAnsi="宋体"/>
          <w:kern w:val="2"/>
          <w:szCs w:val="30"/>
        </w:rPr>
        <w:t>上海市市场监督管理局（以下简称“市市场监管局”）负责本市特殊食品生产企业食品质量安全受权人制度落实的监督管理工作，负责实施本办法的计划、监督和指导。</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0" w:lineRule="auto"/>
        <w:ind w:firstLine="624"/>
        <w:jc w:val="both"/>
        <w:textAlignment w:val="auto"/>
        <w:rPr>
          <w:rFonts w:hint="eastAsia" w:hAnsi="宋体"/>
          <w:kern w:val="2"/>
          <w:szCs w:val="30"/>
        </w:rPr>
      </w:pPr>
      <w:r>
        <w:rPr>
          <w:rFonts w:hint="eastAsia" w:hAnsi="宋体"/>
          <w:kern w:val="2"/>
          <w:szCs w:val="30"/>
        </w:rPr>
        <w:t>各区市场监督管理局（以下简称“区市场监管局”）负责辖区内特殊食品生产企业食品质量安全受权人制度实施情况的监督管理。</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ascii="黑体" w:hAnsi="黑体" w:eastAsia="黑体" w:cs="黑体"/>
          <w:kern w:val="2"/>
          <w:szCs w:val="30"/>
        </w:rPr>
      </w:pPr>
      <w:r>
        <w:rPr>
          <w:rFonts w:hint="eastAsia" w:ascii="黑体" w:hAnsi="黑体" w:eastAsia="黑体" w:cs="黑体"/>
          <w:kern w:val="2"/>
          <w:szCs w:val="30"/>
        </w:rPr>
        <w:t>第四条（食品质量安全受权人的职责）</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食品质量安全受权人负责保证企业生产质量管理体系的有效运行，根据企业主要负责人授权，独立履行生产质量安全管理职责，具体承担以下职责：</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（一）保证本企业特殊食品生产过程对食品安全法律、法规及质量管理规范等方面的合规性；</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（二）组织建立和完善本企业特殊食品生产质量管理体系，并对体系实施情况进行监控，确保其有效运行；</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（三）根据企业主要负责人授权，对影响特殊食品质量安全的管理活动行使决定权、否决权；</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（四）组织开展特殊食品生产质量管理体系和食品安全状况的自查，撰写自查报告，并向市场监管部门报告，定期组织开展生产质量管理体系的内审工作；</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（五）负责本企业食品从业人员的质量相关工作的培训和考核管理；</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（六）参与产品研发和技术工艺改造，组织制定、修订企业标准和产品标准；</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（七）汇总产品质量安全信息，定期召开食品质量安全分析会，对产品的安全性和质量稳定性进行系统分析，查找并消除食品安全隐患；</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（八）参与产品经营环节的质量安全管理，确保产品在流通过程中按质量安全要求的条件储存、运输；参与经营过程中消费者对产品质量投诉、不合格食品处理，以及食品安全宣传、广告管理等工作；</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（九）定期或根据实际向企业主要负责人汇报食品质量安全管理情况，负责质量管理部门的日常管理。</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ascii="黑体" w:hAnsi="黑体" w:eastAsia="黑体" w:cs="黑体"/>
          <w:kern w:val="2"/>
          <w:szCs w:val="30"/>
        </w:rPr>
      </w:pPr>
      <w:r>
        <w:rPr>
          <w:rFonts w:hint="eastAsia" w:ascii="黑体" w:hAnsi="黑体" w:eastAsia="黑体" w:cs="黑体"/>
          <w:kern w:val="2"/>
          <w:szCs w:val="30"/>
        </w:rPr>
        <w:t>第五条（食品质量安全受权人的任职条件）</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企业在具备以下条件的在职食品安全管理人员中选用和确定食品质量安全受权人：</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（一）熟悉国家食品安全相关法律法规，能够正确理解、掌握和实施食品安全质量管理体系有关规定；</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二）具备相应的专业知识背景，具有食品或相关专业大学本科以上（含本科）学历或具有中级以上（含中级）专业技术职称，并具有5年以上（含5年）食品生产和质量管理实践经验，熟悉和了解企业自有产品的生产工艺和技术标准等；</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（三）熟悉食品生产质量管理工作，具有良好的组织、沟通和协调能力。具备指导或监督企业各部门按规定实施食品安全质量管理体系的专业技能和解决实际问题的能力；</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（四）遵纪守法，恪守职业道德，无违法违规的不良记录。</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ascii="黑体" w:hAnsi="黑体" w:eastAsia="黑体" w:cs="黑体"/>
          <w:kern w:val="2"/>
          <w:szCs w:val="30"/>
        </w:rPr>
      </w:pPr>
      <w:r>
        <w:rPr>
          <w:rFonts w:hint="eastAsia" w:ascii="黑体" w:hAnsi="黑体" w:eastAsia="黑体" w:cs="黑体"/>
          <w:kern w:val="2"/>
          <w:szCs w:val="30"/>
        </w:rPr>
        <w:t>第六条（食品质量安全受权人的决定权）</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企业主要负责人可以授权食品质量安全受权人，对下列影响特殊食品质量安全的管理活动行使决定权：</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（一）质量管理文件的批准；</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（二）主要原辅料及成品质量控制标准的批准；</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（三）生产工艺验证和关键工艺参数的批准；</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（四）生产工艺规程和批生产记录的审核或批准；</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（五）与产品质量安全相关的变更事项的批准；</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（六）每批次产品（成品）放行的批准；</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（七）不合格产品召回、处理的审核或批准。</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ascii="黑体" w:hAnsi="黑体" w:eastAsia="黑体" w:cs="黑体"/>
          <w:kern w:val="2"/>
          <w:szCs w:val="30"/>
        </w:rPr>
      </w:pPr>
      <w:r>
        <w:rPr>
          <w:rFonts w:hint="eastAsia" w:ascii="黑体" w:hAnsi="黑体" w:eastAsia="黑体" w:cs="黑体"/>
          <w:kern w:val="2"/>
          <w:szCs w:val="30"/>
        </w:rPr>
        <w:t>第七条（食品质量安全受权人的否决权）</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企业主要负责人可以授权食品质量安全受权人，对产品质量安全有重大影响的下列情形行使否决权：</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（一）主要原辅料供应商的选取；</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（二）生产、质量、检验等部门的关键岗位人员的选用；</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（三）关键生产设备、技术工艺、检验设备的选取。</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ascii="黑体" w:hAnsi="黑体" w:eastAsia="黑体" w:cs="黑体"/>
          <w:kern w:val="2"/>
          <w:szCs w:val="30"/>
        </w:rPr>
      </w:pPr>
      <w:r>
        <w:rPr>
          <w:rFonts w:hint="eastAsia" w:ascii="黑体" w:hAnsi="黑体" w:eastAsia="黑体" w:cs="黑体"/>
          <w:kern w:val="2"/>
          <w:szCs w:val="30"/>
        </w:rPr>
        <w:t>第八条（与市场监管部门的沟通）</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食品质量安全受权人每年至少一次向所在地区市场监管局报告企业生产质量管理体系运行情况和食品安全状况的自查情况，及时反映企业质量管理工作中发现的问题。</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在企业接受质量管理体系认证或跟踪检查等现场检查期间，食品质量安全受权人作为企业的陪同人员，协助检查组开展现场检查；在现场检查结束后及时将缺陷项目的整改情况报告所在地区市场监管局。</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发现企业存在食品安全事故潜在风险的，食品质量安全受权人应当立即停止食品生产经营活动，报告企业主要负责人，并报告所在地区市场监管局；企业发生重大食品安全事故、重大舆情事件等，食品质量安全受权人应当立即报告市市场监管局。</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ascii="黑体" w:hAnsi="黑体" w:eastAsia="黑体" w:cs="黑体"/>
          <w:kern w:val="2"/>
          <w:szCs w:val="30"/>
        </w:rPr>
      </w:pPr>
      <w:r>
        <w:rPr>
          <w:rFonts w:hint="eastAsia" w:ascii="黑体" w:hAnsi="黑体" w:eastAsia="黑体" w:cs="黑体"/>
          <w:kern w:val="2"/>
          <w:szCs w:val="30"/>
        </w:rPr>
        <w:t>第九条（学习培训）</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食品质量安全受权人在岗期间，在加强法律法规及专业知识学习的同时，积极参加各类有利于提高质量安全管理能力的学习和培训活动，鼓励参加继续教育学习培训。</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spacing w:val="-6"/>
          <w:kern w:val="2"/>
          <w:sz w:val="32"/>
          <w:szCs w:val="30"/>
        </w:rPr>
      </w:pPr>
      <w:r>
        <w:rPr>
          <w:rFonts w:hint="eastAsia" w:hAnsi="宋体"/>
          <w:spacing w:val="-6"/>
          <w:kern w:val="2"/>
          <w:sz w:val="32"/>
          <w:szCs w:val="30"/>
        </w:rPr>
        <w:t>食品质量安全受权人每年在岗期间学习培训不得少于60小时。</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市场监管部门对企业食品质量安全受权人随机进行监督抽查考核。</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ascii="黑体" w:hAnsi="黑体" w:eastAsia="黑体" w:cs="黑体"/>
          <w:kern w:val="2"/>
          <w:szCs w:val="30"/>
        </w:rPr>
      </w:pPr>
      <w:r>
        <w:rPr>
          <w:rFonts w:hint="eastAsia" w:ascii="黑体" w:hAnsi="黑体" w:eastAsia="黑体" w:cs="黑体"/>
          <w:kern w:val="2"/>
          <w:szCs w:val="30"/>
        </w:rPr>
        <w:t>第十条（企业的管理职责）</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特殊食品生产企业主要负责人是食品质量安全的第一责任人。设立食品质量安全受权人的企业，不能因此而免除食品质量安全第一责任人的责任。</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特殊食品生产企业主要负责人为食品质量安全受权人履行职责提供必要的条件，督促和要求企业相关部门配合食品质量安全受权人按照本办法规定履行质量安全管理职责和开展相关工作，确保食品质量安全受权人履职的独立性和有效实施。</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特殊食品生产企业建立健全企业食品质量安全受权人对企业产品进行审核并放行的批准和相关操作，行使相关决定权、否决权及参与相关事项决策和处理，有明确的记录，包括会议纪要、批准审核、文件会签、信息系统操作记录等，企业予以存档管理。</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ascii="黑体" w:hAnsi="黑体" w:eastAsia="黑体" w:cs="黑体"/>
          <w:kern w:val="2"/>
          <w:szCs w:val="30"/>
        </w:rPr>
      </w:pPr>
      <w:r>
        <w:rPr>
          <w:rFonts w:hint="eastAsia" w:ascii="黑体" w:hAnsi="黑体" w:eastAsia="黑体" w:cs="黑体"/>
          <w:kern w:val="2"/>
          <w:szCs w:val="30"/>
        </w:rPr>
        <w:t>第十一条（食品质量安全受权人的授权）</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特殊食品生产企业主要负责人与食品质量安全受权人签订授权书，明确食品质量安全受权人的职责、权限和期限。</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特殊食品生产企业原则上只任命一名食品质量安全受权人，对质量管理负全面责任；具有多个生产基地的企业，每个生产基地可以增设一名食品质量安全受权人。</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食品质量安全受权人确因工作需要，可根据企业设定的批准程序，将质量管理的部分具体工作委托给其他食品质量安全管理人员。接受委托的食品质量安全管理人员应当相对固定，具有相应的专业背景、技能及专业技术岗位工作经验，能够履行生产质量安全管理职责。</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食品质量安全受权人必须对委托的食品质量安全管理工作负责（即授权不授责）。接受委托的食品质量安全管理人员的培训由食品质量安全受权人负责组织。</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ascii="黑体" w:hAnsi="黑体" w:eastAsia="黑体" w:cs="黑体"/>
          <w:kern w:val="2"/>
          <w:szCs w:val="30"/>
        </w:rPr>
      </w:pPr>
      <w:r>
        <w:rPr>
          <w:rFonts w:hint="eastAsia" w:ascii="黑体" w:hAnsi="黑体" w:eastAsia="黑体" w:cs="黑体"/>
          <w:kern w:val="2"/>
          <w:szCs w:val="30"/>
        </w:rPr>
        <w:t>第十二条（信息报告）</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特殊食品生产企业按照本办法确定食品质量安全受权人人选，在企业主要负责人与食品质量安全受权人签订授权书之日起30个工作日内，将食品质量安全受权人基本信息、授权事项等相关材料报告市市场监管局。</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新开办企业在取得许可证后，及时完成食品质量安全受权人的报告工作。</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特殊食品生产企业的食品质量安全受权人保持相对稳定，确需变更食品质量安全受权人时，企业主要负责人、原食品质量安全受权人分别书面说明变更原因，按照上述时限，将新的食品质量安全受权人相关材料报告市市场监管局。</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ascii="黑体" w:hAnsi="黑体" w:eastAsia="黑体" w:cs="黑体"/>
          <w:kern w:val="2"/>
          <w:szCs w:val="30"/>
        </w:rPr>
      </w:pPr>
      <w:r>
        <w:rPr>
          <w:rFonts w:hint="eastAsia" w:ascii="黑体" w:hAnsi="黑体" w:eastAsia="黑体" w:cs="黑体"/>
          <w:kern w:val="2"/>
          <w:szCs w:val="30"/>
        </w:rPr>
        <w:t>第十三条（信息公示管理）</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特殊食品生产企业在企业网站或公示栏，对符合任职条件的食品质量安全受权人的人选及变动情况进行公示。</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ascii="黑体" w:hAnsi="黑体" w:eastAsia="黑体" w:cs="黑体"/>
          <w:kern w:val="2"/>
          <w:szCs w:val="30"/>
        </w:rPr>
      </w:pPr>
      <w:r>
        <w:rPr>
          <w:rFonts w:hint="eastAsia" w:ascii="黑体" w:hAnsi="黑体" w:eastAsia="黑体" w:cs="黑体"/>
          <w:kern w:val="2"/>
          <w:szCs w:val="30"/>
        </w:rPr>
        <w:t>第十四条（监督检查）</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市场监管部门在日常监督检查、体系检查和跟踪复查等食品安全监管工作中，加强对特殊食品生产企业食品质量安全受权人制度履行情况的检查。</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spacing w:val="-4"/>
          <w:kern w:val="2"/>
          <w:sz w:val="32"/>
          <w:szCs w:val="30"/>
        </w:rPr>
      </w:pPr>
      <w:r>
        <w:rPr>
          <w:rFonts w:hint="eastAsia" w:hAnsi="宋体"/>
          <w:kern w:val="2"/>
          <w:szCs w:val="30"/>
        </w:rPr>
        <w:t>特殊食品生产企业未按规定任命食品质量安全受权人的，或者任命的食品质量安全受权人不符合要求的，以及其他不符合本</w:t>
      </w:r>
      <w:r>
        <w:rPr>
          <w:rFonts w:hint="eastAsia" w:hAnsi="宋体"/>
          <w:spacing w:val="-4"/>
          <w:kern w:val="2"/>
          <w:sz w:val="32"/>
          <w:szCs w:val="30"/>
        </w:rPr>
        <w:t>办法要求的，市场监管部门可以约谈企业主要负责人，提出行政建议；对于不符合要求的食品质量安全受权人，建议企业变更人员。</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ascii="黑体" w:hAnsi="黑体" w:eastAsia="黑体" w:cs="黑体"/>
          <w:kern w:val="2"/>
          <w:szCs w:val="30"/>
        </w:rPr>
      </w:pPr>
      <w:r>
        <w:rPr>
          <w:rFonts w:hint="eastAsia" w:ascii="黑体" w:hAnsi="黑体" w:eastAsia="黑体" w:cs="黑体"/>
          <w:kern w:val="2"/>
          <w:szCs w:val="30"/>
        </w:rPr>
        <w:t>第十五条（责任追究）</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食品质量安全受权人制度履行情况存在以下情形的，作为不良信用记录的评价因素</w:t>
      </w:r>
      <w:r>
        <w:rPr>
          <w:rFonts w:hint="eastAsia" w:hAnsi="宋体"/>
          <w:kern w:val="2"/>
          <w:szCs w:val="30"/>
          <w:lang w:eastAsia="zh-CN"/>
        </w:rPr>
        <w:t>，</w:t>
      </w:r>
      <w:r>
        <w:rPr>
          <w:rFonts w:hint="eastAsia" w:hAnsi="宋体"/>
          <w:kern w:val="2"/>
          <w:szCs w:val="30"/>
        </w:rPr>
        <w:t>列入特殊食品生产企业当年度食品安全信用分级评定的重要参考因素。</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（一）提交假文凭、假资质证书等，以弄虚作假手段取得食品质量安全受权人资格的；</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（二）在担任食品质量安全受权人期间，未履行食品质量安全受权人主要职责的；</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spacing w:val="-4"/>
          <w:kern w:val="2"/>
          <w:sz w:val="32"/>
          <w:szCs w:val="30"/>
        </w:rPr>
      </w:pPr>
      <w:r>
        <w:rPr>
          <w:rFonts w:hint="eastAsia" w:hAnsi="宋体"/>
          <w:kern w:val="2"/>
          <w:szCs w:val="30"/>
        </w:rPr>
        <w:t>（三）</w:t>
      </w:r>
      <w:r>
        <w:rPr>
          <w:rFonts w:hint="eastAsia" w:hAnsi="宋体"/>
          <w:spacing w:val="-4"/>
          <w:kern w:val="2"/>
          <w:sz w:val="32"/>
          <w:szCs w:val="30"/>
        </w:rPr>
        <w:t>在食品安全质量管理体系实施工作中参与弄虚作假的；</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（四）无故不参加相关培训或连续两次考核不合格的；</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kern w:val="2"/>
          <w:szCs w:val="30"/>
        </w:rPr>
      </w:pPr>
      <w:r>
        <w:rPr>
          <w:rFonts w:hint="eastAsia" w:hAnsi="宋体"/>
          <w:kern w:val="2"/>
          <w:szCs w:val="30"/>
        </w:rPr>
        <w:t>（五）违反食品安全法律法规，造成不良后果的。</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ascii="黑体" w:hAnsi="黑体" w:eastAsia="黑体" w:cs="黑体"/>
          <w:kern w:val="2"/>
          <w:szCs w:val="30"/>
        </w:rPr>
      </w:pPr>
      <w:r>
        <w:rPr>
          <w:rFonts w:hint="eastAsia" w:ascii="黑体" w:hAnsi="黑体" w:eastAsia="黑体" w:cs="黑体"/>
          <w:kern w:val="2"/>
          <w:szCs w:val="30"/>
        </w:rPr>
        <w:t>第十六条（实施日期）</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22" w:lineRule="auto"/>
        <w:ind w:firstLine="624"/>
        <w:jc w:val="both"/>
        <w:textAlignment w:val="auto"/>
        <w:rPr>
          <w:rFonts w:hint="eastAsia" w:hAnsi="宋体"/>
          <w:spacing w:val="-6"/>
          <w:kern w:val="2"/>
          <w:sz w:val="32"/>
          <w:szCs w:val="30"/>
        </w:rPr>
      </w:pPr>
      <w:r>
        <w:rPr>
          <w:rFonts w:hint="eastAsia" w:hAnsi="宋体"/>
          <w:spacing w:val="-6"/>
          <w:kern w:val="2"/>
          <w:sz w:val="32"/>
          <w:szCs w:val="30"/>
        </w:rPr>
        <w:t>本办法自2022年6月6日起施行，有效期至2027年6月5日。</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after="40" w:line="336" w:lineRule="auto"/>
        <w:ind w:firstLine="624"/>
        <w:jc w:val="both"/>
        <w:textAlignment w:val="auto"/>
        <w:rPr>
          <w:rFonts w:hint="eastAsia" w:hAnsi="宋体"/>
          <w:kern w:val="2"/>
          <w:szCs w:val="30"/>
        </w:rPr>
      </w:pPr>
    </w:p>
    <w:p>
      <w:pPr>
        <w:overflowPunct w:val="0"/>
        <w:adjustRightInd w:val="0"/>
        <w:snapToGrid w:val="0"/>
        <w:spacing w:line="336" w:lineRule="auto"/>
        <w:ind w:firstLine="284"/>
        <w:rPr>
          <w:rFonts w:hint="eastAsia" w:hAnsi="宋体"/>
          <w:kern w:val="2"/>
          <w:sz w:val="28"/>
          <w:szCs w:val="28"/>
        </w:rPr>
      </w:pPr>
      <w:r>
        <w:rPr>
          <w:rFonts w:hint="eastAsia"/>
          <w:kern w:val="2"/>
          <w:sz w:val="28"/>
          <w:szCs w:val="28"/>
        </w:rPr>
        <mc:AlternateContent>
          <mc:Choice Requires="wps">
            <w:drawing>
              <wp:anchor distT="0" distB="0" distL="114300" distR="114300" simplePos="0" relativeHeight="251667456" behindDoc="0" locked="1" layoutInCell="1" allowOverlap="1">
                <wp:simplePos x="0" y="0"/>
                <wp:positionH relativeFrom="column">
                  <wp:posOffset>0</wp:posOffset>
                </wp:positionH>
                <wp:positionV relativeFrom="paragraph">
                  <wp:posOffset>262890</wp:posOffset>
                </wp:positionV>
                <wp:extent cx="5615940" cy="0"/>
                <wp:effectExtent l="0" t="0" r="0" b="0"/>
                <wp:wrapNone/>
                <wp:docPr id="3" name="直接连接符 3"/>
                <wp:cNvGraphicFramePr/>
                <a:graphic xmlns:a="http://schemas.openxmlformats.org/drawingml/2006/main">
                  <a:graphicData uri="http://schemas.microsoft.com/office/word/2010/wordprocessingShape">
                    <wps:wsp>
                      <wps:cNvCnPr/>
                      <wps:spPr>
                        <a:xfrm>
                          <a:off x="0" y="0"/>
                          <a:ext cx="5615940" cy="0"/>
                        </a:xfrm>
                        <a:prstGeom prst="line">
                          <a:avLst/>
                        </a:prstGeom>
                        <a:ln w="12700" cap="flat" cmpd="sng">
                          <a:solidFill>
                            <a:srgbClr val="000000"/>
                          </a:solidFill>
                          <a:prstDash val="solid"/>
                          <a:headEnd type="none" w="med" len="med"/>
                          <a:tailEnd type="none" w="med" len="med"/>
                        </a:ln>
                      </wps:spPr>
                      <wps:bodyPr upright="true"/>
                    </wps:wsp>
                  </a:graphicData>
                </a:graphic>
              </wp:anchor>
            </w:drawing>
          </mc:Choice>
          <mc:Fallback>
            <w:pict>
              <v:line id="_x0000_s1026" o:spid="_x0000_s1026" o:spt="20" style="position:absolute;left:0pt;margin-left:0pt;margin-top:20.7pt;height:0pt;width:442.2pt;z-index:251667456;mso-width-relative:page;mso-height-relative:page;" filled="f" stroked="t" coordsize="21600,21600" o:gfxdata="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BYAAABkcnMvUEsBAhQAFAAAAAgA&#10;h07iQDegGDHVAAAABgEAAA8AAAAAAAAAAQAgAAAAOAAAAGRycy9kb3ducmV2LnhtbFBLAQIUABQA&#10;AAAIAIdO4kCPb9iN3QEAAJoDAAAOAAAAAAAAAAEAIAAAADoBAABkcnMvZTJvRG9jLnhtbFBLBQYA&#10;AAAABgAGAFkBAACJBQAAAAA=&#10;">
                <v:fill on="f" focussize="0,0"/>
                <v:stroke weight="1pt" color="#000000" joinstyle="round"/>
                <v:imagedata o:title=""/>
                <o:lock v:ext="edit" aspectratio="f"/>
                <w10:anchorlock/>
              </v:line>
            </w:pict>
          </mc:Fallback>
        </mc:AlternateContent>
      </w:r>
      <w:r>
        <w:rPr>
          <w:rFonts w:hint="eastAsia"/>
          <w:kern w:val="2"/>
          <w:sz w:val="28"/>
          <w:szCs w:val="28"/>
        </w:rPr>
        <mc:AlternateContent>
          <mc:Choice Requires="wps">
            <w:drawing>
              <wp:anchor distT="0" distB="0" distL="114300" distR="114300" simplePos="0" relativeHeight="251666432" behindDoc="0" locked="1" layoutInCell="1" allowOverlap="1">
                <wp:simplePos x="0" y="0"/>
                <wp:positionH relativeFrom="column">
                  <wp:posOffset>0</wp:posOffset>
                </wp:positionH>
                <wp:positionV relativeFrom="paragraph">
                  <wp:posOffset>-50165</wp:posOffset>
                </wp:positionV>
                <wp:extent cx="5615940" cy="0"/>
                <wp:effectExtent l="0" t="0" r="0" b="0"/>
                <wp:wrapNone/>
                <wp:docPr id="2" name="直接连接符 2"/>
                <wp:cNvGraphicFramePr/>
                <a:graphic xmlns:a="http://schemas.openxmlformats.org/drawingml/2006/main">
                  <a:graphicData uri="http://schemas.microsoft.com/office/word/2010/wordprocessingShape">
                    <wps:wsp>
                      <wps:cNvCnPr/>
                      <wps:spPr>
                        <a:xfrm>
                          <a:off x="0" y="0"/>
                          <a:ext cx="5615940" cy="0"/>
                        </a:xfrm>
                        <a:prstGeom prst="line">
                          <a:avLst/>
                        </a:prstGeom>
                        <a:ln w="12700" cap="flat" cmpd="sng">
                          <a:solidFill>
                            <a:srgbClr val="000000"/>
                          </a:solidFill>
                          <a:prstDash val="solid"/>
                          <a:headEnd type="none" w="med" len="med"/>
                          <a:tailEnd type="none" w="med" len="med"/>
                        </a:ln>
                      </wps:spPr>
                      <wps:bodyPr upright="true"/>
                    </wps:wsp>
                  </a:graphicData>
                </a:graphic>
              </wp:anchor>
            </w:drawing>
          </mc:Choice>
          <mc:Fallback>
            <w:pict>
              <v:line id="_x0000_s1026" o:spid="_x0000_s1026" o:spt="20" style="position:absolute;left:0pt;margin-left:0pt;margin-top:-3.95pt;height:0pt;width:442.2pt;z-index:251666432;mso-width-relative:page;mso-height-relative:page;" filled="f" stroked="t" coordsize="21600,21600" o:gfxdata="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WAAAAZHJzL1BLAQIUABQAAAAI&#10;AIdO4kAsgsWV1gAAAAYBAAAPAAAAAAAAAAEAIAAAADgAAABkcnMvZG93bnJldi54bWxQSwECFAAU&#10;AAAACACHTuJA8shtE90BAACaAwAADgAAAAAAAAABACAAAAA7AQAAZHJzL2Uyb0RvYy54bWxQSwUG&#10;AAAAAAYABgBZAQAAigUAAAAA&#10;">
                <v:fill on="f" focussize="0,0"/>
                <v:stroke weight="1pt" color="#000000" joinstyle="round"/>
                <v:imagedata o:title=""/>
                <o:lock v:ext="edit" aspectratio="f"/>
                <w10:anchorlock/>
              </v:line>
            </w:pict>
          </mc:Fallback>
        </mc:AlternateContent>
      </w:r>
      <w:r>
        <w:rPr>
          <w:rFonts w:hint="eastAsia" w:hAnsi="宋体"/>
          <w:kern w:val="2"/>
          <w:sz w:val="28"/>
          <w:szCs w:val="28"/>
        </w:rPr>
        <w:t>上海市市场监督管理局办公室</w:t>
      </w:r>
      <w:r>
        <w:rPr>
          <w:rFonts w:hint="eastAsia" w:hAnsi="宋体"/>
          <w:spacing w:val="-2"/>
          <w:kern w:val="2"/>
          <w:sz w:val="28"/>
          <w:szCs w:val="28"/>
        </w:rPr>
        <w:t xml:space="preserve">               </w:t>
      </w:r>
      <w:r>
        <w:rPr>
          <w:rFonts w:hint="eastAsia" w:hAnsi="宋体"/>
          <w:kern w:val="2"/>
          <w:sz w:val="28"/>
          <w:szCs w:val="28"/>
        </w:rPr>
        <w:t>202</w:t>
      </w:r>
      <w:r>
        <w:rPr>
          <w:rFonts w:hint="default" w:hAnsi="宋体"/>
          <w:kern w:val="2"/>
          <w:sz w:val="28"/>
          <w:szCs w:val="28"/>
          <w:lang w:val="en"/>
        </w:rPr>
        <w:t>2</w:t>
      </w:r>
      <w:r>
        <w:rPr>
          <w:rFonts w:hint="eastAsia" w:hAnsi="宋体"/>
          <w:kern w:val="2"/>
          <w:sz w:val="28"/>
          <w:szCs w:val="28"/>
        </w:rPr>
        <w:t>年</w:t>
      </w:r>
      <w:r>
        <w:rPr>
          <w:rFonts w:hint="eastAsia" w:hAnsi="宋体"/>
          <w:kern w:val="2"/>
          <w:sz w:val="28"/>
          <w:szCs w:val="28"/>
          <w:lang w:val="en-US" w:eastAsia="zh-CN"/>
        </w:rPr>
        <w:t>5</w:t>
      </w:r>
      <w:r>
        <w:rPr>
          <w:rFonts w:hint="eastAsia" w:hAnsi="宋体"/>
          <w:kern w:val="2"/>
          <w:sz w:val="28"/>
          <w:szCs w:val="28"/>
        </w:rPr>
        <w:t>月</w:t>
      </w:r>
      <w:r>
        <w:rPr>
          <w:rFonts w:hint="eastAsia" w:hAnsi="宋体"/>
          <w:kern w:val="2"/>
          <w:sz w:val="28"/>
          <w:szCs w:val="28"/>
          <w:lang w:val="en-US" w:eastAsia="zh-CN"/>
        </w:rPr>
        <w:t>29</w:t>
      </w:r>
      <w:r>
        <w:rPr>
          <w:rFonts w:hint="eastAsia" w:hAnsi="宋体"/>
          <w:kern w:val="2"/>
          <w:sz w:val="28"/>
          <w:szCs w:val="28"/>
        </w:rPr>
        <w:t xml:space="preserve">日印发  </w:t>
      </w:r>
    </w:p>
    <w:sectPr>
      <w:footerReference r:id="rId3" w:type="default"/>
      <w:footerReference r:id="rId4" w:type="even"/>
      <w:pgSz w:w="11906" w:h="16838"/>
      <w:pgMar w:top="2098" w:right="1474" w:bottom="1984" w:left="1587" w:header="851" w:footer="1417" w:gutter="0"/>
      <w:cols w:space="0" w:num="1"/>
      <w:rtlGutter w:val="0"/>
      <w:docGrid w:type="linesAndChars" w:linePitch="57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2010600030101010101"/>
    <w:charset w:val="00"/>
    <w:family w:val="auto"/>
    <w:pitch w:val="default"/>
    <w:sig w:usb0="00000000" w:usb1="00000000" w:usb2="0000001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等线">
    <w:altName w:val="华文仿宋"/>
    <w:panose1 w:val="02010600030101010101"/>
    <w:charset w:val="86"/>
    <w:family w:val="auto"/>
    <w:pitch w:val="default"/>
    <w:sig w:usb0="00000000" w:usb1="00000000" w:usb2="00000016" w:usb3="00000000" w:csb0="0004000F" w:csb1="00000000"/>
  </w:font>
  <w:font w:name="等线">
    <w:altName w:val="汉仪仿宋S"/>
    <w:panose1 w:val="00000000000000000000"/>
    <w:charset w:val="86"/>
    <w:family w:val="auto"/>
    <w:pitch w:val="default"/>
    <w:sig w:usb0="00000000" w:usb1="00000000" w:usb2="00000000" w:usb3="00000000" w:csb0="00000000" w:csb1="00000000"/>
  </w:font>
  <w:font w:name="等线">
    <w:altName w:val="汉仪仿宋S"/>
    <w:panose1 w:val="00000000000000000000"/>
    <w:charset w:val="00"/>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汉仪仿宋S">
    <w:panose1 w:val="00020600040101000101"/>
    <w:charset w:val="86"/>
    <w:family w:val="auto"/>
    <w:pitch w:val="default"/>
    <w:sig w:usb0="A00002BF" w:usb1="38CF7CFA" w:usb2="00000016" w:usb3="00000000" w:csb0="0004009F" w:csb1="00000000"/>
  </w:font>
  <w:font w:name="方正书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left="312" w:right="312"/>
      <w:jc w:val="right"/>
      <w:rPr>
        <w:rFonts w:hint="eastAsia" w:ascii="宋体" w:hAnsi="宋体" w:eastAsia="宋体"/>
        <w:sz w:val="28"/>
        <w:szCs w:val="28"/>
      </w:rPr>
    </w:pPr>
    <w:r>
      <w:rPr>
        <w:rFonts w:hint="eastAsia" w:ascii="宋体" w:hAnsi="宋体" w:eastAsia="宋体"/>
        <w:kern w:val="0"/>
        <w:sz w:val="28"/>
        <w:szCs w:val="28"/>
      </w:rPr>
      <w:t xml:space="preserve">— </w:t>
    </w:r>
    <w:r>
      <w:rPr>
        <w:rFonts w:hint="eastAsia" w:ascii="宋体" w:hAnsi="宋体" w:eastAsia="宋体"/>
        <w:kern w:val="0"/>
        <w:sz w:val="28"/>
        <w:szCs w:val="28"/>
      </w:rPr>
      <w:fldChar w:fldCharType="begin"/>
    </w:r>
    <w:r>
      <w:rPr>
        <w:rFonts w:hint="eastAsia" w:ascii="宋体" w:hAnsi="宋体" w:eastAsia="宋体"/>
        <w:kern w:val="0"/>
        <w:sz w:val="28"/>
        <w:szCs w:val="28"/>
      </w:rPr>
      <w:instrText xml:space="preserve"> PAGE </w:instrText>
    </w:r>
    <w:r>
      <w:rPr>
        <w:rFonts w:hint="eastAsia" w:ascii="宋体" w:hAnsi="宋体" w:eastAsia="宋体"/>
        <w:kern w:val="0"/>
        <w:sz w:val="28"/>
        <w:szCs w:val="28"/>
      </w:rPr>
      <w:fldChar w:fldCharType="separate"/>
    </w:r>
    <w:r>
      <w:rPr>
        <w:rFonts w:ascii="宋体" w:hAnsi="宋体" w:eastAsia="宋体"/>
        <w:kern w:val="0"/>
        <w:sz w:val="28"/>
        <w:szCs w:val="28"/>
      </w:rPr>
      <w:t>1</w:t>
    </w:r>
    <w:r>
      <w:rPr>
        <w:rFonts w:hint="eastAsia" w:ascii="宋体" w:hAnsi="宋体" w:eastAsia="宋体"/>
        <w:kern w:val="0"/>
        <w:sz w:val="28"/>
        <w:szCs w:val="28"/>
      </w:rPr>
      <w:fldChar w:fldCharType="end"/>
    </w:r>
    <w:r>
      <w:rPr>
        <w:rFonts w:hint="eastAsia" w:ascii="宋体" w:hAnsi="宋体" w:eastAsia="宋体"/>
        <w:kern w:val="0"/>
        <w:sz w:val="28"/>
        <w:szCs w:val="2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left="312" w:right="312"/>
      <w:jc w:val="left"/>
      <w:rPr>
        <w:rFonts w:hint="eastAsia" w:ascii="宋体" w:hAnsi="宋体" w:eastAsia="宋体"/>
        <w:sz w:val="28"/>
        <w:szCs w:val="28"/>
      </w:rPr>
    </w:pPr>
    <w:r>
      <w:rPr>
        <w:rFonts w:hint="eastAsia" w:ascii="宋体" w:hAnsi="宋体" w:eastAsia="宋体"/>
        <w:kern w:val="0"/>
        <w:sz w:val="28"/>
        <w:szCs w:val="28"/>
      </w:rPr>
      <w:t xml:space="preserve">— </w:t>
    </w:r>
    <w:r>
      <w:rPr>
        <w:rFonts w:hint="eastAsia" w:ascii="宋体" w:hAnsi="宋体" w:eastAsia="宋体"/>
        <w:kern w:val="0"/>
        <w:sz w:val="28"/>
        <w:szCs w:val="28"/>
      </w:rPr>
      <w:fldChar w:fldCharType="begin"/>
    </w:r>
    <w:r>
      <w:rPr>
        <w:rFonts w:hint="eastAsia" w:ascii="宋体" w:hAnsi="宋体" w:eastAsia="宋体"/>
        <w:kern w:val="0"/>
        <w:sz w:val="28"/>
        <w:szCs w:val="28"/>
      </w:rPr>
      <w:instrText xml:space="preserve"> PAGE </w:instrText>
    </w:r>
    <w:r>
      <w:rPr>
        <w:rFonts w:hint="eastAsia" w:ascii="宋体" w:hAnsi="宋体" w:eastAsia="宋体"/>
        <w:kern w:val="0"/>
        <w:sz w:val="28"/>
        <w:szCs w:val="28"/>
      </w:rPr>
      <w:fldChar w:fldCharType="separate"/>
    </w:r>
    <w:r>
      <w:rPr>
        <w:rFonts w:ascii="宋体" w:hAnsi="宋体" w:eastAsia="宋体"/>
        <w:kern w:val="0"/>
        <w:sz w:val="28"/>
        <w:szCs w:val="28"/>
      </w:rPr>
      <w:t>1</w:t>
    </w:r>
    <w:r>
      <w:rPr>
        <w:rFonts w:hint="eastAsia" w:ascii="宋体" w:hAnsi="宋体" w:eastAsia="宋体"/>
        <w:kern w:val="0"/>
        <w:sz w:val="28"/>
        <w:szCs w:val="28"/>
      </w:rPr>
      <w:fldChar w:fldCharType="end"/>
    </w:r>
    <w:r>
      <w:rPr>
        <w:rFonts w:hint="eastAsia" w:ascii="宋体" w:hAnsi="宋体" w:eastAsia="宋体"/>
        <w:kern w:val="0"/>
        <w:sz w:val="28"/>
        <w:szCs w:val="28"/>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documentProtection w:enforcement="0"/>
  <w:defaultTabStop w:val="420"/>
  <w:evenAndOddHeaders w:val="true"/>
  <w:drawingGridHorizontalSpacing w:val="158"/>
  <w:drawingGridVerticalSpacing w:val="290"/>
  <w:displayHorizontalDrawingGridEvery w:val="2"/>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BkNDA4ODZlMzIyNjdmZjhjZGM1YTYwZDJmZDMzMTAifQ=="/>
  </w:docVars>
  <w:rsids>
    <w:rsidRoot w:val="00D7728F"/>
    <w:rsid w:val="000369D1"/>
    <w:rsid w:val="00053BFC"/>
    <w:rsid w:val="0014368F"/>
    <w:rsid w:val="001668CE"/>
    <w:rsid w:val="00205D58"/>
    <w:rsid w:val="00236C71"/>
    <w:rsid w:val="00267F98"/>
    <w:rsid w:val="00425010"/>
    <w:rsid w:val="004A475B"/>
    <w:rsid w:val="004B5E7D"/>
    <w:rsid w:val="004F42D9"/>
    <w:rsid w:val="00555DF0"/>
    <w:rsid w:val="00604467"/>
    <w:rsid w:val="006340B0"/>
    <w:rsid w:val="006477F7"/>
    <w:rsid w:val="0069448C"/>
    <w:rsid w:val="006949F8"/>
    <w:rsid w:val="00766788"/>
    <w:rsid w:val="0081089F"/>
    <w:rsid w:val="008246EB"/>
    <w:rsid w:val="008808D2"/>
    <w:rsid w:val="008B3FD2"/>
    <w:rsid w:val="0094570F"/>
    <w:rsid w:val="009732D5"/>
    <w:rsid w:val="009E4C98"/>
    <w:rsid w:val="00A301C8"/>
    <w:rsid w:val="00A95617"/>
    <w:rsid w:val="00B221BD"/>
    <w:rsid w:val="00B27929"/>
    <w:rsid w:val="00BD2F71"/>
    <w:rsid w:val="00C36679"/>
    <w:rsid w:val="00C56CF2"/>
    <w:rsid w:val="00CB67D7"/>
    <w:rsid w:val="00D7728F"/>
    <w:rsid w:val="00DA5F29"/>
    <w:rsid w:val="00E3371D"/>
    <w:rsid w:val="00E63866"/>
    <w:rsid w:val="00E771A6"/>
    <w:rsid w:val="00E96C32"/>
    <w:rsid w:val="00EE37EA"/>
    <w:rsid w:val="00F1052A"/>
    <w:rsid w:val="0173342F"/>
    <w:rsid w:val="01CE3A0A"/>
    <w:rsid w:val="07481B68"/>
    <w:rsid w:val="083D5445"/>
    <w:rsid w:val="09CC5D08"/>
    <w:rsid w:val="10B11ED6"/>
    <w:rsid w:val="124B62D5"/>
    <w:rsid w:val="128A6D50"/>
    <w:rsid w:val="14BB6C25"/>
    <w:rsid w:val="22F243ED"/>
    <w:rsid w:val="24DD2C38"/>
    <w:rsid w:val="26C07516"/>
    <w:rsid w:val="2A8645D2"/>
    <w:rsid w:val="2F526BCD"/>
    <w:rsid w:val="35D80B38"/>
    <w:rsid w:val="37FF67EE"/>
    <w:rsid w:val="3F9FE0DD"/>
    <w:rsid w:val="433065FA"/>
    <w:rsid w:val="461F735E"/>
    <w:rsid w:val="4E791BD4"/>
    <w:rsid w:val="5BFD9BC2"/>
    <w:rsid w:val="5D7ABC18"/>
    <w:rsid w:val="5FFF861B"/>
    <w:rsid w:val="69796AD5"/>
    <w:rsid w:val="6D4C0756"/>
    <w:rsid w:val="70654152"/>
    <w:rsid w:val="70A37465"/>
    <w:rsid w:val="74B351A8"/>
    <w:rsid w:val="75EC6617"/>
    <w:rsid w:val="77444D05"/>
    <w:rsid w:val="7958410D"/>
    <w:rsid w:val="7C3C5E6C"/>
    <w:rsid w:val="7C3F770A"/>
    <w:rsid w:val="7EEE2216"/>
    <w:rsid w:val="7EF7A540"/>
    <w:rsid w:val="7F6DD646"/>
    <w:rsid w:val="ADEF5C86"/>
    <w:rsid w:val="AFFE1F7A"/>
    <w:rsid w:val="DDFBE7CF"/>
    <w:rsid w:val="DEEFFBD5"/>
    <w:rsid w:val="F7E12F4A"/>
    <w:rsid w:val="F8FFEA3D"/>
    <w:rsid w:val="FBAF9354"/>
    <w:rsid w:val="FDFF87D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Calibri" w:eastAsia="仿宋_GB2312" w:cs="Times New Roman"/>
      <w:kern w:val="2"/>
      <w:sz w:val="32"/>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9"/>
    <w:semiHidden/>
    <w:unhideWhenUsed/>
    <w:qFormat/>
    <w:uiPriority w:val="99"/>
    <w:rPr>
      <w:sz w:val="18"/>
      <w:szCs w:val="18"/>
    </w:rPr>
  </w:style>
  <w:style w:type="paragraph" w:styleId="3">
    <w:name w:val="footer"/>
    <w:basedOn w:val="1"/>
    <w:link w:val="8"/>
    <w:unhideWhenUsed/>
    <w:qFormat/>
    <w:uiPriority w:val="0"/>
    <w:pPr>
      <w:tabs>
        <w:tab w:val="center" w:pos="4153"/>
        <w:tab w:val="right" w:pos="8306"/>
      </w:tabs>
      <w:snapToGrid w:val="0"/>
      <w:jc w:val="left"/>
    </w:pPr>
    <w:rPr>
      <w:sz w:val="18"/>
      <w:szCs w:val="18"/>
    </w:rPr>
  </w:style>
  <w:style w:type="paragraph" w:styleId="4">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6"/>
    <w:link w:val="4"/>
    <w:qFormat/>
    <w:uiPriority w:val="99"/>
    <w:rPr>
      <w:rFonts w:ascii="仿宋_GB2312" w:hAnsi="Calibri" w:eastAsia="仿宋_GB2312" w:cs="Times New Roman"/>
      <w:kern w:val="2"/>
      <w:sz w:val="18"/>
      <w:szCs w:val="18"/>
    </w:rPr>
  </w:style>
  <w:style w:type="character" w:customStyle="1" w:styleId="8">
    <w:name w:val="页脚 Char"/>
    <w:basedOn w:val="6"/>
    <w:link w:val="3"/>
    <w:qFormat/>
    <w:uiPriority w:val="0"/>
    <w:rPr>
      <w:rFonts w:ascii="仿宋_GB2312" w:hAnsi="Calibri" w:eastAsia="仿宋_GB2312" w:cs="Times New Roman"/>
      <w:kern w:val="2"/>
      <w:sz w:val="18"/>
      <w:szCs w:val="18"/>
    </w:rPr>
  </w:style>
  <w:style w:type="character" w:customStyle="1" w:styleId="9">
    <w:name w:val="批注框文本 Char"/>
    <w:basedOn w:val="6"/>
    <w:link w:val="2"/>
    <w:semiHidden/>
    <w:qFormat/>
    <w:uiPriority w:val="99"/>
    <w:rPr>
      <w:rFonts w:ascii="仿宋_GB2312" w:hAnsi="Calibri" w:eastAsia="仿宋_GB2312" w:cs="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10</Pages>
  <Words>3683</Words>
  <Characters>3695</Characters>
  <Lines>35</Lines>
  <Paragraphs>10</Paragraphs>
  <TotalTime>2</TotalTime>
  <ScaleCrop>false</ScaleCrop>
  <LinksUpToDate>false</LinksUpToDate>
  <CharactersWithSpaces>3696</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2021-11-07T15:11:00Z</dcterms:created>
  <dc:creator>Think</dc:creator>
  <cp:lastModifiedBy>scjuser</cp:lastModifiedBy>
  <cp:lastPrinted>2022-04-29T17:09:00Z</cp:lastPrinted>
  <dcterms:modified xsi:type="dcterms:W3CDTF">2022-05-29T18:02:20Z</dcterms:modified>
  <dc:title>上海市市场监督管理局关于印发</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452E47749F5449D29FDA715E2305D1DC</vt:lpwstr>
  </property>
</Properties>
</file>