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场车生产单位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场车质量安全总监</w:t>
      </w:r>
    </w:p>
    <w:p>
      <w:pPr>
        <w:jc w:val="left"/>
      </w:pPr>
      <w:r>
        <w:rPr>
          <w:rFonts w:ascii="宋体" w:hAnsi="宋体" w:eastAsia="宋体"/>
          <w:sz w:val="24"/>
        </w:rPr>
        <w:t>判断题</w:t>
      </w:r>
    </w:p>
    <w:p>
      <w:pPr>
        <w:jc w:val="left"/>
      </w:pPr>
      <w:r>
        <w:rPr>
          <w:rFonts w:ascii="宋体" w:hAnsi="宋体" w:eastAsia="宋体"/>
          <w:sz w:val="24"/>
        </w:rPr>
        <w:t>1、根据《场(厂)内专用机动车辆安全技术规程》（TSG 81—2022）的规定，从事场车改造的单位，在进行改造施工前，应当按照规定向设备所在地的特种设备安全监督管理部门告知，告知后方可改造。（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81—2022）3.5.1  改造的告知</w:t>
      </w:r>
    </w:p>
    <w:p>
      <w:pPr>
        <w:jc w:val="left"/>
      </w:pPr>
      <w:r>
        <w:rPr>
          <w:rFonts w:ascii="宋体" w:hAnsi="宋体" w:eastAsia="宋体"/>
          <w:sz w:val="24"/>
        </w:rPr>
        <w:t>从事场车改造的单位，在进行改造施工前，应当按照规定向设备所在地的特种设备安全监督管理部门告知，告知后方可改造。</w:t>
      </w:r>
    </w:p>
    <w:p>
      <w:pPr>
        <w:jc w:val="left"/>
      </w:pPr>
      <w:r>
        <w:rPr>
          <w:rFonts w:ascii="宋体" w:hAnsi="宋体" w:eastAsia="宋体"/>
          <w:sz w:val="24"/>
        </w:rPr>
        <w:t>2、根据《场(厂)内专用机动车辆安全技术规程》（TSG 81—2022）的规定，改造涉及场车主参数的，在铭牌中增加改造的主参数信息。（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81—2022）3.5.3改造后的铭牌和标志</w:t>
      </w:r>
    </w:p>
    <w:p>
      <w:pPr>
        <w:jc w:val="left"/>
      </w:pPr>
      <w:r>
        <w:rPr>
          <w:rFonts w:ascii="宋体" w:hAnsi="宋体" w:eastAsia="宋体"/>
          <w:sz w:val="24"/>
        </w:rPr>
        <w:t>改造后，原铭牌不变，同时增加新的场车铭牌，铭牌至少包括从事改造的单位名称、改造日期、许可证编号。改造涉及场车主参数的，在铭牌中增加改造的主参数信息。</w:t>
      </w:r>
    </w:p>
    <w:p>
      <w:pPr>
        <w:jc w:val="left"/>
      </w:pPr>
      <w:r>
        <w:rPr>
          <w:rFonts w:ascii="宋体" w:hAnsi="宋体" w:eastAsia="宋体"/>
          <w:sz w:val="24"/>
        </w:rPr>
        <w:t>改造涉及改变原叉车载荷曲线的，改造单位应当按照3.4.4的要求重新出具标示叉车额定起重量和实际起重量的载荷曲线图或者载荷表。</w:t>
      </w:r>
    </w:p>
    <w:p>
      <w:pPr>
        <w:jc w:val="left"/>
      </w:pPr>
      <w:r>
        <w:rPr>
          <w:rFonts w:ascii="宋体" w:hAnsi="宋体" w:eastAsia="宋体"/>
          <w:sz w:val="24"/>
        </w:rPr>
        <w:t>3、根据《场(厂)内专用机动车辆安全技术规程》（TSG 81—2022）的规定，改造，是指改变原叉车的动力方式、传动方式、车架结构、驾驶方式，观光车辆的动力方式、传动方式，或者改变场车原主参数或者载荷曲线的活动。（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4、根据《场(厂)内专用机动车辆安全技术规程》（TSG 81—2022）的规定，修理，是指更换原叉车的动力装置、转向装置、传动装置、落物保护构件、门架构件，观光车辆的动力装置、车身构件、传动装置，但是不改变场车原主参数或者载荷曲线的活动。（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5、根据《中华人民共和国特种设备安全法》的规定，特种设备的生产单位包括特种设备设计、制造、安装、改造、修理单位。（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6、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7、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8、根据《特种设备安全监察条例》的规定，特种设备安装、改造、维修的施工单位在告知后即可施工。（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9、根据《特种设备安全监察条例》的规定，场车的改造、维修竣工后，改造、维修的施工单位应当在验收后30日内将有关技术资料移交使用单位。（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【来源】第二十条 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10、根据《特种设备作业人员监督管理办法》的规定，用人单位可不建立特种设备作业人员管理档案。（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11、根据《特种设备生产和充装单位许可规则》（TSG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12、根据《特种设备生产和充装单位许可规则》（TSG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13、根据《特种设备安全监督检查办法》的规定，特种设备生产、经营、使用单位和检验、检测机构及其人员应当积极配合市场监督管理部门依法实施的特种设备安全监督检查。（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14、根据《特种设备安全监督检查办法》的规定，未经许可，擅自从事特种设备生产、电梯维护保养、移动式压力容器充装或者气瓶充装活动的，属于重大违法行为。（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15、根据《特种设备事故报告和调查处理规定》的规定，人为破坏或者利用特种设备实施违法犯罪导致的事故，不属于特种设备事故。（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16、根据《特种设备生产单位落实质量安全主体责任监督管理规定》的规定，场车生产单位主要负责人在作出涉及场车质量安全的重大决策前，应当充分听取质量安全总监和质量安全员的意见和建议。（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17、根据《特种设备生产单位落实质量安全主体责任监督管理规定》的规定，质量安全总监、质量安全员发现场车产品存在危及安全的缺陷时，应当提出停止相关场车生产等否决建议，场车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场车产品存在危及安全的缺陷时，应当提出停止相关场车生产等否决建议，场车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18、根据《场(厂)内专用机动车辆安全技术规程》（TSG 81—2022）的规定，场车转向系统应当转动灵活、操纵方便、无卡滞，在任意转向操作时不得与其他部件有干涉。（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81—2022）2.5.3.1一般要求</w:t>
      </w:r>
    </w:p>
    <w:p>
      <w:pPr>
        <w:jc w:val="left"/>
      </w:pPr>
      <w:r>
        <w:rPr>
          <w:rFonts w:ascii="宋体" w:hAnsi="宋体" w:eastAsia="宋体"/>
          <w:sz w:val="24"/>
        </w:rPr>
        <w:t>(1)转向系统应当转动灵活、操纵方便、无卡滞，在任意转向操作时不得与其他部件有干涉；</w:t>
      </w:r>
    </w:p>
    <w:p>
      <w:pPr>
        <w:jc w:val="left"/>
      </w:pPr>
      <w:r>
        <w:rPr>
          <w:rFonts w:ascii="宋体" w:hAnsi="宋体" w:eastAsia="宋体"/>
          <w:sz w:val="24"/>
        </w:rPr>
        <w:t>(2)场车应当具有良好的直线行驶性能和转向跟随性。</w:t>
      </w:r>
    </w:p>
    <w:p>
      <w:pPr>
        <w:jc w:val="left"/>
      </w:pPr>
      <w:r>
        <w:rPr>
          <w:rFonts w:ascii="宋体" w:hAnsi="宋体" w:eastAsia="宋体"/>
          <w:sz w:val="24"/>
        </w:rPr>
        <w:t>19、根据《场(厂)内专用机动车辆安全技术规程》（TSG 81—2022）的规定，场车应当具有良好的直线行驶性能和转向跟随性。（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81—2022）2.5.3.1一般要求</w:t>
      </w:r>
    </w:p>
    <w:p>
      <w:pPr>
        <w:jc w:val="left"/>
      </w:pPr>
      <w:r>
        <w:rPr>
          <w:rFonts w:ascii="宋体" w:hAnsi="宋体" w:eastAsia="宋体"/>
          <w:sz w:val="24"/>
        </w:rPr>
        <w:t>(1)转向系统应当转动灵活、操纵方便、无卡滞，在任意转向操作时不得与其他部件有干涉；</w:t>
      </w:r>
    </w:p>
    <w:p>
      <w:pPr>
        <w:jc w:val="left"/>
      </w:pPr>
      <w:r>
        <w:rPr>
          <w:rFonts w:ascii="宋体" w:hAnsi="宋体" w:eastAsia="宋体"/>
          <w:sz w:val="24"/>
        </w:rPr>
        <w:t>(2)场车应当具有良好的直线行驶性能和转向跟随性。</w:t>
      </w:r>
    </w:p>
    <w:p>
      <w:pPr>
        <w:jc w:val="left"/>
      </w:pPr>
      <w:r>
        <w:rPr>
          <w:rFonts w:ascii="宋体" w:hAnsi="宋体" w:eastAsia="宋体"/>
          <w:sz w:val="24"/>
        </w:rPr>
        <w:t>选择题</w:t>
      </w:r>
    </w:p>
    <w:p>
      <w:pPr>
        <w:jc w:val="left"/>
      </w:pPr>
      <w:r>
        <w:rPr>
          <w:rFonts w:ascii="宋体" w:hAnsi="宋体" w:eastAsia="宋体"/>
          <w:sz w:val="24"/>
        </w:rPr>
        <w:t>1、根据《场(厂)内专用机动车辆安全技术规程》（TSG 81—2022）的规定，制造、改造过程检验记录（      ）。</w:t>
      </w:r>
    </w:p>
    <w:p>
      <w:pPr>
        <w:jc w:val="left"/>
      </w:pPr>
      <w:r>
        <w:rPr>
          <w:rFonts w:ascii="宋体" w:hAnsi="宋体" w:eastAsia="宋体"/>
          <w:sz w:val="24"/>
        </w:rPr>
        <w:t>A、保存不少于3年</w:t>
      </w:r>
    </w:p>
    <w:p>
      <w:pPr>
        <w:jc w:val="left"/>
      </w:pPr>
      <w:r>
        <w:rPr>
          <w:rFonts w:ascii="宋体" w:hAnsi="宋体" w:eastAsia="宋体"/>
          <w:sz w:val="24"/>
        </w:rPr>
        <w:t>B、保存不少于5年</w:t>
      </w:r>
    </w:p>
    <w:p>
      <w:pPr>
        <w:jc w:val="left"/>
      </w:pPr>
      <w:r>
        <w:rPr>
          <w:rFonts w:ascii="宋体" w:hAnsi="宋体" w:eastAsia="宋体"/>
          <w:sz w:val="24"/>
        </w:rPr>
        <w:t>C、保存不少于10年</w:t>
      </w:r>
    </w:p>
    <w:p>
      <w:pPr>
        <w:jc w:val="left"/>
      </w:pPr>
      <w:r>
        <w:rPr>
          <w:rFonts w:ascii="宋体" w:hAnsi="宋体" w:eastAsia="宋体"/>
          <w:sz w:val="24"/>
        </w:rPr>
        <w:t>D、长期保存</w:t>
      </w:r>
    </w:p>
    <w:p>
      <w:pPr>
        <w:jc w:val="left"/>
      </w:pPr>
      <w:r>
        <w:rPr>
          <w:rFonts w:ascii="宋体" w:hAnsi="宋体" w:eastAsia="宋体"/>
          <w:sz w:val="24"/>
        </w:rPr>
        <w:t>【来源】《场(厂)内专用机动车辆安全技术规程》（TSG 81—2022）3.3  产品检验</w:t>
      </w:r>
    </w:p>
    <w:p>
      <w:pPr>
        <w:jc w:val="left"/>
      </w:pPr>
      <w:r>
        <w:rPr>
          <w:rFonts w:ascii="宋体" w:hAnsi="宋体" w:eastAsia="宋体"/>
          <w:sz w:val="24"/>
        </w:rPr>
        <w:t>(4)制造、改造过程检验记录长期保存，修理过程检验记录保存不少于5年。</w:t>
      </w:r>
    </w:p>
    <w:p>
      <w:pPr>
        <w:jc w:val="left"/>
      </w:pPr>
      <w:r>
        <w:rPr>
          <w:rFonts w:ascii="宋体" w:hAnsi="宋体" w:eastAsia="宋体"/>
          <w:sz w:val="24"/>
        </w:rPr>
        <w:t>2、根据《场(厂)内专用机动车辆安全技术规程》（TSG 81—2022）的规定，修理过程检验记录（      ）。</w:t>
      </w:r>
    </w:p>
    <w:p>
      <w:pPr>
        <w:jc w:val="left"/>
      </w:pPr>
      <w:r>
        <w:rPr>
          <w:rFonts w:ascii="宋体" w:hAnsi="宋体" w:eastAsia="宋体"/>
          <w:sz w:val="24"/>
        </w:rPr>
        <w:t>A、保存不少于3年</w:t>
      </w:r>
    </w:p>
    <w:p>
      <w:pPr>
        <w:jc w:val="left"/>
      </w:pPr>
      <w:r>
        <w:rPr>
          <w:rFonts w:ascii="宋体" w:hAnsi="宋体" w:eastAsia="宋体"/>
          <w:sz w:val="24"/>
        </w:rPr>
        <w:t>B、保存不少于5年</w:t>
      </w:r>
    </w:p>
    <w:p>
      <w:pPr>
        <w:jc w:val="left"/>
      </w:pPr>
      <w:r>
        <w:rPr>
          <w:rFonts w:ascii="宋体" w:hAnsi="宋体" w:eastAsia="宋体"/>
          <w:sz w:val="24"/>
        </w:rPr>
        <w:t>C、保存不少于10年</w:t>
      </w:r>
    </w:p>
    <w:p>
      <w:pPr>
        <w:jc w:val="left"/>
      </w:pPr>
      <w:r>
        <w:rPr>
          <w:rFonts w:ascii="宋体" w:hAnsi="宋体" w:eastAsia="宋体"/>
          <w:sz w:val="24"/>
        </w:rPr>
        <w:t>D、长期保存</w:t>
      </w:r>
    </w:p>
    <w:p>
      <w:pPr>
        <w:jc w:val="left"/>
      </w:pPr>
      <w:r>
        <w:rPr>
          <w:rFonts w:ascii="宋体" w:hAnsi="宋体" w:eastAsia="宋体"/>
          <w:sz w:val="24"/>
        </w:rPr>
        <w:t>【来源】《场(厂)内专用机动车辆安全技术规程》（TSG 81—2022）3.3  产品检验</w:t>
      </w:r>
    </w:p>
    <w:p>
      <w:pPr>
        <w:jc w:val="left"/>
      </w:pPr>
      <w:r>
        <w:rPr>
          <w:rFonts w:ascii="宋体" w:hAnsi="宋体" w:eastAsia="宋体"/>
          <w:sz w:val="24"/>
        </w:rPr>
        <w:t>(4)制造、改造过程检验记录长期保存，修理过程检验记录保存不少于5年。</w:t>
      </w:r>
    </w:p>
    <w:p>
      <w:pPr>
        <w:jc w:val="left"/>
      </w:pPr>
      <w:r>
        <w:rPr>
          <w:rFonts w:ascii="宋体" w:hAnsi="宋体" w:eastAsia="宋体"/>
          <w:sz w:val="24"/>
        </w:rPr>
        <w:t>3、根据《场(厂)内专用机动车辆安全技术规程》（TSG 81—2022）的规定，委托生产的场车，产品合格证由委托方出具，制造地址填写（      ）地址。</w:t>
      </w:r>
    </w:p>
    <w:p>
      <w:pPr>
        <w:jc w:val="left"/>
      </w:pPr>
      <w:r>
        <w:rPr>
          <w:rFonts w:ascii="宋体" w:hAnsi="宋体" w:eastAsia="宋体"/>
          <w:sz w:val="24"/>
        </w:rPr>
        <w:t>A、委托方单位</w:t>
      </w:r>
    </w:p>
    <w:p>
      <w:pPr>
        <w:jc w:val="left"/>
      </w:pPr>
      <w:r>
        <w:rPr>
          <w:rFonts w:ascii="宋体" w:hAnsi="宋体" w:eastAsia="宋体"/>
          <w:sz w:val="24"/>
        </w:rPr>
        <w:t>B、被委托方单位</w:t>
      </w:r>
    </w:p>
    <w:p>
      <w:pPr>
        <w:jc w:val="left"/>
      </w:pPr>
      <w:r>
        <w:rPr>
          <w:rFonts w:ascii="宋体" w:hAnsi="宋体" w:eastAsia="宋体"/>
          <w:sz w:val="24"/>
        </w:rPr>
        <w:t>C、使用单位</w:t>
      </w:r>
    </w:p>
    <w:p>
      <w:pPr>
        <w:jc w:val="left"/>
      </w:pPr>
      <w:r>
        <w:rPr>
          <w:rFonts w:ascii="宋体" w:hAnsi="宋体" w:eastAsia="宋体"/>
          <w:sz w:val="24"/>
        </w:rPr>
        <w:t>D、实际制造</w:t>
      </w:r>
    </w:p>
    <w:p>
      <w:pPr>
        <w:jc w:val="left"/>
      </w:pPr>
      <w:r>
        <w:rPr>
          <w:rFonts w:ascii="宋体" w:hAnsi="宋体" w:eastAsia="宋体"/>
          <w:sz w:val="24"/>
        </w:rPr>
        <w:t>【来源】《场(厂)内专用机动车辆安全技术规程》（TSG 81—2022）3.4.2 产品质量合格证明</w:t>
      </w:r>
    </w:p>
    <w:p>
      <w:pPr>
        <w:jc w:val="left"/>
      </w:pPr>
      <w:r>
        <w:rPr>
          <w:rFonts w:ascii="宋体" w:hAnsi="宋体" w:eastAsia="宋体"/>
          <w:sz w:val="24"/>
        </w:rPr>
        <w:t>委托生产的场车，产品合格证由委托方出具，制造单位名称、许可证编号和型式试验证书编号应当同时填写委托方与被委托方信息，制造地址填写实际制造地址。</w:t>
      </w:r>
    </w:p>
    <w:p>
      <w:pPr>
        <w:jc w:val="left"/>
      </w:pPr>
      <w:r>
        <w:rPr>
          <w:rFonts w:ascii="宋体" w:hAnsi="宋体" w:eastAsia="宋体"/>
          <w:sz w:val="24"/>
        </w:rPr>
        <w:t>4、根据《场(厂)内专用机动车辆安全技术规程》（TSG 81—2022）的规定，叉车应当在醒目的位置以（      ）形式设置具有下列含义的安全标志：禁止站在货叉上、禁止站在货叉下、手指或者手被挤压风险提示，配备安全带的叉车还应当包括扣紧安全带。</w:t>
      </w:r>
    </w:p>
    <w:p>
      <w:pPr>
        <w:jc w:val="left"/>
      </w:pPr>
      <w:r>
        <w:rPr>
          <w:rFonts w:ascii="宋体" w:hAnsi="宋体" w:eastAsia="宋体"/>
          <w:sz w:val="24"/>
        </w:rPr>
        <w:t>A、图形</w:t>
      </w:r>
    </w:p>
    <w:p>
      <w:pPr>
        <w:jc w:val="left"/>
      </w:pPr>
      <w:r>
        <w:rPr>
          <w:rFonts w:ascii="宋体" w:hAnsi="宋体" w:eastAsia="宋体"/>
          <w:sz w:val="24"/>
        </w:rPr>
        <w:t>B、文字</w:t>
      </w:r>
    </w:p>
    <w:p>
      <w:pPr>
        <w:jc w:val="left"/>
      </w:pPr>
      <w:r>
        <w:rPr>
          <w:rFonts w:ascii="宋体" w:hAnsi="宋体" w:eastAsia="宋体"/>
          <w:sz w:val="24"/>
        </w:rPr>
        <w:t>C、图形或文字</w:t>
      </w:r>
    </w:p>
    <w:p>
      <w:pPr>
        <w:jc w:val="left"/>
      </w:pPr>
      <w:r>
        <w:rPr>
          <w:rFonts w:ascii="宋体" w:hAnsi="宋体" w:eastAsia="宋体"/>
          <w:sz w:val="24"/>
        </w:rPr>
        <w:t>D、图形和文字组合</w:t>
      </w:r>
    </w:p>
    <w:p>
      <w:pPr>
        <w:jc w:val="left"/>
      </w:pPr>
      <w:r>
        <w:rPr>
          <w:rFonts w:ascii="宋体" w:hAnsi="宋体" w:eastAsia="宋体"/>
          <w:sz w:val="24"/>
        </w:rPr>
        <w:t>【来源】《场(厂)内专用机动车辆安全技术规程》（TSG 81—2022）3.4.6 安全标志</w:t>
      </w:r>
    </w:p>
    <w:p>
      <w:pPr>
        <w:jc w:val="left"/>
      </w:pPr>
      <w:r>
        <w:rPr>
          <w:rFonts w:ascii="宋体" w:hAnsi="宋体" w:eastAsia="宋体"/>
          <w:sz w:val="24"/>
        </w:rPr>
        <w:t>叉车应当在醒目的位置以图形或者文字形式设置具有下列含义的安全标志：禁止站在货叉上、禁止站在货叉下、手指或者手被挤压风险提示，配备安全带的叉车还应当包括扣紧安全带。</w:t>
      </w:r>
    </w:p>
    <w:p>
      <w:pPr>
        <w:jc w:val="left"/>
      </w:pPr>
      <w:r>
        <w:rPr>
          <w:rFonts w:ascii="宋体" w:hAnsi="宋体" w:eastAsia="宋体"/>
          <w:sz w:val="24"/>
        </w:rPr>
        <w:t>观光车辆应当在醒目的位置以图形或者文字形式设置具有下列含义的安全标志：系好安全带、灭火器、车未停稳前请勿下车。</w:t>
      </w:r>
    </w:p>
    <w:p>
      <w:pPr>
        <w:jc w:val="left"/>
      </w:pPr>
      <w:r>
        <w:rPr>
          <w:rFonts w:ascii="宋体" w:hAnsi="宋体" w:eastAsia="宋体"/>
          <w:sz w:val="24"/>
        </w:rPr>
        <w:t>5、根据《场(厂)内专用机动车辆安全技术规程》（TSG 81—2022）的规定，改造后，场车整车安全性能由（      ）单位负责。</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C、改造</w:t>
      </w:r>
    </w:p>
    <w:p>
      <w:pPr>
        <w:jc w:val="left"/>
      </w:pPr>
      <w:r>
        <w:rPr>
          <w:rFonts w:ascii="宋体" w:hAnsi="宋体" w:eastAsia="宋体"/>
          <w:sz w:val="24"/>
        </w:rPr>
        <w:t>D、使用</w:t>
      </w:r>
    </w:p>
    <w:p>
      <w:pPr>
        <w:jc w:val="left"/>
      </w:pPr>
      <w:r>
        <w:rPr>
          <w:rFonts w:ascii="宋体" w:hAnsi="宋体" w:eastAsia="宋体"/>
          <w:sz w:val="24"/>
        </w:rPr>
        <w:t>【来源】《场(厂)内专用机动车辆安全技术规程》（TSG 81—2022）3.5.2 改造后的产品质量合格证明</w:t>
      </w:r>
    </w:p>
    <w:p>
      <w:pPr>
        <w:jc w:val="left"/>
      </w:pPr>
      <w:r>
        <w:rPr>
          <w:rFonts w:ascii="宋体" w:hAnsi="宋体" w:eastAsia="宋体"/>
          <w:sz w:val="24"/>
        </w:rPr>
        <w:t>改造后，场车整车安全性能由改造单位负责，改造单位应当按照3.4.2出具产品质量合格证明。</w:t>
      </w:r>
    </w:p>
    <w:p>
      <w:pPr>
        <w:jc w:val="left"/>
      </w:pPr>
      <w:r>
        <w:rPr>
          <w:rFonts w:ascii="宋体" w:hAnsi="宋体" w:eastAsia="宋体"/>
          <w:sz w:val="24"/>
        </w:rPr>
        <w:t>6、根据《场(厂)内专用机动车辆安全技术规程》（TSG 81—2022）的规定，场车改造、修理后，改造、修理单位应当按照要求完成检验，检验报告和相关技术资料应当移交（      ）单位存档。</w:t>
      </w:r>
    </w:p>
    <w:p>
      <w:pPr>
        <w:jc w:val="left"/>
      </w:pPr>
      <w:r>
        <w:rPr>
          <w:rFonts w:ascii="宋体" w:hAnsi="宋体" w:eastAsia="宋体"/>
          <w:sz w:val="24"/>
        </w:rPr>
        <w:t>A、生产</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【来源】《场(厂)内专用机动车辆安全技术规程》（TSG 81—2022）3.5.4  改造与修理的检验</w:t>
      </w:r>
    </w:p>
    <w:p>
      <w:pPr>
        <w:jc w:val="left"/>
      </w:pPr>
      <w:r>
        <w:rPr>
          <w:rFonts w:ascii="宋体" w:hAnsi="宋体" w:eastAsia="宋体"/>
          <w:sz w:val="24"/>
        </w:rPr>
        <w:t>(1)场车改造、修理后，改造、修理单位应当按照3.3的要求完成检验，检验报告和相关技术资料应当移交使用单位存档；</w:t>
      </w:r>
    </w:p>
    <w:p>
      <w:pPr>
        <w:jc w:val="left"/>
      </w:pPr>
      <w:r>
        <w:rPr>
          <w:rFonts w:ascii="宋体" w:hAnsi="宋体" w:eastAsia="宋体"/>
          <w:sz w:val="24"/>
        </w:rPr>
        <w:t>(2)场车改造后应当经首次检验合格，并且变更使用登记后方可投入使用。</w:t>
      </w:r>
    </w:p>
    <w:p>
      <w:pPr>
        <w:jc w:val="left"/>
      </w:pPr>
      <w:r>
        <w:rPr>
          <w:rFonts w:ascii="宋体" w:hAnsi="宋体" w:eastAsia="宋体"/>
          <w:sz w:val="24"/>
        </w:rPr>
        <w:t>7、根据《场(厂)内专用机动车辆安全技术规程》（TSG 81—2022）的规定，改造，是指改变原叉车的动力方式、传动方式、车架结构、驾驶方式，观光车辆的动力方式、（      ），或者改变场车原主参数或者载荷曲线的活动。</w:t>
      </w:r>
    </w:p>
    <w:p>
      <w:pPr>
        <w:jc w:val="left"/>
      </w:pPr>
      <w:r>
        <w:rPr>
          <w:rFonts w:ascii="宋体" w:hAnsi="宋体" w:eastAsia="宋体"/>
          <w:sz w:val="24"/>
        </w:rPr>
        <w:t>A、传动方式</w:t>
      </w:r>
    </w:p>
    <w:p>
      <w:pPr>
        <w:jc w:val="left"/>
      </w:pPr>
      <w:r>
        <w:rPr>
          <w:rFonts w:ascii="宋体" w:hAnsi="宋体" w:eastAsia="宋体"/>
          <w:sz w:val="24"/>
        </w:rPr>
        <w:t>B、车架结构</w:t>
      </w:r>
    </w:p>
    <w:p>
      <w:pPr>
        <w:jc w:val="left"/>
      </w:pPr>
      <w:r>
        <w:rPr>
          <w:rFonts w:ascii="宋体" w:hAnsi="宋体" w:eastAsia="宋体"/>
          <w:sz w:val="24"/>
        </w:rPr>
        <w:t>C、驾驶方式</w:t>
      </w:r>
    </w:p>
    <w:p>
      <w:pPr>
        <w:jc w:val="left"/>
      </w:pPr>
      <w:r>
        <w:rPr>
          <w:rFonts w:ascii="宋体" w:hAnsi="宋体" w:eastAsia="宋体"/>
          <w:sz w:val="24"/>
        </w:rPr>
        <w:t>D、转向方式</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10、根据《特种设备安全监察条例》的规定，场车的改造、维修以及竣工后，改造、维修的施工单位应当在验收后（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场车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11、根据《特种设备作业人员监督管理办法》的规定，（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12、根据《特种设备作业人员监督管理办法》的规定，持有《特种设备作业人员证》的人员，必须经用人单位的法定代表人（负责人）或者其授权人（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13、根据《特种设备生产和充装单位许可规则》（TSG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14、根据《特种设备生产和充装单位许可规则》（TSG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15、根据《特种设备生产和充装单位许可规则》（TSG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16、根据《特种设备生产和充装单位许可规则》（TSG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17、根据《特种设备生产和充装单位许可规则》（TSG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18、根据《特种设备生产和充装单位许可规则》（TSG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19、根据《特种设备生产和充装单位许可规则》（TSG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20、根据《特种设备生产和充装单位许可规则》（TSG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23、根据《特种设备事故报告和调查处理导则》（TSG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24、根据《特种设备生产单位落实质量安全主体责任监督管理规定》的规定，质量安全总监和质量安全员应当按照岗位职责，协助单位（      ）做好场车质量安全管理工作。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场车生产单位主要负责人对本单位场车质量安全全面负责，建立并落实场车质量安全主体责任的长效机制。质量安全总监和质量安全员应当按照岗位职责，协助单位主要负责人做好场车质量安全管理工作。</w:t>
      </w:r>
    </w:p>
    <w:p>
      <w:pPr>
        <w:jc w:val="left"/>
      </w:pPr>
      <w:r>
        <w:rPr>
          <w:rFonts w:ascii="宋体" w:hAnsi="宋体" w:eastAsia="宋体"/>
          <w:sz w:val="24"/>
        </w:rPr>
        <w:t>25、根据《特种设备生产单位落实质量安全主体责任监督管理规定》的规定，场车生产单位主要负责人应当（      ）质量安全总监和质量安全员依法开展场车质量安全管理工作。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26、根据《特种设备生产单位落实质量安全主体责任监督管理规定》的规定，场车生产单位主要负责人在作出涉及场车质量安全的（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27、根据《特种设备生产单位落实质量安全主体责任监督管理规定》的规定，质量安全员要每（      ）根据《场车质量安全风险管控清单》进行检查，未发现问题，可不记录。</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28、根据《特种设备生产单位落实质量安全主体责任监督管理规定》的规定，质量安全总监要每（      ）至少组织一次风险隐患排查，分析研判场车质量安全管理情况，研究解决日管控中发现的问题，形成《每周场车质量安全排查治理报告》。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场车生产单位应当建立场车质量安全周排查制度。质量安全总监要每周至少组织一次风险隐患排查，分析研判场车质量安全管理情况，研究解决日管控中发现的问题，形成《每周场车质量安全排查治理报告》。</w:t>
      </w:r>
    </w:p>
    <w:p>
      <w:pPr>
        <w:jc w:val="left"/>
      </w:pPr>
      <w:r>
        <w:rPr>
          <w:rFonts w:ascii="宋体" w:hAnsi="宋体" w:eastAsia="宋体"/>
          <w:sz w:val="24"/>
        </w:rPr>
        <w:t>29、根据《场(厂)内专用机动车辆安全技术规程》（TSG 81—2022）的规定，观光车辆（      ）状态下的侧倾稳定角不小于35°。</w:t>
      </w:r>
    </w:p>
    <w:p>
      <w:pPr>
        <w:jc w:val="left"/>
      </w:pPr>
      <w:r>
        <w:rPr>
          <w:rFonts w:ascii="宋体" w:hAnsi="宋体" w:eastAsia="宋体"/>
          <w:sz w:val="24"/>
        </w:rPr>
        <w:t>A、无载</w:t>
      </w:r>
    </w:p>
    <w:p>
      <w:pPr>
        <w:jc w:val="left"/>
      </w:pPr>
      <w:r>
        <w:rPr>
          <w:rFonts w:ascii="宋体" w:hAnsi="宋体" w:eastAsia="宋体"/>
          <w:sz w:val="24"/>
        </w:rPr>
        <w:t>B、满载</w:t>
      </w:r>
    </w:p>
    <w:p>
      <w:pPr>
        <w:jc w:val="left"/>
      </w:pPr>
      <w:r>
        <w:rPr>
          <w:rFonts w:ascii="宋体" w:hAnsi="宋体" w:eastAsia="宋体"/>
          <w:sz w:val="24"/>
        </w:rPr>
        <w:t>C、半载</w:t>
      </w:r>
    </w:p>
    <w:p>
      <w:pPr>
        <w:jc w:val="left"/>
      </w:pPr>
      <w:r>
        <w:rPr>
          <w:rFonts w:ascii="宋体" w:hAnsi="宋体" w:eastAsia="宋体"/>
          <w:sz w:val="24"/>
        </w:rPr>
        <w:t>D、超载</w:t>
      </w:r>
    </w:p>
    <w:p>
      <w:pPr>
        <w:jc w:val="left"/>
      </w:pPr>
      <w:r>
        <w:rPr>
          <w:rFonts w:ascii="宋体" w:hAnsi="宋体" w:eastAsia="宋体"/>
          <w:sz w:val="24"/>
        </w:rPr>
        <w:t>【来源】《场(厂)内专用机动车辆安全技术规程》（TSG 81—2022）2.1.2  观光车辆技术参数的特殊要求</w:t>
      </w:r>
    </w:p>
    <w:p>
      <w:pPr>
        <w:jc w:val="left"/>
      </w:pPr>
      <w:r>
        <w:rPr>
          <w:rFonts w:ascii="宋体" w:hAnsi="宋体" w:eastAsia="宋体"/>
          <w:sz w:val="24"/>
        </w:rPr>
        <w:t>观光车辆的技术参数应当符合以下要求：</w:t>
      </w:r>
    </w:p>
    <w:p>
      <w:pPr>
        <w:jc w:val="left"/>
      </w:pPr>
      <w:r>
        <w:rPr>
          <w:rFonts w:ascii="宋体" w:hAnsi="宋体" w:eastAsia="宋体"/>
          <w:sz w:val="24"/>
        </w:rPr>
        <w:t>(5)观光车辆无载状态下的侧倾稳定角不小于35°。</w:t>
      </w:r>
    </w:p>
    <w:p>
      <w:pPr>
        <w:jc w:val="left"/>
      </w:pPr>
      <w:r>
        <w:rPr>
          <w:rFonts w:ascii="宋体" w:hAnsi="宋体" w:eastAsia="宋体"/>
          <w:sz w:val="24"/>
        </w:rPr>
        <w:t>30、根据《场(厂)内专用机动车辆安全技术规程》（TSG 81—2022）的规定，观光车辆应当设置（      ）限位装置。</w:t>
      </w:r>
    </w:p>
    <w:p>
      <w:pPr>
        <w:jc w:val="left"/>
      </w:pPr>
      <w:r>
        <w:rPr>
          <w:rFonts w:ascii="宋体" w:hAnsi="宋体" w:eastAsia="宋体"/>
          <w:sz w:val="24"/>
        </w:rPr>
        <w:t>A、传动</w:t>
      </w:r>
    </w:p>
    <w:p>
      <w:pPr>
        <w:jc w:val="left"/>
      </w:pPr>
      <w:r>
        <w:rPr>
          <w:rFonts w:ascii="宋体" w:hAnsi="宋体" w:eastAsia="宋体"/>
          <w:sz w:val="24"/>
        </w:rPr>
        <w:t>B、行驶</w:t>
      </w:r>
    </w:p>
    <w:p>
      <w:pPr>
        <w:jc w:val="left"/>
      </w:pPr>
      <w:r>
        <w:rPr>
          <w:rFonts w:ascii="宋体" w:hAnsi="宋体" w:eastAsia="宋体"/>
          <w:sz w:val="24"/>
        </w:rPr>
        <w:t>C、转向</w:t>
      </w:r>
    </w:p>
    <w:p>
      <w:pPr>
        <w:jc w:val="left"/>
      </w:pPr>
      <w:r>
        <w:rPr>
          <w:rFonts w:ascii="宋体" w:hAnsi="宋体" w:eastAsia="宋体"/>
          <w:sz w:val="24"/>
        </w:rPr>
        <w:t>D、制动</w:t>
      </w:r>
    </w:p>
    <w:p>
      <w:pPr>
        <w:jc w:val="left"/>
      </w:pPr>
      <w:r>
        <w:rPr>
          <w:rFonts w:ascii="宋体" w:hAnsi="宋体" w:eastAsia="宋体"/>
          <w:sz w:val="24"/>
        </w:rPr>
        <w:t>【来源】《场(厂)内专用机动车辆安全技术规程》（TSG 81—2022）2.5.3.3观光车辆</w:t>
      </w:r>
    </w:p>
    <w:p>
      <w:pPr>
        <w:jc w:val="left"/>
      </w:pPr>
      <w:r>
        <w:rPr>
          <w:rFonts w:ascii="宋体" w:hAnsi="宋体" w:eastAsia="宋体"/>
          <w:sz w:val="24"/>
        </w:rPr>
        <w:t>(2)应当设置转向限位装置。</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D9FC2A0"/>
    <w:rsid w:val="5EFBC1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