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6C833" w14:textId="77777777" w:rsidR="00CE7B46" w:rsidRDefault="00000000">
      <w:pPr>
        <w:spacing w:line="440" w:lineRule="exact"/>
        <w:jc w:val="center"/>
        <w:rPr>
          <w:rFonts w:ascii="黑体" w:eastAsia="黑体" w:hAnsi="黑体" w:hint="eastAsia"/>
          <w:b/>
          <w:sz w:val="36"/>
          <w:szCs w:val="32"/>
        </w:rPr>
      </w:pPr>
      <w:r>
        <w:rPr>
          <w:rFonts w:ascii="黑体" w:eastAsia="黑体" w:hAnsi="黑体"/>
          <w:b/>
          <w:sz w:val="36"/>
          <w:szCs w:val="32"/>
        </w:rPr>
        <w:t>经营者集中简易案件公示表</w:t>
      </w:r>
    </w:p>
    <w:p w14:paraId="30DD8089" w14:textId="77777777" w:rsidR="00CE7B46" w:rsidRDefault="00CE7B46">
      <w:pPr>
        <w:snapToGrid w:val="0"/>
        <w:spacing w:afterLines="50" w:after="156"/>
        <w:jc w:val="center"/>
        <w:rPr>
          <w:rFonts w:ascii="Times New Roman Italic" w:hAnsi="Times New Roman Italic" w:cs="Times New Roman Italic"/>
          <w:bCs/>
          <w:i/>
          <w:iCs/>
          <w:sz w:val="24"/>
          <w:szCs w:val="24"/>
          <w:highlight w:val="yellow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5103"/>
      </w:tblGrid>
      <w:tr w:rsidR="00CE7B46" w14:paraId="3E7F262F" w14:textId="77777777">
        <w:tc>
          <w:tcPr>
            <w:tcW w:w="1696" w:type="dxa"/>
            <w:shd w:val="clear" w:color="auto" w:fill="D9D9D9"/>
          </w:tcPr>
          <w:p w14:paraId="6F52D1DB" w14:textId="77777777" w:rsidR="00CE7B46" w:rsidRDefault="0000000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案件名称</w:t>
            </w:r>
          </w:p>
        </w:tc>
        <w:tc>
          <w:tcPr>
            <w:tcW w:w="6521" w:type="dxa"/>
            <w:gridSpan w:val="2"/>
            <w:vAlign w:val="center"/>
          </w:tcPr>
          <w:p w14:paraId="57499FAA" w14:textId="77777777" w:rsidR="00CE7B46" w:rsidRDefault="00000000">
            <w:pPr>
              <w:widowControl/>
              <w:snapToGrid w:val="0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江苏华滋能源工程有限公司收购</w:t>
            </w:r>
            <w:r>
              <w:rPr>
                <w:kern w:val="0"/>
                <w:sz w:val="24"/>
                <w:szCs w:val="24"/>
              </w:rPr>
              <w:t>Seaspan WTL Holdco Limited</w:t>
            </w:r>
            <w:r>
              <w:rPr>
                <w:kern w:val="0"/>
                <w:sz w:val="24"/>
                <w:szCs w:val="24"/>
              </w:rPr>
              <w:t>股权案（</w:t>
            </w:r>
            <w:r>
              <w:rPr>
                <w:kern w:val="0"/>
                <w:sz w:val="24"/>
                <w:szCs w:val="24"/>
              </w:rPr>
              <w:t>“</w:t>
            </w:r>
            <w:r>
              <w:rPr>
                <w:b/>
                <w:bCs/>
                <w:kern w:val="0"/>
                <w:sz w:val="24"/>
                <w:szCs w:val="24"/>
              </w:rPr>
              <w:t>本次交易</w:t>
            </w:r>
            <w:r>
              <w:rPr>
                <w:kern w:val="0"/>
                <w:sz w:val="24"/>
                <w:szCs w:val="24"/>
              </w:rPr>
              <w:t>”</w:t>
            </w:r>
            <w:r>
              <w:rPr>
                <w:kern w:val="0"/>
                <w:sz w:val="24"/>
                <w:szCs w:val="24"/>
              </w:rPr>
              <w:t>）</w:t>
            </w:r>
          </w:p>
        </w:tc>
      </w:tr>
      <w:tr w:rsidR="00CE7B46" w14:paraId="526C5EC3" w14:textId="77777777">
        <w:trPr>
          <w:trHeight w:val="1538"/>
        </w:trPr>
        <w:tc>
          <w:tcPr>
            <w:tcW w:w="1696" w:type="dxa"/>
            <w:shd w:val="clear" w:color="auto" w:fill="D9D9D9"/>
          </w:tcPr>
          <w:p w14:paraId="2EE8A25B" w14:textId="77777777" w:rsidR="00CE7B46" w:rsidRDefault="0000000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交易概况（限</w:t>
            </w:r>
            <w:r>
              <w:rPr>
                <w:b/>
                <w:bCs/>
                <w:sz w:val="24"/>
                <w:szCs w:val="24"/>
              </w:rPr>
              <w:t>200</w:t>
            </w:r>
            <w:r>
              <w:rPr>
                <w:b/>
                <w:bCs/>
                <w:sz w:val="24"/>
                <w:szCs w:val="24"/>
              </w:rPr>
              <w:t>字内）</w:t>
            </w:r>
          </w:p>
        </w:tc>
        <w:tc>
          <w:tcPr>
            <w:tcW w:w="6521" w:type="dxa"/>
            <w:gridSpan w:val="2"/>
          </w:tcPr>
          <w:p w14:paraId="44B3DA0A" w14:textId="77777777" w:rsidR="00CE7B46" w:rsidRDefault="00000000">
            <w:pPr>
              <w:widowControl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bidi="ar"/>
              </w:rPr>
              <w:t>塞斯潘公司（</w:t>
            </w:r>
            <w:r>
              <w:rPr>
                <w:rFonts w:hint="eastAsia"/>
                <w:b/>
                <w:bCs/>
                <w:sz w:val="24"/>
                <w:szCs w:val="24"/>
                <w:lang w:bidi="ar"/>
              </w:rPr>
              <w:t>“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塞斯潘</w:t>
            </w:r>
            <w:r>
              <w:rPr>
                <w:rFonts w:hint="eastAsia"/>
                <w:b/>
                <w:bCs/>
                <w:sz w:val="24"/>
                <w:szCs w:val="24"/>
                <w:lang w:bidi="ar"/>
              </w:rPr>
              <w:t>”</w:t>
            </w:r>
            <w:r>
              <w:rPr>
                <w:rFonts w:hint="eastAsia"/>
                <w:sz w:val="24"/>
                <w:szCs w:val="24"/>
                <w:lang w:bidi="ar"/>
              </w:rPr>
              <w:t>）</w:t>
            </w:r>
            <w:r>
              <w:rPr>
                <w:sz w:val="24"/>
                <w:szCs w:val="24"/>
              </w:rPr>
              <w:t>与</w:t>
            </w:r>
            <w:r>
              <w:rPr>
                <w:kern w:val="0"/>
                <w:sz w:val="24"/>
                <w:szCs w:val="24"/>
              </w:rPr>
              <w:t>江苏华滋能源工程有限公司</w:t>
            </w:r>
            <w:r>
              <w:rPr>
                <w:rFonts w:hint="eastAsia"/>
                <w:kern w:val="0"/>
                <w:sz w:val="24"/>
                <w:szCs w:val="24"/>
              </w:rPr>
              <w:t>（“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华滋</w:t>
            </w:r>
            <w:r>
              <w:rPr>
                <w:rFonts w:hint="eastAsia"/>
                <w:kern w:val="0"/>
                <w:sz w:val="24"/>
                <w:szCs w:val="24"/>
              </w:rPr>
              <w:t>”，通过其</w:t>
            </w:r>
            <w:r>
              <w:rPr>
                <w:sz w:val="24"/>
                <w:szCs w:val="24"/>
              </w:rPr>
              <w:t>全资子公司）签订了</w:t>
            </w:r>
            <w:r>
              <w:rPr>
                <w:rFonts w:hint="eastAsia"/>
                <w:sz w:val="24"/>
                <w:szCs w:val="24"/>
              </w:rPr>
              <w:t>交易</w:t>
            </w:r>
            <w:r>
              <w:rPr>
                <w:sz w:val="24"/>
                <w:szCs w:val="24"/>
              </w:rPr>
              <w:t>协议</w:t>
            </w:r>
            <w:r>
              <w:rPr>
                <w:rFonts w:hint="eastAsia"/>
                <w:sz w:val="24"/>
                <w:szCs w:val="24"/>
              </w:rPr>
              <w:t>。</w:t>
            </w:r>
            <w:r>
              <w:rPr>
                <w:sz w:val="24"/>
                <w:szCs w:val="24"/>
              </w:rPr>
              <w:t>根据协议，华滋将认购</w:t>
            </w:r>
            <w:r>
              <w:rPr>
                <w:kern w:val="0"/>
                <w:sz w:val="24"/>
                <w:szCs w:val="24"/>
              </w:rPr>
              <w:t>Seaspan WTL Holdco Limited</w:t>
            </w:r>
            <w:r>
              <w:rPr>
                <w:rFonts w:hint="eastAsia"/>
                <w:kern w:val="0"/>
                <w:sz w:val="24"/>
                <w:szCs w:val="24"/>
              </w:rPr>
              <w:t>（“</w:t>
            </w:r>
            <w:r>
              <w:rPr>
                <w:b/>
                <w:bCs/>
                <w:sz w:val="24"/>
                <w:szCs w:val="24"/>
              </w:rPr>
              <w:t>目标公司</w:t>
            </w:r>
            <w:r>
              <w:rPr>
                <w:rFonts w:hint="eastAsia"/>
                <w:sz w:val="24"/>
                <w:szCs w:val="24"/>
              </w:rPr>
              <w:t>”）</w:t>
            </w:r>
            <w:r>
              <w:rPr>
                <w:rFonts w:hint="eastAsia"/>
                <w:sz w:val="24"/>
                <w:szCs w:val="24"/>
              </w:rPr>
              <w:t>50%</w:t>
            </w:r>
            <w:r>
              <w:rPr>
                <w:rFonts w:hint="eastAsia"/>
                <w:sz w:val="24"/>
                <w:szCs w:val="24"/>
              </w:rPr>
              <w:t>的</w:t>
            </w:r>
            <w:r>
              <w:rPr>
                <w:sz w:val="24"/>
                <w:szCs w:val="24"/>
              </w:rPr>
              <w:t>股份。目标公司将主要</w:t>
            </w:r>
            <w:r>
              <w:rPr>
                <w:rFonts w:hint="eastAsia"/>
                <w:sz w:val="24"/>
                <w:szCs w:val="24"/>
              </w:rPr>
              <w:t>从事双燃料船舶改造工程总承包</w:t>
            </w:r>
            <w:r>
              <w:rPr>
                <w:sz w:val="24"/>
                <w:szCs w:val="24"/>
              </w:rPr>
              <w:t>服务。</w:t>
            </w:r>
          </w:p>
          <w:p w14:paraId="67518720" w14:textId="77777777" w:rsidR="00CE7B46" w:rsidRDefault="00CE7B46">
            <w:pPr>
              <w:widowControl/>
              <w:snapToGrid w:val="0"/>
              <w:rPr>
                <w:sz w:val="24"/>
                <w:szCs w:val="24"/>
              </w:rPr>
            </w:pPr>
          </w:p>
          <w:p w14:paraId="42C09031" w14:textId="77777777" w:rsidR="00CE7B46" w:rsidRDefault="00000000">
            <w:pPr>
              <w:widowControl/>
              <w:snapToGrid w:val="0"/>
              <w:rPr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本次交易前，目标公司由塞斯潘单独持有并控制。本次交易后，华滋和塞斯潘将分别持有目标公司</w:t>
            </w:r>
            <w:r>
              <w:rPr>
                <w:sz w:val="24"/>
                <w:szCs w:val="24"/>
              </w:rPr>
              <w:t>50%</w:t>
            </w:r>
            <w:r>
              <w:rPr>
                <w:sz w:val="24"/>
                <w:szCs w:val="24"/>
              </w:rPr>
              <w:t>的股份，并共同控制目标公司。</w:t>
            </w:r>
          </w:p>
        </w:tc>
      </w:tr>
      <w:tr w:rsidR="00CE7B46" w14:paraId="0BA0F325" w14:textId="77777777">
        <w:trPr>
          <w:trHeight w:val="935"/>
        </w:trPr>
        <w:tc>
          <w:tcPr>
            <w:tcW w:w="1696" w:type="dxa"/>
            <w:vMerge w:val="restart"/>
            <w:shd w:val="clear" w:color="auto" w:fill="D9D9D9"/>
          </w:tcPr>
          <w:p w14:paraId="02FE2579" w14:textId="77777777" w:rsidR="00CE7B46" w:rsidRDefault="0000000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参与集中的经营者简介</w:t>
            </w:r>
          </w:p>
        </w:tc>
        <w:tc>
          <w:tcPr>
            <w:tcW w:w="1418" w:type="dxa"/>
            <w:vAlign w:val="center"/>
          </w:tcPr>
          <w:p w14:paraId="20406A8A" w14:textId="77777777" w:rsidR="00CE7B46" w:rsidRDefault="00CE7B46">
            <w:pPr>
              <w:pStyle w:val="afa"/>
              <w:widowControl/>
              <w:adjustRightInd w:val="0"/>
              <w:snapToGrid w:val="0"/>
              <w:ind w:firstLineChars="0" w:firstLine="0"/>
              <w:rPr>
                <w:color w:val="000000" w:themeColor="text1"/>
                <w:sz w:val="24"/>
                <w:szCs w:val="24"/>
              </w:rPr>
            </w:pPr>
          </w:p>
          <w:p w14:paraId="583CCD90" w14:textId="77777777" w:rsidR="00CE7B46" w:rsidRDefault="00000000">
            <w:pPr>
              <w:pStyle w:val="afa"/>
              <w:numPr>
                <w:ilvl w:val="0"/>
                <w:numId w:val="2"/>
              </w:numPr>
              <w:snapToGrid w:val="0"/>
              <w:ind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华滋</w:t>
            </w:r>
          </w:p>
        </w:tc>
        <w:tc>
          <w:tcPr>
            <w:tcW w:w="5103" w:type="dxa"/>
          </w:tcPr>
          <w:p w14:paraId="68344FA3" w14:textId="77777777" w:rsidR="00CE7B46" w:rsidRDefault="00000000">
            <w:pPr>
              <w:widowControl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华滋于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日在中国江苏省成立，为全球航运和造船、石化</w:t>
            </w:r>
            <w:proofErr w:type="gramStart"/>
            <w:r>
              <w:rPr>
                <w:rFonts w:hint="eastAsia"/>
                <w:sz w:val="24"/>
                <w:szCs w:val="24"/>
              </w:rPr>
              <w:t>和海工行业</w:t>
            </w:r>
            <w:proofErr w:type="gramEnd"/>
            <w:r>
              <w:rPr>
                <w:rFonts w:hint="eastAsia"/>
                <w:sz w:val="24"/>
                <w:szCs w:val="24"/>
              </w:rPr>
              <w:t>提供创新的石油和天然气储运解决方案和大型特种设备，以及专业的修船和改造服务。</w:t>
            </w:r>
          </w:p>
          <w:p w14:paraId="5EA473FC" w14:textId="77777777" w:rsidR="00CE7B46" w:rsidRDefault="00CE7B46">
            <w:pPr>
              <w:snapToGrid w:val="0"/>
              <w:jc w:val="left"/>
              <w:rPr>
                <w:sz w:val="24"/>
                <w:szCs w:val="24"/>
              </w:rPr>
            </w:pPr>
          </w:p>
          <w:p w14:paraId="59323E5E" w14:textId="71B0166E" w:rsidR="00CE7B46" w:rsidRDefault="00000000"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华滋的最终控制人是上海华滋奔腾控股集团有限公司，后者主要有三个业务板块：能源装备、房地产和水工业务。</w:t>
            </w:r>
          </w:p>
        </w:tc>
      </w:tr>
      <w:tr w:rsidR="00CE7B46" w14:paraId="362F1F38" w14:textId="77777777">
        <w:trPr>
          <w:trHeight w:val="1970"/>
        </w:trPr>
        <w:tc>
          <w:tcPr>
            <w:tcW w:w="1696" w:type="dxa"/>
            <w:vMerge/>
            <w:shd w:val="clear" w:color="auto" w:fill="D9D9D9"/>
          </w:tcPr>
          <w:p w14:paraId="2BDC12AD" w14:textId="77777777" w:rsidR="00CE7B46" w:rsidRDefault="00CE7B46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30DFA20" w14:textId="77777777" w:rsidR="00CE7B46" w:rsidRDefault="00CE7B46">
            <w:pPr>
              <w:pStyle w:val="afa"/>
              <w:widowControl/>
              <w:adjustRightInd w:val="0"/>
              <w:snapToGrid w:val="0"/>
              <w:ind w:firstLineChars="0" w:firstLine="0"/>
              <w:rPr>
                <w:color w:val="000000" w:themeColor="text1"/>
                <w:sz w:val="24"/>
                <w:szCs w:val="24"/>
              </w:rPr>
            </w:pPr>
          </w:p>
          <w:p w14:paraId="09CD6CC8" w14:textId="77777777" w:rsidR="00CE7B46" w:rsidRDefault="00000000">
            <w:pPr>
              <w:pStyle w:val="afa"/>
              <w:numPr>
                <w:ilvl w:val="0"/>
                <w:numId w:val="2"/>
              </w:numPr>
              <w:snapToGrid w:val="0"/>
              <w:ind w:firstLineChars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塞斯潘</w:t>
            </w:r>
          </w:p>
        </w:tc>
        <w:tc>
          <w:tcPr>
            <w:tcW w:w="5103" w:type="dxa"/>
            <w:shd w:val="clear" w:color="auto" w:fill="auto"/>
          </w:tcPr>
          <w:p w14:paraId="7928EB25" w14:textId="77777777" w:rsidR="00CE7B46" w:rsidRDefault="00000000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塞斯潘于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005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日在马绍尔群岛共和国成立。塞斯潘专门从事船舶租赁服务，并在全球范围内提供这些服务。</w:t>
            </w:r>
          </w:p>
          <w:p w14:paraId="72DA572D" w14:textId="77777777" w:rsidR="00CE7B46" w:rsidRDefault="00CE7B46">
            <w:pPr>
              <w:snapToGrid w:val="0"/>
              <w:rPr>
                <w:sz w:val="24"/>
                <w:szCs w:val="24"/>
              </w:rPr>
            </w:pPr>
          </w:p>
          <w:p w14:paraId="445CBFAA" w14:textId="77777777" w:rsidR="00CE7B46" w:rsidRDefault="00000000">
            <w:pPr>
              <w:snapToGrid w:val="0"/>
              <w:rPr>
                <w:rFonts w:eastAsia="楷体_GB2312"/>
                <w:kern w:val="0"/>
                <w:sz w:val="24"/>
                <w:szCs w:val="24"/>
                <w:lang w:val="en-GB"/>
              </w:rPr>
            </w:pPr>
            <w:r>
              <w:rPr>
                <w:rFonts w:hint="eastAsia"/>
                <w:sz w:val="24"/>
                <w:szCs w:val="24"/>
              </w:rPr>
              <w:t>塞斯潘的最终控制人是费尔法克斯金融公司（</w:t>
            </w:r>
            <w:r>
              <w:rPr>
                <w:rFonts w:hint="eastAsia"/>
                <w:b/>
                <w:bCs/>
                <w:sz w:val="24"/>
                <w:szCs w:val="24"/>
              </w:rPr>
              <w:t>“费尔法克斯”</w:t>
            </w:r>
            <w:r>
              <w:rPr>
                <w:rFonts w:hint="eastAsia"/>
                <w:sz w:val="24"/>
                <w:szCs w:val="24"/>
              </w:rPr>
              <w:t>）。费尔法克斯通过其子公司在不动产和意外保险，以及再保险和相关投资管理领域从事业务。</w:t>
            </w:r>
          </w:p>
        </w:tc>
      </w:tr>
      <w:tr w:rsidR="00CE7B46" w14:paraId="470D5A17" w14:textId="77777777">
        <w:tc>
          <w:tcPr>
            <w:tcW w:w="1696" w:type="dxa"/>
            <w:vMerge w:val="restart"/>
            <w:shd w:val="clear" w:color="auto" w:fill="D9D9D9"/>
          </w:tcPr>
          <w:p w14:paraId="26009C39" w14:textId="77777777" w:rsidR="00CE7B46" w:rsidRDefault="0000000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6521" w:type="dxa"/>
            <w:gridSpan w:val="2"/>
          </w:tcPr>
          <w:p w14:paraId="0075ECE2" w14:textId="77777777" w:rsidR="00CE7B46" w:rsidRDefault="00000000">
            <w:pPr>
              <w:tabs>
                <w:tab w:val="left" w:pos="269"/>
              </w:tabs>
              <w:snapToGrid w:val="0"/>
              <w:rPr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  <w:lang w:val="en-GB"/>
              </w:rPr>
              <w:sym w:font="Wingdings" w:char="F0A8"/>
            </w:r>
            <w:r>
              <w:rPr>
                <w:sz w:val="24"/>
                <w:szCs w:val="24"/>
              </w:rPr>
              <w:tab/>
              <w:t>1</w:t>
            </w:r>
            <w:r>
              <w:rPr>
                <w:sz w:val="24"/>
                <w:szCs w:val="24"/>
              </w:rPr>
              <w:t>、在同一相关市场，参与集中的经营者所占</w:t>
            </w:r>
            <w:r>
              <w:rPr>
                <w:rFonts w:hint="eastAsia"/>
                <w:sz w:val="24"/>
                <w:szCs w:val="24"/>
              </w:rPr>
              <w:t>的</w:t>
            </w:r>
            <w:r>
              <w:rPr>
                <w:sz w:val="24"/>
                <w:szCs w:val="24"/>
              </w:rPr>
              <w:t>市场份额之和小于</w:t>
            </w:r>
            <w:r>
              <w:rPr>
                <w:sz w:val="24"/>
                <w:szCs w:val="24"/>
              </w:rPr>
              <w:t>15%</w:t>
            </w:r>
            <w:r>
              <w:rPr>
                <w:sz w:val="24"/>
                <w:szCs w:val="24"/>
              </w:rPr>
              <w:t>。</w:t>
            </w:r>
          </w:p>
        </w:tc>
      </w:tr>
      <w:tr w:rsidR="00CE7B46" w14:paraId="27877D91" w14:textId="77777777">
        <w:tc>
          <w:tcPr>
            <w:tcW w:w="1696" w:type="dxa"/>
            <w:vMerge/>
            <w:shd w:val="clear" w:color="auto" w:fill="D9D9D9"/>
          </w:tcPr>
          <w:p w14:paraId="664602D7" w14:textId="77777777" w:rsidR="00CE7B46" w:rsidRDefault="00CE7B46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14:paraId="26E7D949" w14:textId="77777777" w:rsidR="00CE7B46" w:rsidRDefault="00000000">
            <w:pPr>
              <w:tabs>
                <w:tab w:val="left" w:pos="269"/>
              </w:tabs>
              <w:snapToGrid w:val="0"/>
              <w:rPr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sym w:font="Wingdings" w:char="00FE"/>
            </w:r>
            <w:r>
              <w:rPr>
                <w:sz w:val="24"/>
                <w:szCs w:val="24"/>
              </w:rPr>
              <w:tab/>
              <w:t>2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在上下游市场，参与集中的经营者所占的市场份额均小于</w:t>
            </w:r>
            <w:r>
              <w:rPr>
                <w:rFonts w:hint="eastAsia"/>
                <w:sz w:val="24"/>
                <w:szCs w:val="24"/>
              </w:rPr>
              <w:t>25%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CE7B46" w14:paraId="69B5ECF2" w14:textId="77777777">
        <w:tc>
          <w:tcPr>
            <w:tcW w:w="1696" w:type="dxa"/>
            <w:vMerge/>
            <w:shd w:val="clear" w:color="auto" w:fill="D9D9D9"/>
          </w:tcPr>
          <w:p w14:paraId="13E8F86C" w14:textId="77777777" w:rsidR="00CE7B46" w:rsidRDefault="00CE7B46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14:paraId="6B8F0B6B" w14:textId="77777777" w:rsidR="00CE7B46" w:rsidRDefault="00000000">
            <w:pPr>
              <w:tabs>
                <w:tab w:val="left" w:pos="269"/>
              </w:tabs>
              <w:snapToGrid w:val="0"/>
              <w:rPr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  <w:lang w:val="en-GB"/>
              </w:rPr>
              <w:sym w:font="Wingdings" w:char="F0A8"/>
            </w:r>
            <w:r>
              <w:rPr>
                <w:sz w:val="24"/>
                <w:szCs w:val="24"/>
              </w:rPr>
              <w:tab/>
              <w:t>3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不在同一相关市场也不存在上下游关系的参与集中的经营者，在与交易有关的每个市场所占的市场份额均小于</w:t>
            </w:r>
            <w:r>
              <w:rPr>
                <w:rFonts w:hint="eastAsia"/>
                <w:sz w:val="24"/>
                <w:szCs w:val="24"/>
              </w:rPr>
              <w:t>25%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CE7B46" w14:paraId="6D103C76" w14:textId="77777777">
        <w:tc>
          <w:tcPr>
            <w:tcW w:w="1696" w:type="dxa"/>
            <w:vMerge/>
            <w:shd w:val="clear" w:color="auto" w:fill="D9D9D9"/>
          </w:tcPr>
          <w:p w14:paraId="03500178" w14:textId="77777777" w:rsidR="00CE7B46" w:rsidRDefault="00CE7B46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14:paraId="2F550E3E" w14:textId="77777777" w:rsidR="00CE7B46" w:rsidRDefault="00000000">
            <w:pPr>
              <w:tabs>
                <w:tab w:val="left" w:pos="269"/>
              </w:tabs>
              <w:snapToGrid w:val="0"/>
              <w:rPr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  <w:lang w:val="en-GB"/>
              </w:rPr>
              <w:sym w:font="Wingdings" w:char="F0A8"/>
            </w:r>
            <w:r>
              <w:rPr>
                <w:sz w:val="24"/>
                <w:szCs w:val="24"/>
              </w:rPr>
              <w:tab/>
            </w:r>
            <w:r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、参与集中的经营者在中国境外设立合营企业，合营企业不在中国境内从事经济活动。</w:t>
            </w:r>
          </w:p>
        </w:tc>
      </w:tr>
      <w:tr w:rsidR="00CE7B46" w14:paraId="368AA966" w14:textId="77777777">
        <w:tc>
          <w:tcPr>
            <w:tcW w:w="1696" w:type="dxa"/>
            <w:vMerge/>
            <w:shd w:val="clear" w:color="auto" w:fill="D9D9D9"/>
          </w:tcPr>
          <w:p w14:paraId="22EC66D7" w14:textId="77777777" w:rsidR="00CE7B46" w:rsidRDefault="00CE7B46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14:paraId="62321634" w14:textId="77777777" w:rsidR="00CE7B46" w:rsidRDefault="00000000">
            <w:pPr>
              <w:tabs>
                <w:tab w:val="left" w:pos="269"/>
              </w:tabs>
              <w:snapToGrid w:val="0"/>
              <w:rPr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  <w:lang w:val="en-GB"/>
              </w:rPr>
              <w:sym w:font="Wingdings" w:char="00A8"/>
            </w:r>
            <w:r>
              <w:rPr>
                <w:sz w:val="24"/>
                <w:szCs w:val="24"/>
              </w:rPr>
              <w:tab/>
              <w:t>5</w:t>
            </w:r>
            <w:r>
              <w:rPr>
                <w:sz w:val="24"/>
                <w:szCs w:val="24"/>
              </w:rPr>
              <w:t>、参与集中的经营者收购境外企业股权或资产的，该境外企业不在中国境内从事经济活动。</w:t>
            </w:r>
          </w:p>
        </w:tc>
      </w:tr>
      <w:tr w:rsidR="00CE7B46" w14:paraId="3FAD634D" w14:textId="77777777">
        <w:tc>
          <w:tcPr>
            <w:tcW w:w="1696" w:type="dxa"/>
            <w:vMerge/>
            <w:shd w:val="clear" w:color="auto" w:fill="D9D9D9"/>
          </w:tcPr>
          <w:p w14:paraId="0091861A" w14:textId="77777777" w:rsidR="00CE7B46" w:rsidRDefault="00CE7B46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14:paraId="69D230F7" w14:textId="77777777" w:rsidR="00CE7B46" w:rsidRDefault="00000000">
            <w:pPr>
              <w:tabs>
                <w:tab w:val="left" w:pos="269"/>
              </w:tabs>
              <w:snapToGrid w:val="0"/>
              <w:rPr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  <w:lang w:val="en-GB"/>
              </w:rPr>
              <w:sym w:font="Wingdings" w:char="F0A8"/>
            </w:r>
            <w:r>
              <w:rPr>
                <w:sz w:val="24"/>
                <w:szCs w:val="24"/>
              </w:rPr>
              <w:tab/>
              <w:t>6</w:t>
            </w:r>
            <w:r>
              <w:rPr>
                <w:sz w:val="24"/>
                <w:szCs w:val="24"/>
              </w:rPr>
              <w:t>、由两个以上的经营者共同控制的合营企业，通过集中被其中一个或一个以上经营者控制。</w:t>
            </w:r>
          </w:p>
        </w:tc>
      </w:tr>
      <w:tr w:rsidR="00CE7B46" w14:paraId="712B11C4" w14:textId="77777777">
        <w:trPr>
          <w:trHeight w:val="542"/>
        </w:trPr>
        <w:tc>
          <w:tcPr>
            <w:tcW w:w="1696" w:type="dxa"/>
            <w:shd w:val="clear" w:color="auto" w:fill="D9D9D9"/>
          </w:tcPr>
          <w:p w14:paraId="79C751AB" w14:textId="77777777" w:rsidR="00CE7B46" w:rsidRDefault="00000000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6521" w:type="dxa"/>
            <w:gridSpan w:val="2"/>
          </w:tcPr>
          <w:p w14:paraId="38E62BCC" w14:textId="77777777" w:rsidR="00CE7B46" w:rsidRDefault="00000000">
            <w:pPr>
              <w:pStyle w:val="afa"/>
              <w:widowControl/>
              <w:snapToGrid w:val="0"/>
              <w:ind w:firstLineChars="0" w:firstLine="0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纵向关联：</w:t>
            </w:r>
          </w:p>
          <w:p w14:paraId="479A92EB" w14:textId="77777777" w:rsidR="00CE7B46" w:rsidRDefault="00CE7B46">
            <w:pPr>
              <w:pStyle w:val="afa"/>
              <w:widowControl/>
              <w:snapToGrid w:val="0"/>
              <w:ind w:firstLineChars="0" w:firstLine="0"/>
              <w:rPr>
                <w:rFonts w:eastAsia="宋体"/>
                <w:bCs/>
                <w:sz w:val="24"/>
                <w:szCs w:val="24"/>
              </w:rPr>
            </w:pPr>
          </w:p>
          <w:p w14:paraId="52CA4E07" w14:textId="77777777" w:rsidR="00CE7B46" w:rsidRDefault="00000000">
            <w:pPr>
              <w:pStyle w:val="afa"/>
              <w:widowControl/>
              <w:snapToGrid w:val="0"/>
              <w:ind w:firstLineChars="0" w:firstLine="0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 w:hint="eastAsia"/>
                <w:bCs/>
                <w:sz w:val="24"/>
                <w:szCs w:val="24"/>
              </w:rPr>
              <w:lastRenderedPageBreak/>
              <w:t>上游：</w:t>
            </w:r>
          </w:p>
          <w:p w14:paraId="61658B21" w14:textId="77777777" w:rsidR="00CE7B46" w:rsidRDefault="00000000">
            <w:pPr>
              <w:pStyle w:val="afa"/>
              <w:widowControl/>
              <w:snapToGrid w:val="0"/>
              <w:ind w:firstLineChars="0" w:firstLine="0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 w:hint="eastAsia"/>
                <w:bCs/>
                <w:sz w:val="24"/>
                <w:szCs w:val="24"/>
              </w:rPr>
              <w:t>2023</w:t>
            </w:r>
            <w:r>
              <w:rPr>
                <w:rFonts w:eastAsia="宋体" w:hint="eastAsia"/>
                <w:bCs/>
                <w:sz w:val="24"/>
                <w:szCs w:val="24"/>
              </w:rPr>
              <w:t>年中国境内</w:t>
            </w:r>
            <w:r>
              <w:rPr>
                <w:rFonts w:eastAsia="宋体"/>
                <w:bCs/>
                <w:sz w:val="24"/>
                <w:szCs w:val="24"/>
              </w:rPr>
              <w:t>船舶用燃料罐</w:t>
            </w:r>
            <w:r>
              <w:rPr>
                <w:rFonts w:eastAsia="宋体" w:hint="eastAsia"/>
                <w:bCs/>
                <w:sz w:val="24"/>
                <w:szCs w:val="24"/>
              </w:rPr>
              <w:t>市场：</w:t>
            </w:r>
          </w:p>
          <w:p w14:paraId="04CFFFC2" w14:textId="77777777" w:rsidR="00CE7B46" w:rsidRDefault="00000000">
            <w:pPr>
              <w:pStyle w:val="afa"/>
              <w:widowControl/>
              <w:snapToGrid w:val="0"/>
              <w:ind w:firstLineChars="0" w:firstLine="0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 w:hint="eastAsia"/>
                <w:bCs/>
                <w:sz w:val="24"/>
                <w:szCs w:val="24"/>
              </w:rPr>
              <w:t>华滋：</w:t>
            </w:r>
            <w:r>
              <w:rPr>
                <w:rFonts w:eastAsia="仿宋_GB2312" w:hint="eastAsia"/>
                <w:sz w:val="24"/>
                <w:szCs w:val="24"/>
              </w:rPr>
              <w:t>[15-20]%</w:t>
            </w:r>
            <w:r>
              <w:rPr>
                <w:rFonts w:eastAsia="仿宋_GB2312" w:hint="eastAsia"/>
                <w:sz w:val="24"/>
                <w:szCs w:val="24"/>
              </w:rPr>
              <w:t>；</w:t>
            </w:r>
            <w:r>
              <w:rPr>
                <w:rFonts w:eastAsia="宋体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F4A4321" w14:textId="77777777" w:rsidR="00CE7B46" w:rsidRDefault="00000000">
            <w:pPr>
              <w:pStyle w:val="afa"/>
              <w:widowControl/>
              <w:snapToGrid w:val="0"/>
              <w:ind w:firstLineChars="0" w:firstLine="0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 w:hint="eastAsia"/>
                <w:bCs/>
                <w:sz w:val="24"/>
                <w:szCs w:val="24"/>
              </w:rPr>
              <w:t>2023</w:t>
            </w:r>
            <w:r>
              <w:rPr>
                <w:rFonts w:eastAsia="宋体" w:hint="eastAsia"/>
                <w:bCs/>
                <w:sz w:val="24"/>
                <w:szCs w:val="24"/>
              </w:rPr>
              <w:t>年中国境内</w:t>
            </w:r>
            <w:r>
              <w:rPr>
                <w:rFonts w:eastAsia="宋体"/>
                <w:bCs/>
                <w:sz w:val="24"/>
                <w:szCs w:val="24"/>
              </w:rPr>
              <w:t>船舶燃料供应系统</w:t>
            </w:r>
            <w:r>
              <w:rPr>
                <w:rFonts w:eastAsia="宋体" w:hint="eastAsia"/>
                <w:bCs/>
                <w:sz w:val="24"/>
                <w:szCs w:val="24"/>
              </w:rPr>
              <w:t>市场：</w:t>
            </w:r>
          </w:p>
          <w:p w14:paraId="3BDB4DDF" w14:textId="77777777" w:rsidR="00CE7B46" w:rsidRDefault="00000000">
            <w:pPr>
              <w:pStyle w:val="afa"/>
              <w:widowControl/>
              <w:snapToGrid w:val="0"/>
              <w:ind w:firstLineChars="0" w:firstLine="0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 w:hint="eastAsia"/>
                <w:bCs/>
                <w:sz w:val="24"/>
                <w:szCs w:val="24"/>
              </w:rPr>
              <w:t>华滋：</w:t>
            </w:r>
            <w:r>
              <w:rPr>
                <w:rFonts w:eastAsia="仿宋_GB2312" w:hint="eastAsia"/>
                <w:sz w:val="24"/>
                <w:szCs w:val="24"/>
              </w:rPr>
              <w:t>[0-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5]%</w:t>
            </w:r>
            <w:proofErr w:type="gramEnd"/>
            <w:r>
              <w:rPr>
                <w:rFonts w:eastAsia="宋体"/>
                <w:bCs/>
                <w:sz w:val="24"/>
                <w:szCs w:val="24"/>
              </w:rPr>
              <w:t xml:space="preserve">    </w:t>
            </w:r>
          </w:p>
          <w:p w14:paraId="7D66ADF6" w14:textId="77777777" w:rsidR="00CE7B46" w:rsidRDefault="00CE7B46">
            <w:pPr>
              <w:pStyle w:val="afa"/>
              <w:widowControl/>
              <w:snapToGrid w:val="0"/>
              <w:ind w:firstLineChars="0" w:firstLine="0"/>
              <w:rPr>
                <w:rFonts w:eastAsia="宋体"/>
                <w:bCs/>
                <w:sz w:val="24"/>
                <w:szCs w:val="24"/>
              </w:rPr>
            </w:pPr>
          </w:p>
          <w:p w14:paraId="297D7062" w14:textId="77777777" w:rsidR="00CE7B46" w:rsidRDefault="00000000">
            <w:pPr>
              <w:pStyle w:val="afa"/>
              <w:widowControl/>
              <w:snapToGrid w:val="0"/>
              <w:ind w:firstLineChars="0" w:firstLine="0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 w:hint="eastAsia"/>
                <w:bCs/>
                <w:sz w:val="24"/>
                <w:szCs w:val="24"/>
              </w:rPr>
              <w:t>下游：</w:t>
            </w:r>
          </w:p>
          <w:p w14:paraId="46852429" w14:textId="77777777" w:rsidR="00CE7B46" w:rsidRDefault="00000000">
            <w:pPr>
              <w:pStyle w:val="afa"/>
              <w:widowControl/>
              <w:snapToGrid w:val="0"/>
              <w:ind w:firstLineChars="0" w:firstLine="0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 w:hint="eastAsia"/>
                <w:bCs/>
                <w:sz w:val="24"/>
                <w:szCs w:val="24"/>
              </w:rPr>
              <w:t>2023</w:t>
            </w:r>
            <w:r>
              <w:rPr>
                <w:rFonts w:eastAsia="宋体" w:hint="eastAsia"/>
                <w:bCs/>
                <w:sz w:val="24"/>
                <w:szCs w:val="24"/>
              </w:rPr>
              <w:t>年中国境内</w:t>
            </w:r>
            <w:r>
              <w:rPr>
                <w:rFonts w:eastAsia="宋体"/>
                <w:bCs/>
                <w:sz w:val="24"/>
                <w:szCs w:val="24"/>
              </w:rPr>
              <w:t>双燃料</w:t>
            </w:r>
            <w:r>
              <w:rPr>
                <w:rFonts w:hint="eastAsia"/>
                <w:sz w:val="24"/>
                <w:szCs w:val="24"/>
              </w:rPr>
              <w:t>船舶</w:t>
            </w:r>
            <w:r>
              <w:rPr>
                <w:rFonts w:eastAsia="宋体"/>
                <w:bCs/>
                <w:sz w:val="24"/>
                <w:szCs w:val="24"/>
              </w:rPr>
              <w:t>改造工程总承包</w:t>
            </w:r>
            <w:r>
              <w:rPr>
                <w:rFonts w:eastAsia="宋体" w:hint="eastAsia"/>
                <w:bCs/>
                <w:sz w:val="24"/>
                <w:szCs w:val="24"/>
              </w:rPr>
              <w:t>市场：</w:t>
            </w:r>
          </w:p>
          <w:p w14:paraId="436EDB3D" w14:textId="77777777" w:rsidR="00CE7B46" w:rsidRDefault="00000000">
            <w:pPr>
              <w:pStyle w:val="afa"/>
              <w:widowControl/>
              <w:snapToGrid w:val="0"/>
              <w:ind w:firstLineChars="0" w:firstLine="0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 w:hint="eastAsia"/>
                <w:bCs/>
                <w:sz w:val="24"/>
                <w:szCs w:val="24"/>
              </w:rPr>
              <w:t>目标公司：</w:t>
            </w:r>
            <w:r>
              <w:rPr>
                <w:rFonts w:eastAsia="仿宋_GB2312" w:hint="eastAsia"/>
                <w:sz w:val="24"/>
                <w:szCs w:val="24"/>
              </w:rPr>
              <w:t>[0-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5]%</w:t>
            </w:r>
            <w:proofErr w:type="gramEnd"/>
          </w:p>
        </w:tc>
      </w:tr>
    </w:tbl>
    <w:p w14:paraId="3AE4F764" w14:textId="77777777" w:rsidR="00CE7B46" w:rsidRDefault="00CE7B46">
      <w:pPr>
        <w:snapToGrid w:val="0"/>
        <w:spacing w:afterLines="50" w:after="156"/>
        <w:rPr>
          <w:sz w:val="24"/>
          <w:szCs w:val="24"/>
        </w:rPr>
      </w:pPr>
    </w:p>
    <w:sectPr w:rsidR="00CE7B46">
      <w:headerReference w:type="default" r:id="rId8"/>
      <w:footerReference w:type="even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A7988" w14:textId="77777777" w:rsidR="004B66CE" w:rsidRDefault="004B66CE">
      <w:r>
        <w:separator/>
      </w:r>
    </w:p>
  </w:endnote>
  <w:endnote w:type="continuationSeparator" w:id="0">
    <w:p w14:paraId="70653F9A" w14:textId="77777777" w:rsidR="004B66CE" w:rsidRDefault="004B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Italic">
    <w:panose1 w:val="02020503050405090304"/>
    <w:charset w:val="00"/>
    <w:family w:val="auto"/>
    <w:pitch w:val="default"/>
    <w:sig w:usb0="E0002AEF" w:usb1="C0007841" w:usb2="00000009" w:usb3="00000000" w:csb0="400001FF" w:csb1="FFFF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F7730" w14:textId="77777777" w:rsidR="00CE7B46" w:rsidRDefault="00000000">
    <w:pPr>
      <w:pStyle w:val="DocId"/>
    </w:pPr>
    <w:r>
      <w:t>[BRUSSELS 621754_4]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21A6" w14:textId="77777777" w:rsidR="00CE7B46" w:rsidRDefault="00000000">
    <w:pPr>
      <w:pStyle w:val="DocId"/>
    </w:pPr>
    <w:r>
      <w:t>[BRUSSELS 621754_4]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F566D" w14:textId="77777777" w:rsidR="004B66CE" w:rsidRDefault="004B66CE">
      <w:r>
        <w:separator/>
      </w:r>
    </w:p>
  </w:footnote>
  <w:footnote w:type="continuationSeparator" w:id="0">
    <w:p w14:paraId="54528C81" w14:textId="77777777" w:rsidR="004B66CE" w:rsidRDefault="004B6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D0EE" w14:textId="77777777" w:rsidR="00CE7B46" w:rsidRDefault="00CE7B46">
    <w:pPr>
      <w:pStyle w:val="af"/>
      <w:pBdr>
        <w:bottom w:val="single" w:sz="6" w:space="0" w:color="auto"/>
      </w:pBdr>
      <w:wordWrap w:val="0"/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A4B6A"/>
    <w:multiLevelType w:val="multilevel"/>
    <w:tmpl w:val="433A4B6A"/>
    <w:lvl w:ilvl="0">
      <w:start w:val="1"/>
      <w:numFmt w:val="decimal"/>
      <w:pStyle w:val="ShortOutline1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lowerLetter"/>
      <w:pStyle w:val="ShortOutline2"/>
      <w:lvlText w:val="(%2)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lowerRoman"/>
      <w:pStyle w:val="ShortOutline3"/>
      <w:lvlText w:val="(%3)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pStyle w:val="ShortOutline4"/>
      <w:lvlText w:val="(%4)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lowerLetter"/>
      <w:pStyle w:val="ShortOutline5"/>
      <w:lvlText w:val="(%5)"/>
      <w:lvlJc w:val="left"/>
      <w:pPr>
        <w:ind w:left="3600" w:hanging="72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left" w:pos="5040"/>
        </w:tabs>
        <w:ind w:left="43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left" w:pos="5760"/>
        </w:tabs>
        <w:ind w:left="5040" w:hanging="72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left" w:pos="6480"/>
        </w:tabs>
        <w:ind w:left="5760" w:hanging="72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left" w:pos="7200"/>
        </w:tabs>
        <w:ind w:left="6480" w:hanging="720"/>
      </w:pPr>
      <w:rPr>
        <w:rFonts w:hint="default"/>
      </w:rPr>
    </w:lvl>
  </w:abstractNum>
  <w:abstractNum w:abstractNumId="1" w15:restartNumberingAfterBreak="0">
    <w:nsid w:val="6C25237E"/>
    <w:multiLevelType w:val="multilevel"/>
    <w:tmpl w:val="6C2523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214003232">
    <w:abstractNumId w:val="0"/>
  </w:num>
  <w:num w:numId="2" w16cid:durableId="760446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hideGrammaticalErrors/>
  <w:proofState w:spelling="clean" w:grammar="clean"/>
  <w:trackRevisions/>
  <w:styleLockQFSet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heckedForWebBugs" w:val="True"/>
    <w:docVar w:name="commondata" w:val="eyJoZGlkIjoiNWUzYzcxMTc1MjU4MTQzNWM4OTE0MmQ1NGJmNTFiOWYifQ=="/>
    <w:docVar w:name="KEOutsideDoc" w:val="True"/>
    <w:docVar w:name="trailer" w:val="none"/>
    <w:docVar w:name="TrailerFullName" w:val="C:\Users\JCruise\AppData\Roaming\iManage\Work\Recent\072692-0001 (Ocean Network Express_ Project Atlas)\Anchor - China_-_Publicity_Form-20221209(137921514.1).docx"/>
    <w:docVar w:name="TrlrDateFlag" w:val="0"/>
    <w:docVar w:name="TrlrDocTitleFlag" w:val="1"/>
    <w:docVar w:name="TrlrDOSFlag" w:val="0"/>
    <w:docVar w:name="TrlrDOSPathFlag" w:val="0"/>
    <w:docVar w:name="TrlrDraftFlag" w:val="0"/>
    <w:docVar w:name="TrlrMatter" w:val="072692-0001"/>
    <w:docVar w:name="TrlrMatterFlag" w:val="0"/>
    <w:docVar w:name="TrlrRedlineFlag" w:val="0"/>
    <w:docVar w:name="TrlrTimeFlag" w:val="1"/>
    <w:docVar w:name="TrlrTypeFlag" w:val="2"/>
  </w:docVars>
  <w:rsids>
    <w:rsidRoot w:val="00D6778B"/>
    <w:rsid w:val="BE3F1D8F"/>
    <w:rsid w:val="DFEF00B5"/>
    <w:rsid w:val="E7EFA68A"/>
    <w:rsid w:val="EDF6C61C"/>
    <w:rsid w:val="FF5EFBCD"/>
    <w:rsid w:val="0000664F"/>
    <w:rsid w:val="00006FA8"/>
    <w:rsid w:val="00007061"/>
    <w:rsid w:val="0001661E"/>
    <w:rsid w:val="0002176F"/>
    <w:rsid w:val="00027452"/>
    <w:rsid w:val="00031AD2"/>
    <w:rsid w:val="0003348A"/>
    <w:rsid w:val="00033705"/>
    <w:rsid w:val="000352B4"/>
    <w:rsid w:val="00035415"/>
    <w:rsid w:val="0003662F"/>
    <w:rsid w:val="00037744"/>
    <w:rsid w:val="00040F7C"/>
    <w:rsid w:val="00045438"/>
    <w:rsid w:val="00051CA8"/>
    <w:rsid w:val="0005462A"/>
    <w:rsid w:val="00054F5E"/>
    <w:rsid w:val="00065F6D"/>
    <w:rsid w:val="0007081E"/>
    <w:rsid w:val="000736DA"/>
    <w:rsid w:val="00075F4A"/>
    <w:rsid w:val="00076269"/>
    <w:rsid w:val="0008075E"/>
    <w:rsid w:val="000A2524"/>
    <w:rsid w:val="000B0F04"/>
    <w:rsid w:val="000B2B5A"/>
    <w:rsid w:val="000B397A"/>
    <w:rsid w:val="000B5361"/>
    <w:rsid w:val="000B56A5"/>
    <w:rsid w:val="000C3DDD"/>
    <w:rsid w:val="000C558B"/>
    <w:rsid w:val="000C6F71"/>
    <w:rsid w:val="000D629D"/>
    <w:rsid w:val="000D6FDA"/>
    <w:rsid w:val="000E0EB7"/>
    <w:rsid w:val="000F08C2"/>
    <w:rsid w:val="000F5443"/>
    <w:rsid w:val="000F54B0"/>
    <w:rsid w:val="000F5F81"/>
    <w:rsid w:val="000F7A1E"/>
    <w:rsid w:val="0010444C"/>
    <w:rsid w:val="001065A5"/>
    <w:rsid w:val="00113061"/>
    <w:rsid w:val="00116F89"/>
    <w:rsid w:val="00123BAA"/>
    <w:rsid w:val="001313ED"/>
    <w:rsid w:val="00134C12"/>
    <w:rsid w:val="001360E4"/>
    <w:rsid w:val="00136958"/>
    <w:rsid w:val="0014065D"/>
    <w:rsid w:val="00146BB1"/>
    <w:rsid w:val="001539E1"/>
    <w:rsid w:val="0016168E"/>
    <w:rsid w:val="0016524A"/>
    <w:rsid w:val="00166447"/>
    <w:rsid w:val="00172E35"/>
    <w:rsid w:val="00175F77"/>
    <w:rsid w:val="00190FE8"/>
    <w:rsid w:val="0019134E"/>
    <w:rsid w:val="00193719"/>
    <w:rsid w:val="001A160E"/>
    <w:rsid w:val="001A583B"/>
    <w:rsid w:val="001B2498"/>
    <w:rsid w:val="001B61B7"/>
    <w:rsid w:val="001C7EE1"/>
    <w:rsid w:val="001D3CF7"/>
    <w:rsid w:val="001D642B"/>
    <w:rsid w:val="001E1FA5"/>
    <w:rsid w:val="001E5A09"/>
    <w:rsid w:val="001E7969"/>
    <w:rsid w:val="001F7167"/>
    <w:rsid w:val="00201644"/>
    <w:rsid w:val="00202D30"/>
    <w:rsid w:val="0020694E"/>
    <w:rsid w:val="0022562B"/>
    <w:rsid w:val="002376FE"/>
    <w:rsid w:val="00237C97"/>
    <w:rsid w:val="0024374F"/>
    <w:rsid w:val="00243DBF"/>
    <w:rsid w:val="002454FD"/>
    <w:rsid w:val="00252E05"/>
    <w:rsid w:val="00253018"/>
    <w:rsid w:val="00256985"/>
    <w:rsid w:val="00260D95"/>
    <w:rsid w:val="00263084"/>
    <w:rsid w:val="00264D4C"/>
    <w:rsid w:val="0026779A"/>
    <w:rsid w:val="00273C83"/>
    <w:rsid w:val="00274F84"/>
    <w:rsid w:val="00280BEB"/>
    <w:rsid w:val="00293C4E"/>
    <w:rsid w:val="002A46D8"/>
    <w:rsid w:val="002B3DEA"/>
    <w:rsid w:val="002D7EDC"/>
    <w:rsid w:val="002E6412"/>
    <w:rsid w:val="002E7848"/>
    <w:rsid w:val="002E7D7B"/>
    <w:rsid w:val="002F30CC"/>
    <w:rsid w:val="00303A7E"/>
    <w:rsid w:val="003046BB"/>
    <w:rsid w:val="00307DBC"/>
    <w:rsid w:val="00313079"/>
    <w:rsid w:val="00315FD7"/>
    <w:rsid w:val="00316239"/>
    <w:rsid w:val="00322077"/>
    <w:rsid w:val="00333829"/>
    <w:rsid w:val="00334E0E"/>
    <w:rsid w:val="00340AA4"/>
    <w:rsid w:val="00341335"/>
    <w:rsid w:val="00343E84"/>
    <w:rsid w:val="00345CD9"/>
    <w:rsid w:val="00363036"/>
    <w:rsid w:val="0036459D"/>
    <w:rsid w:val="0036692F"/>
    <w:rsid w:val="00372D4A"/>
    <w:rsid w:val="003767FB"/>
    <w:rsid w:val="00376BDB"/>
    <w:rsid w:val="00377A03"/>
    <w:rsid w:val="00383407"/>
    <w:rsid w:val="00383739"/>
    <w:rsid w:val="00383CA2"/>
    <w:rsid w:val="00391607"/>
    <w:rsid w:val="003A08F2"/>
    <w:rsid w:val="003B2B65"/>
    <w:rsid w:val="003C37CF"/>
    <w:rsid w:val="003D401C"/>
    <w:rsid w:val="003E1925"/>
    <w:rsid w:val="003F0D44"/>
    <w:rsid w:val="003F3687"/>
    <w:rsid w:val="00400A16"/>
    <w:rsid w:val="00404771"/>
    <w:rsid w:val="00406A61"/>
    <w:rsid w:val="0041322C"/>
    <w:rsid w:val="0041528E"/>
    <w:rsid w:val="00417C26"/>
    <w:rsid w:val="00420CCF"/>
    <w:rsid w:val="00427493"/>
    <w:rsid w:val="00432128"/>
    <w:rsid w:val="00432DE4"/>
    <w:rsid w:val="00447839"/>
    <w:rsid w:val="00462954"/>
    <w:rsid w:val="00463AE6"/>
    <w:rsid w:val="004664FC"/>
    <w:rsid w:val="00477BD8"/>
    <w:rsid w:val="00480185"/>
    <w:rsid w:val="00482EF2"/>
    <w:rsid w:val="00484A33"/>
    <w:rsid w:val="004911D6"/>
    <w:rsid w:val="004935F2"/>
    <w:rsid w:val="00493B33"/>
    <w:rsid w:val="00494442"/>
    <w:rsid w:val="00496020"/>
    <w:rsid w:val="004A4D20"/>
    <w:rsid w:val="004A61BA"/>
    <w:rsid w:val="004A6BF8"/>
    <w:rsid w:val="004B109C"/>
    <w:rsid w:val="004B66CE"/>
    <w:rsid w:val="004C6F12"/>
    <w:rsid w:val="004E5A7E"/>
    <w:rsid w:val="004E5D73"/>
    <w:rsid w:val="004E6244"/>
    <w:rsid w:val="005059EC"/>
    <w:rsid w:val="00511338"/>
    <w:rsid w:val="00514940"/>
    <w:rsid w:val="00516C47"/>
    <w:rsid w:val="00526246"/>
    <w:rsid w:val="00541C4D"/>
    <w:rsid w:val="005427E4"/>
    <w:rsid w:val="00542FFB"/>
    <w:rsid w:val="005510E6"/>
    <w:rsid w:val="005512F7"/>
    <w:rsid w:val="0055627A"/>
    <w:rsid w:val="005622DD"/>
    <w:rsid w:val="00567E13"/>
    <w:rsid w:val="00574FDE"/>
    <w:rsid w:val="0058378C"/>
    <w:rsid w:val="005843DE"/>
    <w:rsid w:val="005A72A6"/>
    <w:rsid w:val="005A795B"/>
    <w:rsid w:val="005B09DC"/>
    <w:rsid w:val="005B51D4"/>
    <w:rsid w:val="005B5ACB"/>
    <w:rsid w:val="005C54E0"/>
    <w:rsid w:val="005C764B"/>
    <w:rsid w:val="005D0857"/>
    <w:rsid w:val="005D234D"/>
    <w:rsid w:val="005D7E52"/>
    <w:rsid w:val="005E0636"/>
    <w:rsid w:val="006024A8"/>
    <w:rsid w:val="00603699"/>
    <w:rsid w:val="00605C22"/>
    <w:rsid w:val="00613B34"/>
    <w:rsid w:val="0061504A"/>
    <w:rsid w:val="00632B1C"/>
    <w:rsid w:val="00643A9D"/>
    <w:rsid w:val="006522C2"/>
    <w:rsid w:val="006570D5"/>
    <w:rsid w:val="00657171"/>
    <w:rsid w:val="006646A3"/>
    <w:rsid w:val="00666F26"/>
    <w:rsid w:val="00673ED0"/>
    <w:rsid w:val="006822CC"/>
    <w:rsid w:val="00686416"/>
    <w:rsid w:val="00696858"/>
    <w:rsid w:val="006A6DE6"/>
    <w:rsid w:val="006C05C6"/>
    <w:rsid w:val="006C4813"/>
    <w:rsid w:val="006C4EE1"/>
    <w:rsid w:val="006C669D"/>
    <w:rsid w:val="006D47C3"/>
    <w:rsid w:val="006E62BA"/>
    <w:rsid w:val="006F5BDA"/>
    <w:rsid w:val="006F7968"/>
    <w:rsid w:val="0070257C"/>
    <w:rsid w:val="007058C8"/>
    <w:rsid w:val="00710ECA"/>
    <w:rsid w:val="00720A5B"/>
    <w:rsid w:val="007252B9"/>
    <w:rsid w:val="00725847"/>
    <w:rsid w:val="007314C8"/>
    <w:rsid w:val="00734AA4"/>
    <w:rsid w:val="00735ACE"/>
    <w:rsid w:val="0074536F"/>
    <w:rsid w:val="00746D18"/>
    <w:rsid w:val="00755D25"/>
    <w:rsid w:val="00760995"/>
    <w:rsid w:val="00760DC7"/>
    <w:rsid w:val="00762BDC"/>
    <w:rsid w:val="00766671"/>
    <w:rsid w:val="00766D72"/>
    <w:rsid w:val="00776AB4"/>
    <w:rsid w:val="0077797F"/>
    <w:rsid w:val="00783464"/>
    <w:rsid w:val="0078577D"/>
    <w:rsid w:val="00792186"/>
    <w:rsid w:val="007930C1"/>
    <w:rsid w:val="0079716C"/>
    <w:rsid w:val="007A12D9"/>
    <w:rsid w:val="007A14C3"/>
    <w:rsid w:val="007A4C50"/>
    <w:rsid w:val="007C161C"/>
    <w:rsid w:val="007C40DF"/>
    <w:rsid w:val="007D095C"/>
    <w:rsid w:val="007D4DC9"/>
    <w:rsid w:val="007D740B"/>
    <w:rsid w:val="007E4321"/>
    <w:rsid w:val="007E44E4"/>
    <w:rsid w:val="007E4AF3"/>
    <w:rsid w:val="007E4BB2"/>
    <w:rsid w:val="007E7AE3"/>
    <w:rsid w:val="008039A5"/>
    <w:rsid w:val="00806668"/>
    <w:rsid w:val="008068B9"/>
    <w:rsid w:val="00822654"/>
    <w:rsid w:val="00822840"/>
    <w:rsid w:val="0083410B"/>
    <w:rsid w:val="0084203B"/>
    <w:rsid w:val="008426B8"/>
    <w:rsid w:val="00843D54"/>
    <w:rsid w:val="0084644E"/>
    <w:rsid w:val="0085083A"/>
    <w:rsid w:val="008536CE"/>
    <w:rsid w:val="00863853"/>
    <w:rsid w:val="008676B9"/>
    <w:rsid w:val="008805C7"/>
    <w:rsid w:val="00886715"/>
    <w:rsid w:val="00893065"/>
    <w:rsid w:val="00896F4D"/>
    <w:rsid w:val="008A1842"/>
    <w:rsid w:val="008E2E40"/>
    <w:rsid w:val="008E4622"/>
    <w:rsid w:val="008E72E4"/>
    <w:rsid w:val="008F7425"/>
    <w:rsid w:val="009015F0"/>
    <w:rsid w:val="009022A3"/>
    <w:rsid w:val="0091347A"/>
    <w:rsid w:val="00915C67"/>
    <w:rsid w:val="0091662A"/>
    <w:rsid w:val="00917E78"/>
    <w:rsid w:val="00920035"/>
    <w:rsid w:val="009333A0"/>
    <w:rsid w:val="00943A7A"/>
    <w:rsid w:val="009565D1"/>
    <w:rsid w:val="009637D8"/>
    <w:rsid w:val="00966C1F"/>
    <w:rsid w:val="00971BB3"/>
    <w:rsid w:val="00981610"/>
    <w:rsid w:val="00984798"/>
    <w:rsid w:val="00994434"/>
    <w:rsid w:val="00995CD3"/>
    <w:rsid w:val="009974FC"/>
    <w:rsid w:val="009A587F"/>
    <w:rsid w:val="009A5900"/>
    <w:rsid w:val="009D1F68"/>
    <w:rsid w:val="009D46AD"/>
    <w:rsid w:val="00A0152E"/>
    <w:rsid w:val="00A02A51"/>
    <w:rsid w:val="00A12516"/>
    <w:rsid w:val="00A24132"/>
    <w:rsid w:val="00A27B67"/>
    <w:rsid w:val="00A32747"/>
    <w:rsid w:val="00A3378D"/>
    <w:rsid w:val="00A3788A"/>
    <w:rsid w:val="00A50875"/>
    <w:rsid w:val="00A51731"/>
    <w:rsid w:val="00A5421C"/>
    <w:rsid w:val="00A62E25"/>
    <w:rsid w:val="00A647A5"/>
    <w:rsid w:val="00A66FA6"/>
    <w:rsid w:val="00A81DBB"/>
    <w:rsid w:val="00A82893"/>
    <w:rsid w:val="00A96035"/>
    <w:rsid w:val="00AA13BC"/>
    <w:rsid w:val="00AA4EDD"/>
    <w:rsid w:val="00AC1A0A"/>
    <w:rsid w:val="00AC4072"/>
    <w:rsid w:val="00AD4F07"/>
    <w:rsid w:val="00AE2EB1"/>
    <w:rsid w:val="00AE5E58"/>
    <w:rsid w:val="00AE75B7"/>
    <w:rsid w:val="00AF095C"/>
    <w:rsid w:val="00AF16AC"/>
    <w:rsid w:val="00AF659E"/>
    <w:rsid w:val="00B05FED"/>
    <w:rsid w:val="00B06DF7"/>
    <w:rsid w:val="00B10EC0"/>
    <w:rsid w:val="00B115A9"/>
    <w:rsid w:val="00B138F0"/>
    <w:rsid w:val="00B27091"/>
    <w:rsid w:val="00B31EA7"/>
    <w:rsid w:val="00B32099"/>
    <w:rsid w:val="00B33031"/>
    <w:rsid w:val="00B36128"/>
    <w:rsid w:val="00B53B7B"/>
    <w:rsid w:val="00B60750"/>
    <w:rsid w:val="00B631A7"/>
    <w:rsid w:val="00B66DC3"/>
    <w:rsid w:val="00B906E6"/>
    <w:rsid w:val="00B929F7"/>
    <w:rsid w:val="00B93943"/>
    <w:rsid w:val="00B97B7C"/>
    <w:rsid w:val="00BA29DC"/>
    <w:rsid w:val="00BA54C0"/>
    <w:rsid w:val="00BA5E3A"/>
    <w:rsid w:val="00BA6B56"/>
    <w:rsid w:val="00BB1FE8"/>
    <w:rsid w:val="00BE14C3"/>
    <w:rsid w:val="00BE2B36"/>
    <w:rsid w:val="00BE37B4"/>
    <w:rsid w:val="00BF48D8"/>
    <w:rsid w:val="00BF6FB3"/>
    <w:rsid w:val="00C03D5E"/>
    <w:rsid w:val="00C155EF"/>
    <w:rsid w:val="00C1621F"/>
    <w:rsid w:val="00C20BCD"/>
    <w:rsid w:val="00C247FA"/>
    <w:rsid w:val="00C251B9"/>
    <w:rsid w:val="00C30B98"/>
    <w:rsid w:val="00C31EE9"/>
    <w:rsid w:val="00C3362C"/>
    <w:rsid w:val="00C35FB0"/>
    <w:rsid w:val="00C36F15"/>
    <w:rsid w:val="00C45530"/>
    <w:rsid w:val="00C50171"/>
    <w:rsid w:val="00C53C11"/>
    <w:rsid w:val="00C54BF8"/>
    <w:rsid w:val="00C61055"/>
    <w:rsid w:val="00C736D6"/>
    <w:rsid w:val="00C75354"/>
    <w:rsid w:val="00C77F78"/>
    <w:rsid w:val="00C82D5C"/>
    <w:rsid w:val="00C8424D"/>
    <w:rsid w:val="00C84C3E"/>
    <w:rsid w:val="00C96637"/>
    <w:rsid w:val="00C978AB"/>
    <w:rsid w:val="00C97975"/>
    <w:rsid w:val="00CA2B22"/>
    <w:rsid w:val="00CA3911"/>
    <w:rsid w:val="00CA57DB"/>
    <w:rsid w:val="00CB5541"/>
    <w:rsid w:val="00CB7C32"/>
    <w:rsid w:val="00CC0115"/>
    <w:rsid w:val="00CC7FCE"/>
    <w:rsid w:val="00CD003E"/>
    <w:rsid w:val="00CE6F79"/>
    <w:rsid w:val="00CE7401"/>
    <w:rsid w:val="00CE76B0"/>
    <w:rsid w:val="00CE7B46"/>
    <w:rsid w:val="00CF0A01"/>
    <w:rsid w:val="00CF1CA0"/>
    <w:rsid w:val="00CF3EEB"/>
    <w:rsid w:val="00CF57D7"/>
    <w:rsid w:val="00D00240"/>
    <w:rsid w:val="00D224EA"/>
    <w:rsid w:val="00D2603F"/>
    <w:rsid w:val="00D4484D"/>
    <w:rsid w:val="00D44DFE"/>
    <w:rsid w:val="00D45AEE"/>
    <w:rsid w:val="00D51A37"/>
    <w:rsid w:val="00D54B1F"/>
    <w:rsid w:val="00D54FD1"/>
    <w:rsid w:val="00D6778B"/>
    <w:rsid w:val="00D67902"/>
    <w:rsid w:val="00D71205"/>
    <w:rsid w:val="00D71E5B"/>
    <w:rsid w:val="00D8089A"/>
    <w:rsid w:val="00D82DEE"/>
    <w:rsid w:val="00D83BB6"/>
    <w:rsid w:val="00D84B7C"/>
    <w:rsid w:val="00D90B1F"/>
    <w:rsid w:val="00D94857"/>
    <w:rsid w:val="00D94BB9"/>
    <w:rsid w:val="00D9743A"/>
    <w:rsid w:val="00DA19E5"/>
    <w:rsid w:val="00DB28CE"/>
    <w:rsid w:val="00DB48F7"/>
    <w:rsid w:val="00DD0D07"/>
    <w:rsid w:val="00DD7311"/>
    <w:rsid w:val="00DD784D"/>
    <w:rsid w:val="00DE7E47"/>
    <w:rsid w:val="00E00B8F"/>
    <w:rsid w:val="00E02C01"/>
    <w:rsid w:val="00E04C45"/>
    <w:rsid w:val="00E13849"/>
    <w:rsid w:val="00E3191C"/>
    <w:rsid w:val="00E35254"/>
    <w:rsid w:val="00E4191C"/>
    <w:rsid w:val="00E43F9F"/>
    <w:rsid w:val="00E4646A"/>
    <w:rsid w:val="00E4730E"/>
    <w:rsid w:val="00E6060B"/>
    <w:rsid w:val="00E61B9D"/>
    <w:rsid w:val="00E62195"/>
    <w:rsid w:val="00E66270"/>
    <w:rsid w:val="00E70CE7"/>
    <w:rsid w:val="00E77CEA"/>
    <w:rsid w:val="00E827AF"/>
    <w:rsid w:val="00E836CE"/>
    <w:rsid w:val="00E86F35"/>
    <w:rsid w:val="00E91D1C"/>
    <w:rsid w:val="00E91E85"/>
    <w:rsid w:val="00E954B1"/>
    <w:rsid w:val="00EA1CD0"/>
    <w:rsid w:val="00EC5F29"/>
    <w:rsid w:val="00ED1B18"/>
    <w:rsid w:val="00ED6CCE"/>
    <w:rsid w:val="00EE5C21"/>
    <w:rsid w:val="00EF241E"/>
    <w:rsid w:val="00F05D83"/>
    <w:rsid w:val="00F07A95"/>
    <w:rsid w:val="00F11F9D"/>
    <w:rsid w:val="00F220E9"/>
    <w:rsid w:val="00F239C4"/>
    <w:rsid w:val="00F24396"/>
    <w:rsid w:val="00F25DBF"/>
    <w:rsid w:val="00F262B1"/>
    <w:rsid w:val="00F273A6"/>
    <w:rsid w:val="00F305C1"/>
    <w:rsid w:val="00F308B8"/>
    <w:rsid w:val="00F31F64"/>
    <w:rsid w:val="00F328B7"/>
    <w:rsid w:val="00F34A58"/>
    <w:rsid w:val="00F438BE"/>
    <w:rsid w:val="00F55F8F"/>
    <w:rsid w:val="00F60122"/>
    <w:rsid w:val="00F61577"/>
    <w:rsid w:val="00F618D0"/>
    <w:rsid w:val="00F66787"/>
    <w:rsid w:val="00F66B5D"/>
    <w:rsid w:val="00F72431"/>
    <w:rsid w:val="00F77120"/>
    <w:rsid w:val="00F8518F"/>
    <w:rsid w:val="00F87A02"/>
    <w:rsid w:val="00F9407E"/>
    <w:rsid w:val="00FA138E"/>
    <w:rsid w:val="00FA23CC"/>
    <w:rsid w:val="00FB1520"/>
    <w:rsid w:val="00FC0B01"/>
    <w:rsid w:val="00FC2FD7"/>
    <w:rsid w:val="00FC3DF0"/>
    <w:rsid w:val="00FD1BA8"/>
    <w:rsid w:val="0EFF7101"/>
    <w:rsid w:val="4BA6DC16"/>
    <w:rsid w:val="5BFAB340"/>
    <w:rsid w:val="73395091"/>
    <w:rsid w:val="7737F960"/>
    <w:rsid w:val="7FA7B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79E6777-F3A3-452C-B779-F3174056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iPriority="0" w:unhideWhenUsed="1" w:qFormat="1"/>
    <w:lsdException w:name="header" w:semiHidden="1" w:qFormat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 w:qFormat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link w:val="a4"/>
    <w:uiPriority w:val="99"/>
    <w:semiHidden/>
    <w:unhideWhenUsed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kern w:val="2"/>
    </w:rPr>
  </w:style>
  <w:style w:type="paragraph" w:styleId="a5">
    <w:name w:val="annotation text"/>
    <w:basedOn w:val="a"/>
    <w:link w:val="a6"/>
    <w:unhideWhenUsed/>
    <w:qFormat/>
    <w:rPr>
      <w:sz w:val="20"/>
      <w:szCs w:val="20"/>
    </w:rPr>
  </w:style>
  <w:style w:type="paragraph" w:styleId="a7">
    <w:name w:val="Body Text"/>
    <w:basedOn w:val="a"/>
    <w:link w:val="a8"/>
    <w:qFormat/>
    <w:pPr>
      <w:widowControl/>
      <w:spacing w:after="240"/>
      <w:jc w:val="left"/>
    </w:pPr>
    <w:rPr>
      <w:rFonts w:cstheme="minorBidi"/>
      <w:kern w:val="0"/>
      <w:sz w:val="24"/>
      <w:lang w:eastAsia="en-US"/>
    </w:rPr>
  </w:style>
  <w:style w:type="paragraph" w:styleId="a9">
    <w:name w:val="endnote text"/>
    <w:basedOn w:val="a"/>
    <w:link w:val="aa"/>
    <w:uiPriority w:val="99"/>
    <w:semiHidden/>
    <w:unhideWhenUsed/>
    <w:qFormat/>
    <w:pPr>
      <w:snapToGrid w:val="0"/>
      <w:jc w:val="left"/>
    </w:pPr>
  </w:style>
  <w:style w:type="paragraph" w:styleId="ab">
    <w:name w:val="Balloon Text"/>
    <w:basedOn w:val="a"/>
    <w:link w:val="ac"/>
    <w:uiPriority w:val="99"/>
    <w:semiHidden/>
    <w:unhideWhenUsed/>
    <w:qFormat/>
    <w:rPr>
      <w:sz w:val="18"/>
      <w:szCs w:val="18"/>
    </w:rPr>
  </w:style>
  <w:style w:type="paragraph" w:styleId="ad">
    <w:name w:val="footer"/>
    <w:basedOn w:val="a"/>
    <w:link w:val="ae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footnote text"/>
    <w:basedOn w:val="a"/>
    <w:link w:val="af2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f3">
    <w:name w:val="annotation subject"/>
    <w:basedOn w:val="a5"/>
    <w:next w:val="a5"/>
    <w:link w:val="af4"/>
    <w:uiPriority w:val="99"/>
    <w:semiHidden/>
    <w:unhideWhenUsed/>
    <w:qFormat/>
    <w:rPr>
      <w:b/>
      <w:bCs/>
    </w:rPr>
  </w:style>
  <w:style w:type="table" w:styleId="af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ndnote reference"/>
    <w:uiPriority w:val="99"/>
    <w:semiHidden/>
    <w:unhideWhenUsed/>
    <w:qFormat/>
    <w:rPr>
      <w:vertAlign w:val="superscript"/>
    </w:rPr>
  </w:style>
  <w:style w:type="character" w:styleId="af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9">
    <w:name w:val="footnote reference"/>
    <w:link w:val="ZFootnoteText"/>
    <w:uiPriority w:val="99"/>
    <w:unhideWhenUsed/>
    <w:qFormat/>
    <w:rPr>
      <w:vertAlign w:val="superscript"/>
    </w:rPr>
  </w:style>
  <w:style w:type="paragraph" w:customStyle="1" w:styleId="ZFootnoteText">
    <w:name w:val="Z_Footnote Text"/>
    <w:basedOn w:val="a"/>
    <w:link w:val="af9"/>
    <w:uiPriority w:val="99"/>
    <w:qFormat/>
    <w:pPr>
      <w:widowControl/>
      <w:spacing w:after="160" w:line="240" w:lineRule="exact"/>
      <w:jc w:val="left"/>
    </w:pPr>
    <w:rPr>
      <w:rFonts w:ascii="Calibri" w:hAnsi="Calibri"/>
      <w:kern w:val="0"/>
      <w:sz w:val="20"/>
      <w:szCs w:val="20"/>
      <w:vertAlign w:val="superscript"/>
    </w:rPr>
  </w:style>
  <w:style w:type="character" w:customStyle="1" w:styleId="aa">
    <w:name w:val="尾注文本 字符"/>
    <w:basedOn w:val="a0"/>
    <w:link w:val="a9"/>
    <w:uiPriority w:val="99"/>
    <w:semiHidden/>
    <w:qFormat/>
  </w:style>
  <w:style w:type="character" w:customStyle="1" w:styleId="af0">
    <w:name w:val="页眉 字符"/>
    <w:link w:val="af"/>
    <w:uiPriority w:val="99"/>
    <w:qFormat/>
    <w:rPr>
      <w:sz w:val="18"/>
      <w:szCs w:val="18"/>
    </w:rPr>
  </w:style>
  <w:style w:type="character" w:customStyle="1" w:styleId="ae">
    <w:name w:val="页脚 字符"/>
    <w:link w:val="ad"/>
    <w:uiPriority w:val="99"/>
    <w:qFormat/>
    <w:rPr>
      <w:sz w:val="18"/>
      <w:szCs w:val="18"/>
    </w:rPr>
  </w:style>
  <w:style w:type="character" w:customStyle="1" w:styleId="af2">
    <w:name w:val="脚注文本 字符"/>
    <w:link w:val="af1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ac">
    <w:name w:val="批注框文本 字符"/>
    <w:basedOn w:val="a0"/>
    <w:link w:val="ab"/>
    <w:uiPriority w:val="99"/>
    <w:semiHidden/>
    <w:qFormat/>
    <w:rPr>
      <w:rFonts w:ascii="Times New Roman" w:hAnsi="Times New Roman"/>
      <w:kern w:val="2"/>
      <w:sz w:val="18"/>
      <w:szCs w:val="18"/>
    </w:rPr>
  </w:style>
  <w:style w:type="paragraph" w:customStyle="1" w:styleId="AMLNotifyCont3">
    <w:name w:val="AMLNotify Cont 3"/>
    <w:basedOn w:val="a"/>
    <w:qFormat/>
    <w:pPr>
      <w:widowControl/>
      <w:spacing w:after="240"/>
    </w:pPr>
    <w:rPr>
      <w:rFonts w:eastAsia="Times New Roman"/>
      <w:kern w:val="0"/>
      <w:sz w:val="24"/>
      <w:szCs w:val="20"/>
      <w:lang w:eastAsia="en-GB"/>
    </w:rPr>
  </w:style>
  <w:style w:type="paragraph" w:customStyle="1" w:styleId="DocId">
    <w:name w:val="DocId"/>
    <w:basedOn w:val="ad"/>
    <w:qFormat/>
    <w:pPr>
      <w:widowControl/>
      <w:tabs>
        <w:tab w:val="clear" w:pos="4153"/>
        <w:tab w:val="clear" w:pos="8306"/>
        <w:tab w:val="center" w:pos="4680"/>
        <w:tab w:val="right" w:pos="9360"/>
      </w:tabs>
      <w:snapToGrid/>
    </w:pPr>
    <w:rPr>
      <w:rFonts w:cstheme="minorBidi"/>
      <w:kern w:val="0"/>
      <w:sz w:val="16"/>
      <w:szCs w:val="16"/>
      <w:lang w:eastAsia="en-US"/>
    </w:rPr>
  </w:style>
  <w:style w:type="paragraph" w:customStyle="1" w:styleId="11">
    <w:name w:val="修订1"/>
    <w:hidden/>
    <w:uiPriority w:val="99"/>
    <w:semiHidden/>
    <w:qFormat/>
    <w:rPr>
      <w:rFonts w:ascii="Times New Roman" w:hAnsi="Times New Roman"/>
      <w:kern w:val="2"/>
      <w:sz w:val="21"/>
      <w:szCs w:val="22"/>
    </w:rPr>
  </w:style>
  <w:style w:type="paragraph" w:styleId="af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  <w:style w:type="character" w:customStyle="1" w:styleId="a4">
    <w:name w:val="宏文本 字符"/>
    <w:basedOn w:val="a0"/>
    <w:link w:val="a3"/>
    <w:uiPriority w:val="99"/>
    <w:semiHidden/>
    <w:qFormat/>
    <w:rPr>
      <w:rFonts w:ascii="Consolas" w:hAnsi="Consolas"/>
      <w:kern w:val="2"/>
    </w:rPr>
  </w:style>
  <w:style w:type="paragraph" w:customStyle="1" w:styleId="ShortOutline1">
    <w:name w:val="ShortOutline1"/>
    <w:basedOn w:val="a"/>
    <w:uiPriority w:val="4"/>
    <w:qFormat/>
    <w:pPr>
      <w:widowControl/>
      <w:numPr>
        <w:numId w:val="1"/>
      </w:numPr>
      <w:spacing w:before="240" w:after="240"/>
      <w:jc w:val="left"/>
    </w:pPr>
    <w:rPr>
      <w:kern w:val="0"/>
      <w:sz w:val="24"/>
      <w:szCs w:val="24"/>
      <w:lang w:bidi="he-IL"/>
    </w:rPr>
  </w:style>
  <w:style w:type="paragraph" w:customStyle="1" w:styleId="ShortOutline2">
    <w:name w:val="ShortOutline2"/>
    <w:basedOn w:val="a"/>
    <w:uiPriority w:val="4"/>
    <w:qFormat/>
    <w:pPr>
      <w:widowControl/>
      <w:numPr>
        <w:ilvl w:val="1"/>
        <w:numId w:val="1"/>
      </w:numPr>
      <w:spacing w:before="240" w:after="240"/>
      <w:jc w:val="left"/>
    </w:pPr>
    <w:rPr>
      <w:color w:val="000000"/>
      <w:kern w:val="0"/>
      <w:sz w:val="24"/>
      <w:szCs w:val="24"/>
      <w:lang w:bidi="he-IL"/>
    </w:rPr>
  </w:style>
  <w:style w:type="paragraph" w:customStyle="1" w:styleId="ShortOutline3">
    <w:name w:val="ShortOutline3"/>
    <w:basedOn w:val="a"/>
    <w:uiPriority w:val="4"/>
    <w:qFormat/>
    <w:pPr>
      <w:widowControl/>
      <w:numPr>
        <w:ilvl w:val="2"/>
        <w:numId w:val="1"/>
      </w:numPr>
      <w:spacing w:before="240" w:after="240"/>
      <w:jc w:val="left"/>
    </w:pPr>
    <w:rPr>
      <w:color w:val="000000"/>
      <w:kern w:val="0"/>
      <w:sz w:val="24"/>
      <w:szCs w:val="24"/>
      <w:lang w:bidi="he-IL"/>
    </w:rPr>
  </w:style>
  <w:style w:type="paragraph" w:customStyle="1" w:styleId="ShortOutline4">
    <w:name w:val="ShortOutline4"/>
    <w:basedOn w:val="a"/>
    <w:uiPriority w:val="4"/>
    <w:qFormat/>
    <w:pPr>
      <w:widowControl/>
      <w:numPr>
        <w:ilvl w:val="3"/>
        <w:numId w:val="1"/>
      </w:numPr>
      <w:spacing w:before="240" w:after="240"/>
      <w:jc w:val="left"/>
    </w:pPr>
    <w:rPr>
      <w:color w:val="000000"/>
      <w:kern w:val="0"/>
      <w:sz w:val="24"/>
      <w:szCs w:val="24"/>
      <w:lang w:bidi="he-IL"/>
    </w:rPr>
  </w:style>
  <w:style w:type="paragraph" w:customStyle="1" w:styleId="ShortOutline5">
    <w:name w:val="ShortOutline5"/>
    <w:basedOn w:val="a"/>
    <w:uiPriority w:val="4"/>
    <w:qFormat/>
    <w:pPr>
      <w:widowControl/>
      <w:numPr>
        <w:ilvl w:val="4"/>
        <w:numId w:val="1"/>
      </w:numPr>
      <w:spacing w:before="240" w:after="240"/>
      <w:jc w:val="left"/>
    </w:pPr>
    <w:rPr>
      <w:color w:val="000000"/>
      <w:kern w:val="0"/>
      <w:sz w:val="24"/>
      <w:szCs w:val="24"/>
      <w:lang w:bidi="he-IL"/>
    </w:rPr>
  </w:style>
  <w:style w:type="character" w:customStyle="1" w:styleId="Draftline">
    <w:name w:val="Draftline"/>
    <w:qFormat/>
    <w:rPr>
      <w:rFonts w:ascii="Times New Roman" w:hAnsi="Times New Roman" w:cs="Times New Roman"/>
      <w:vanish/>
      <w:color w:val="FF0000"/>
      <w:spacing w:val="0"/>
      <w:w w:val="100"/>
      <w:kern w:val="0"/>
      <w:sz w:val="15"/>
      <w:szCs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paragraph" w:customStyle="1" w:styleId="FooterB">
    <w:name w:val="Footer B"/>
    <w:link w:val="FooterBChar"/>
    <w:qFormat/>
    <w:pPr>
      <w:tabs>
        <w:tab w:val="center" w:pos="4320"/>
        <w:tab w:val="right" w:pos="8640"/>
      </w:tabs>
      <w:snapToGrid w:val="0"/>
    </w:pPr>
    <w:rPr>
      <w:rFonts w:ascii="Times New Roman" w:hAnsi="Times New Roman"/>
      <w:sz w:val="15"/>
      <w:szCs w:val="24"/>
    </w:rPr>
  </w:style>
  <w:style w:type="character" w:customStyle="1" w:styleId="FooterBChar">
    <w:name w:val="Footer B Char"/>
    <w:basedOn w:val="a0"/>
    <w:link w:val="FooterB"/>
    <w:qFormat/>
    <w:rPr>
      <w:rFonts w:ascii="Times New Roman" w:hAnsi="Times New Roman"/>
      <w:sz w:val="15"/>
      <w:szCs w:val="24"/>
    </w:rPr>
  </w:style>
  <w:style w:type="character" w:customStyle="1" w:styleId="a6">
    <w:name w:val="批注文字 字符"/>
    <w:basedOn w:val="a0"/>
    <w:link w:val="a5"/>
    <w:qFormat/>
    <w:rPr>
      <w:rFonts w:ascii="Times New Roman" w:hAnsi="Times New Roman"/>
      <w:kern w:val="2"/>
    </w:rPr>
  </w:style>
  <w:style w:type="character" w:customStyle="1" w:styleId="af4">
    <w:name w:val="批注主题 字符"/>
    <w:basedOn w:val="a6"/>
    <w:link w:val="af3"/>
    <w:uiPriority w:val="99"/>
    <w:semiHidden/>
    <w:qFormat/>
    <w:rPr>
      <w:rFonts w:ascii="Times New Roman" w:hAnsi="Times New Roman"/>
      <w:b/>
      <w:bCs/>
      <w:kern w:val="2"/>
    </w:rPr>
  </w:style>
  <w:style w:type="character" w:customStyle="1" w:styleId="a8">
    <w:name w:val="正文文本 字符"/>
    <w:basedOn w:val="a0"/>
    <w:link w:val="a7"/>
    <w:qFormat/>
    <w:rPr>
      <w:rFonts w:ascii="Times New Roman" w:hAnsi="Times New Roman" w:cstheme="minorBidi"/>
      <w:sz w:val="24"/>
      <w:szCs w:val="22"/>
      <w:lang w:eastAsia="en-US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="Times New Roman" w:hAnsi="Times New Roman"/>
      <w:b/>
      <w:bCs/>
      <w:kern w:val="2"/>
      <w:sz w:val="32"/>
      <w:szCs w:val="32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rFonts w:ascii="Times New Roman" w:hAnsi="Times New Roman"/>
      <w:kern w:val="2"/>
      <w:sz w:val="21"/>
      <w:szCs w:val="22"/>
    </w:rPr>
  </w:style>
  <w:style w:type="paragraph" w:customStyle="1" w:styleId="31">
    <w:name w:val="修订3"/>
    <w:hidden/>
    <w:uiPriority w:val="99"/>
    <w:semiHidden/>
    <w:qFormat/>
    <w:rPr>
      <w:rFonts w:ascii="Times New Roman" w:hAnsi="Times New Roman"/>
      <w:kern w:val="2"/>
      <w:sz w:val="21"/>
      <w:szCs w:val="22"/>
    </w:rPr>
  </w:style>
  <w:style w:type="paragraph" w:styleId="afb">
    <w:name w:val="Revision"/>
    <w:hidden/>
    <w:uiPriority w:val="99"/>
    <w:unhideWhenUsed/>
    <w:rsid w:val="00051CA8"/>
    <w:rPr>
      <w:rFonts w:ascii="Times New Roman" w:hAnsi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E88B9-5285-4B4E-BADC-8F720E6FB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1329</Characters>
  <Application>Microsoft Office Word</Application>
  <DocSecurity>0</DocSecurity>
  <Lines>11</Lines>
  <Paragraphs>3</Paragraphs>
  <ScaleCrop>false</ScaleCrop>
  <Company>Nagashima Ohno &amp; Tsunematsu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Sunland</cp:lastModifiedBy>
  <cp:revision>3</cp:revision>
  <dcterms:created xsi:type="dcterms:W3CDTF">2024-12-27T17:19:00Z</dcterms:created>
  <dcterms:modified xsi:type="dcterms:W3CDTF">2024-12-30T09:22:00Z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099750</vt:lpwstr>
  </property>
  <property fmtid="{D5CDD505-2E9C-101B-9397-08002B2CF9AE}" pid="3" name="Matter">
    <vt:lpwstr>0102</vt:lpwstr>
  </property>
  <property fmtid="{D5CDD505-2E9C-101B-9397-08002B2CF9AE}" pid="4" name="MicrosystemsComparison">
    <vt:lpwstr>{9edf1103-200e-4306-b89e-9c343e727ef8}</vt:lpwstr>
  </property>
  <property fmtid="{D5CDD505-2E9C-101B-9397-08002B2CF9AE}" pid="5" name="REF">
    <vt:lpwstr>{REF:0726920001}</vt:lpwstr>
  </property>
  <property fmtid="{D5CDD505-2E9C-101B-9397-08002B2CF9AE}" pid="6" name="KSOProductBuildVer">
    <vt:lpwstr>2052-6.14.0.8924</vt:lpwstr>
  </property>
  <property fmtid="{D5CDD505-2E9C-101B-9397-08002B2CF9AE}" pid="7" name="ICV">
    <vt:lpwstr>69EB0982DE40E47D4B146E67C89E2BE1_43</vt:lpwstr>
  </property>
</Properties>
</file>