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方正小标宋简体" w:hAnsi="方正小标宋简体" w:eastAsia="方正小标宋简体" w:cs="方正小标宋简体"/>
          <w:color w:val="040404"/>
          <w:sz w:val="44"/>
          <w:szCs w:val="44"/>
          <w:lang w:val="en"/>
        </w:rPr>
      </w:pPr>
      <w:r>
        <w:rPr>
          <w:rFonts w:hint="eastAsia" w:ascii="方正小标宋简体" w:hAnsi="方正小标宋简体" w:eastAsia="方正小标宋简体" w:cs="方正小标宋简体"/>
          <w:sz w:val="44"/>
          <w:szCs w:val="44"/>
          <w:lang w:val="en"/>
        </w:rPr>
        <w:t>关于202</w:t>
      </w:r>
      <w:r>
        <w:rPr>
          <w:rFonts w:hint="eastAsia" w:ascii="方正小标宋简体" w:hAnsi="方正小标宋简体" w:eastAsia="方正小标宋简体" w:cs="方正小标宋简体"/>
          <w:sz w:val="44"/>
          <w:szCs w:val="44"/>
        </w:rPr>
        <w:t>6</w:t>
      </w:r>
      <w:r>
        <w:rPr>
          <w:rFonts w:hint="eastAsia" w:ascii="方正小标宋简体" w:hAnsi="方正小标宋简体" w:eastAsia="方正小标宋简体" w:cs="方正小标宋简体"/>
          <w:sz w:val="44"/>
          <w:szCs w:val="44"/>
          <w:lang w:val="en"/>
        </w:rPr>
        <w:t>年</w:t>
      </w:r>
      <w:r>
        <w:rPr>
          <w:rFonts w:hint="eastAsia" w:ascii="方正小标宋简体" w:hAnsi="方正小标宋简体" w:eastAsia="方正小标宋简体" w:cs="方正小标宋简体"/>
          <w:color w:val="040404"/>
          <w:sz w:val="44"/>
          <w:szCs w:val="44"/>
          <w:lang w:val="en"/>
        </w:rPr>
        <w:t>上海市标准化推进专项资金</w:t>
      </w:r>
    </w:p>
    <w:p>
      <w:pPr>
        <w:snapToGrid w:val="0"/>
        <w:jc w:val="center"/>
        <w:rPr>
          <w:rFonts w:hint="eastAsia" w:ascii="方正小标宋简体" w:hAnsi="方正小标宋简体" w:eastAsia="方正小标宋简体" w:cs="方正小标宋简体"/>
          <w:sz w:val="44"/>
          <w:szCs w:val="44"/>
          <w:lang w:val="en"/>
        </w:rPr>
      </w:pPr>
      <w:r>
        <w:rPr>
          <w:rFonts w:hint="eastAsia" w:ascii="方正小标宋简体" w:hAnsi="方正小标宋简体" w:eastAsia="方正小标宋简体" w:cs="方正小标宋简体"/>
          <w:color w:val="040404"/>
          <w:sz w:val="44"/>
          <w:szCs w:val="44"/>
          <w:lang w:val="en" w:eastAsia="zh-CN"/>
        </w:rPr>
        <w:t>申报项目</w:t>
      </w:r>
      <w:r>
        <w:rPr>
          <w:rFonts w:hint="eastAsia" w:ascii="方正小标宋简体" w:hAnsi="方正小标宋简体" w:eastAsia="方正小标宋简体" w:cs="方正小标宋简体"/>
          <w:color w:val="040404"/>
          <w:sz w:val="44"/>
          <w:szCs w:val="44"/>
          <w:lang w:val="en"/>
        </w:rPr>
        <w:t>拟支持项目的公示</w:t>
      </w:r>
    </w:p>
    <w:p>
      <w:pPr>
        <w:pStyle w:val="5"/>
        <w:shd w:val="clear" w:color="auto" w:fill="FFFFFF"/>
        <w:spacing w:before="0" w:beforeAutospacing="0" w:after="0" w:afterAutospacing="0" w:line="380" w:lineRule="atLeast"/>
        <w:rPr>
          <w:rFonts w:hint="eastAsia" w:ascii="仿宋_GB2312" w:hAnsi="仿宋_GB2312" w:eastAsia="仿宋_GB2312" w:cs="仿宋_GB2312"/>
          <w:color w:val="040404"/>
          <w:sz w:val="32"/>
          <w:szCs w:val="32"/>
        </w:rPr>
      </w:pPr>
    </w:p>
    <w:p>
      <w:pPr>
        <w:pStyle w:val="5"/>
        <w:shd w:val="clear" w:color="auto" w:fill="FFFFFF"/>
        <w:spacing w:before="0" w:beforeAutospacing="0" w:after="0" w:afterAutospacing="0" w:line="380" w:lineRule="atLeast"/>
        <w:rPr>
          <w:rFonts w:hint="eastAsia" w:ascii="仿宋_GB2312" w:hAnsi="仿宋_GB2312" w:eastAsia="仿宋_GB2312" w:cs="仿宋_GB2312"/>
          <w:color w:val="040404"/>
          <w:sz w:val="32"/>
          <w:szCs w:val="32"/>
        </w:rPr>
      </w:pPr>
      <w:r>
        <w:rPr>
          <w:rFonts w:hint="eastAsia" w:ascii="仿宋_GB2312" w:hAnsi="仿宋_GB2312" w:eastAsia="仿宋_GB2312" w:cs="仿宋_GB2312"/>
          <w:color w:val="040404"/>
          <w:sz w:val="32"/>
          <w:szCs w:val="32"/>
        </w:rPr>
        <w:t>各有关单位：</w:t>
      </w:r>
    </w:p>
    <w:p>
      <w:pPr>
        <w:pStyle w:val="5"/>
        <w:shd w:val="clear" w:color="auto" w:fill="FFFFFF"/>
        <w:spacing w:before="0" w:beforeAutospacing="0" w:after="0" w:afterAutospacing="0" w:line="380" w:lineRule="atLeast"/>
        <w:ind w:firstLine="640"/>
        <w:rPr>
          <w:rFonts w:hint="eastAsia" w:ascii="仿宋_GB2312" w:hAnsi="仿宋_GB2312" w:eastAsia="仿宋_GB2312" w:cs="仿宋_GB2312"/>
          <w:color w:val="000000"/>
          <w:sz w:val="32"/>
          <w:szCs w:val="32"/>
          <w:lang w:val="en"/>
        </w:rPr>
      </w:pPr>
      <w:r>
        <w:rPr>
          <w:rFonts w:hint="eastAsia" w:ascii="仿宋_GB2312" w:hAnsi="仿宋_GB2312" w:eastAsia="仿宋_GB2312" w:cs="仿宋_GB2312"/>
          <w:color w:val="040404"/>
          <w:sz w:val="32"/>
          <w:szCs w:val="32"/>
        </w:rPr>
        <w:t>根据《2026年度上海市标准化推进专项资金项目申请指南》，经各区预审、专家评审、标准化领导小组成员单位意见征求，</w:t>
      </w:r>
      <w:r>
        <w:rPr>
          <w:rFonts w:hint="eastAsia" w:ascii="仿宋_GB2312" w:hAnsi="仿宋_GB2312" w:eastAsia="仿宋_GB2312" w:cs="仿宋_GB2312"/>
          <w:color w:val="040404"/>
          <w:sz w:val="32"/>
          <w:szCs w:val="32"/>
          <w:lang w:eastAsia="zh-CN"/>
        </w:rPr>
        <w:t>我局</w:t>
      </w:r>
      <w:r>
        <w:rPr>
          <w:rFonts w:hint="eastAsia" w:ascii="仿宋_GB2312" w:hAnsi="仿宋_GB2312" w:eastAsia="仿宋_GB2312" w:cs="仿宋_GB2312"/>
          <w:color w:val="040404"/>
          <w:sz w:val="32"/>
          <w:szCs w:val="32"/>
        </w:rPr>
        <w:t>编制了</w:t>
      </w:r>
      <w:r>
        <w:rPr>
          <w:rFonts w:hint="eastAsia" w:ascii="仿宋_GB2312" w:hAnsi="仿宋_GB2312" w:eastAsia="仿宋_GB2312" w:cs="仿宋_GB2312"/>
          <w:color w:val="040404"/>
          <w:sz w:val="32"/>
          <w:szCs w:val="32"/>
          <w:lang w:eastAsia="zh-CN"/>
        </w:rPr>
        <w:t>申报项目</w:t>
      </w:r>
      <w:r>
        <w:rPr>
          <w:rFonts w:hint="eastAsia" w:ascii="仿宋_GB2312" w:hAnsi="仿宋_GB2312" w:eastAsia="仿宋_GB2312" w:cs="仿宋_GB2312"/>
          <w:color w:val="040404"/>
          <w:sz w:val="32"/>
          <w:szCs w:val="32"/>
        </w:rPr>
        <w:t>资助计划</w:t>
      </w:r>
      <w:r>
        <w:rPr>
          <w:rFonts w:ascii="仿宋_GB2312" w:hAnsi="仿宋_GB2312" w:eastAsia="仿宋_GB2312" w:cs="仿宋_GB2312"/>
          <w:color w:val="040404"/>
          <w:sz w:val="32"/>
          <w:szCs w:val="32"/>
          <w:lang w:val="en"/>
        </w:rPr>
        <w:t>。</w:t>
      </w:r>
      <w:r>
        <w:rPr>
          <w:rFonts w:hint="eastAsia" w:ascii="仿宋_GB2312" w:hAnsi="仿宋_GB2312" w:eastAsia="仿宋_GB2312" w:cs="仿宋_GB2312"/>
          <w:color w:val="040404"/>
          <w:sz w:val="32"/>
          <w:szCs w:val="32"/>
        </w:rPr>
        <w:t>现</w:t>
      </w:r>
      <w:r>
        <w:rPr>
          <w:rFonts w:ascii="仿宋_GB2312" w:hAnsi="仿宋_GB2312" w:eastAsia="仿宋_GB2312" w:cs="仿宋_GB2312"/>
          <w:color w:val="040404"/>
          <w:sz w:val="32"/>
          <w:szCs w:val="32"/>
          <w:lang w:val="en"/>
        </w:rPr>
        <w:t>对拟支持项目</w:t>
      </w:r>
      <w:r>
        <w:rPr>
          <w:rFonts w:hint="eastAsia" w:ascii="仿宋_GB2312" w:hAnsi="仿宋_GB2312" w:eastAsia="仿宋_GB2312" w:cs="仿宋_GB2312"/>
          <w:color w:val="040404"/>
          <w:sz w:val="32"/>
          <w:szCs w:val="32"/>
        </w:rPr>
        <w:t>予以公示</w:t>
      </w:r>
      <w:r>
        <w:rPr>
          <w:rFonts w:ascii="仿宋_GB2312" w:hAnsi="仿宋_GB2312" w:eastAsia="仿宋_GB2312" w:cs="仿宋_GB2312"/>
          <w:color w:val="040404"/>
          <w:sz w:val="32"/>
          <w:szCs w:val="32"/>
          <w:lang w:val="en"/>
        </w:rPr>
        <w:t>，</w:t>
      </w:r>
      <w:r>
        <w:rPr>
          <w:rFonts w:hint="eastAsia" w:ascii="仿宋_GB2312" w:hAnsi="仿宋_GB2312" w:eastAsia="仿宋_GB2312" w:cs="仿宋_GB2312"/>
          <w:color w:val="000000"/>
          <w:sz w:val="32"/>
          <w:szCs w:val="32"/>
        </w:rPr>
        <w:t>公示期</w:t>
      </w:r>
      <w:r>
        <w:rPr>
          <w:rFonts w:ascii="仿宋_GB2312" w:hAnsi="仿宋_GB2312" w:eastAsia="仿宋_GB2312" w:cs="仿宋_GB2312"/>
          <w:color w:val="000000"/>
          <w:sz w:val="32"/>
          <w:szCs w:val="32"/>
          <w:lang w:val="en"/>
        </w:rPr>
        <w:t>为</w:t>
      </w:r>
      <w:r>
        <w:rPr>
          <w:rFonts w:hint="eastAsia" w:ascii="仿宋_GB2312" w:hAnsi="仿宋_GB2312" w:eastAsia="仿宋_GB2312" w:cs="仿宋_GB2312"/>
          <w:color w:val="000000"/>
          <w:sz w:val="32"/>
          <w:szCs w:val="32"/>
          <w:highlight w:val="none"/>
        </w:rPr>
        <w:t>2026年</w:t>
      </w:r>
      <w:r>
        <w:rPr>
          <w:rFonts w:hint="eastAsia" w:ascii="仿宋_GB2312" w:hAnsi="仿宋_GB2312" w:eastAsia="仿宋_GB2312" w:cs="仿宋_GB2312"/>
          <w:color w:val="000000"/>
          <w:sz w:val="32"/>
          <w:szCs w:val="32"/>
          <w:highlight w:val="none"/>
          <w:lang w:val="en-US" w:eastAsia="zh-CN"/>
        </w:rPr>
        <w:t>10</w:t>
      </w:r>
      <w:r>
        <w:rPr>
          <w:rFonts w:hint="eastAsia" w:ascii="仿宋_GB2312" w:hAnsi="仿宋_GB2312" w:eastAsia="仿宋_GB2312" w:cs="仿宋_GB2312"/>
          <w:color w:val="000000"/>
          <w:sz w:val="32"/>
          <w:szCs w:val="32"/>
          <w:highlight w:val="none"/>
        </w:rPr>
        <w:t>月</w:t>
      </w:r>
      <w:r>
        <w:rPr>
          <w:rFonts w:hint="eastAsia" w:ascii="仿宋_GB2312" w:hAnsi="仿宋_GB2312" w:eastAsia="仿宋_GB2312" w:cs="仿宋_GB2312"/>
          <w:color w:val="000000"/>
          <w:sz w:val="32"/>
          <w:szCs w:val="32"/>
          <w:highlight w:val="none"/>
          <w:lang w:val="en-US" w:eastAsia="zh-CN"/>
        </w:rPr>
        <w:t>23</w:t>
      </w:r>
      <w:r>
        <w:rPr>
          <w:rFonts w:hint="eastAsia" w:ascii="仿宋_GB2312" w:hAnsi="仿宋_GB2312" w:eastAsia="仿宋_GB2312" w:cs="仿宋_GB2312"/>
          <w:color w:val="000000"/>
          <w:sz w:val="32"/>
          <w:szCs w:val="32"/>
          <w:highlight w:val="none"/>
        </w:rPr>
        <w:t>日至2026年</w:t>
      </w:r>
      <w:r>
        <w:rPr>
          <w:rFonts w:hint="eastAsia" w:ascii="仿宋_GB2312" w:hAnsi="仿宋_GB2312" w:eastAsia="仿宋_GB2312" w:cs="仿宋_GB2312"/>
          <w:color w:val="000000"/>
          <w:sz w:val="32"/>
          <w:szCs w:val="32"/>
          <w:highlight w:val="none"/>
          <w:lang w:val="en-US" w:eastAsia="zh-CN"/>
        </w:rPr>
        <w:t>11</w:t>
      </w:r>
      <w:r>
        <w:rPr>
          <w:rFonts w:hint="eastAsia" w:ascii="仿宋_GB2312" w:hAnsi="仿宋_GB2312" w:eastAsia="仿宋_GB2312" w:cs="仿宋_GB2312"/>
          <w:color w:val="000000"/>
          <w:sz w:val="32"/>
          <w:szCs w:val="32"/>
          <w:highlight w:val="none"/>
        </w:rPr>
        <w:t>月</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日</w:t>
      </w:r>
      <w:r>
        <w:rPr>
          <w:rFonts w:ascii="仿宋_GB2312" w:hAnsi="仿宋_GB2312" w:eastAsia="仿宋_GB2312" w:cs="仿宋_GB2312"/>
          <w:color w:val="000000"/>
          <w:sz w:val="32"/>
          <w:szCs w:val="32"/>
          <w:lang w:val="en"/>
        </w:rPr>
        <w:t>。</w:t>
      </w:r>
    </w:p>
    <w:p>
      <w:pPr>
        <w:pStyle w:val="5"/>
        <w:shd w:val="clear" w:color="auto" w:fill="FFFFFF"/>
        <w:spacing w:before="0" w:beforeAutospacing="0" w:after="0" w:afterAutospacing="0" w:line="380" w:lineRule="atLeast"/>
        <w:ind w:firstLine="640"/>
        <w:rPr>
          <w:rFonts w:hint="eastAsia" w:ascii="仿宋_GB2312" w:hAnsi="仿宋_GB2312" w:eastAsia="仿宋_GB2312" w:cs="仿宋_GB2312"/>
          <w:color w:val="040404"/>
          <w:sz w:val="32"/>
          <w:szCs w:val="32"/>
        </w:rPr>
      </w:pPr>
      <w:r>
        <w:rPr>
          <w:rFonts w:ascii="仿宋_GB2312" w:hAnsi="仿宋_GB2312" w:eastAsia="仿宋_GB2312" w:cs="仿宋_GB2312"/>
          <w:color w:val="040404"/>
          <w:sz w:val="32"/>
          <w:szCs w:val="32"/>
          <w:lang w:val="en"/>
        </w:rPr>
        <w:t>对公示内容持有异议的，请于公示期内以书面形式向我局反映。</w:t>
      </w:r>
      <w:r>
        <w:rPr>
          <w:rFonts w:hint="eastAsia" w:ascii="仿宋_GB2312" w:hAnsi="仿宋_GB2312" w:eastAsia="仿宋_GB2312" w:cs="仿宋_GB2312"/>
          <w:color w:val="040404"/>
          <w:sz w:val="32"/>
          <w:szCs w:val="32"/>
        </w:rPr>
        <w:t>单位提出异议的，应当在异议材料上加盖单位公章</w:t>
      </w:r>
      <w:r>
        <w:rPr>
          <w:rFonts w:ascii="仿宋_GB2312" w:hAnsi="仿宋_GB2312" w:eastAsia="仿宋_GB2312" w:cs="仿宋_GB2312"/>
          <w:color w:val="040404"/>
          <w:sz w:val="32"/>
          <w:szCs w:val="32"/>
          <w:lang w:val="en"/>
        </w:rPr>
        <w:t>，并注明联系人和联系电话</w:t>
      </w:r>
      <w:r>
        <w:rPr>
          <w:rFonts w:hint="eastAsia" w:ascii="仿宋_GB2312" w:hAnsi="仿宋_GB2312" w:eastAsia="仿宋_GB2312" w:cs="仿宋_GB2312"/>
          <w:color w:val="040404"/>
          <w:sz w:val="32"/>
          <w:szCs w:val="32"/>
        </w:rPr>
        <w:t>；个人提出异议的，应当在异议材料上签署（不能打印）真实姓名，</w:t>
      </w:r>
      <w:r>
        <w:rPr>
          <w:rFonts w:ascii="仿宋_GB2312" w:hAnsi="仿宋_GB2312" w:eastAsia="仿宋_GB2312" w:cs="仿宋_GB2312"/>
          <w:color w:val="040404"/>
          <w:sz w:val="32"/>
          <w:szCs w:val="32"/>
          <w:lang w:val="en"/>
        </w:rPr>
        <w:t>并注明姓名和联系电话。</w:t>
      </w:r>
      <w:r>
        <w:rPr>
          <w:rFonts w:hint="eastAsia" w:ascii="仿宋_GB2312" w:hAnsi="仿宋_GB2312" w:eastAsia="仿宋_GB2312" w:cs="仿宋_GB2312"/>
          <w:color w:val="040404"/>
          <w:sz w:val="32"/>
          <w:szCs w:val="32"/>
        </w:rPr>
        <w:t>我局对异议</w:t>
      </w:r>
      <w:r>
        <w:rPr>
          <w:rFonts w:ascii="仿宋_GB2312" w:hAnsi="仿宋_GB2312" w:eastAsia="仿宋_GB2312" w:cs="仿宋_GB2312"/>
          <w:color w:val="040404"/>
          <w:sz w:val="32"/>
          <w:szCs w:val="32"/>
          <w:lang w:val="en"/>
        </w:rPr>
        <w:t>者的信息</w:t>
      </w:r>
      <w:r>
        <w:rPr>
          <w:rFonts w:hint="eastAsia" w:ascii="仿宋_GB2312" w:hAnsi="仿宋_GB2312" w:eastAsia="仿宋_GB2312" w:cs="仿宋_GB2312"/>
          <w:color w:val="040404"/>
          <w:sz w:val="32"/>
          <w:szCs w:val="32"/>
        </w:rPr>
        <w:t>予以</w:t>
      </w:r>
      <w:r>
        <w:rPr>
          <w:rFonts w:ascii="仿宋_GB2312" w:hAnsi="仿宋_GB2312" w:eastAsia="仿宋_GB2312" w:cs="仿宋_GB2312"/>
          <w:color w:val="040404"/>
          <w:sz w:val="32"/>
          <w:szCs w:val="32"/>
          <w:lang w:val="en"/>
        </w:rPr>
        <w:t>保密</w:t>
      </w:r>
      <w:r>
        <w:rPr>
          <w:rFonts w:hint="eastAsia" w:ascii="仿宋_GB2312" w:hAnsi="仿宋_GB2312" w:eastAsia="仿宋_GB2312" w:cs="仿宋_GB2312"/>
          <w:color w:val="040404"/>
          <w:sz w:val="32"/>
          <w:szCs w:val="32"/>
        </w:rPr>
        <w:t>。为保证异议处理客观、公正、公平，保护</w:t>
      </w:r>
      <w:r>
        <w:rPr>
          <w:rFonts w:ascii="仿宋_GB2312" w:hAnsi="仿宋_GB2312" w:eastAsia="仿宋_GB2312" w:cs="仿宋_GB2312"/>
          <w:color w:val="040404"/>
          <w:sz w:val="32"/>
          <w:szCs w:val="32"/>
          <w:lang w:val="en"/>
        </w:rPr>
        <w:t>被公示者</w:t>
      </w:r>
      <w:r>
        <w:rPr>
          <w:rFonts w:hint="eastAsia" w:ascii="仿宋_GB2312" w:hAnsi="仿宋_GB2312" w:eastAsia="仿宋_GB2312" w:cs="仿宋_GB2312"/>
          <w:color w:val="040404"/>
          <w:sz w:val="32"/>
          <w:szCs w:val="32"/>
        </w:rPr>
        <w:t>的合法权益，</w:t>
      </w:r>
      <w:r>
        <w:rPr>
          <w:rFonts w:ascii="仿宋_GB2312" w:hAnsi="仿宋_GB2312" w:eastAsia="仿宋_GB2312" w:cs="仿宋_GB2312"/>
          <w:color w:val="040404"/>
          <w:sz w:val="32"/>
          <w:szCs w:val="32"/>
          <w:lang w:val="en"/>
        </w:rPr>
        <w:t>我局对匿名且无明确证据和可查线索的异议，</w:t>
      </w:r>
      <w:r>
        <w:rPr>
          <w:rFonts w:hint="eastAsia" w:ascii="仿宋_GB2312" w:hAnsi="仿宋_GB2312" w:eastAsia="仿宋_GB2312" w:cs="仿宋_GB2312"/>
          <w:color w:val="040404"/>
          <w:sz w:val="32"/>
          <w:szCs w:val="32"/>
        </w:rPr>
        <w:t>不予受理。</w:t>
      </w:r>
    </w:p>
    <w:p>
      <w:pPr>
        <w:pStyle w:val="5"/>
        <w:shd w:val="clear" w:color="auto" w:fill="FFFFFF"/>
        <w:spacing w:before="0" w:beforeAutospacing="0" w:after="0" w:afterAutospacing="0" w:line="380" w:lineRule="atLeast"/>
        <w:ind w:firstLine="640"/>
        <w:rPr>
          <w:rFonts w:hint="eastAsia" w:ascii="仿宋_GB2312" w:hAnsi="仿宋_GB2312" w:eastAsia="仿宋_GB2312" w:cs="仿宋_GB2312"/>
          <w:color w:val="040404"/>
          <w:sz w:val="32"/>
          <w:szCs w:val="32"/>
        </w:rPr>
      </w:pPr>
      <w:r>
        <w:rPr>
          <w:rFonts w:ascii="仿宋_GB2312" w:hAnsi="仿宋_GB2312" w:eastAsia="仿宋_GB2312" w:cs="仿宋_GB2312"/>
          <w:color w:val="000000"/>
          <w:sz w:val="32"/>
          <w:szCs w:val="32"/>
          <w:lang w:val="en"/>
        </w:rPr>
        <w:t>材料寄送地址：上海市市场监管局标准</w:t>
      </w:r>
      <w:r>
        <w:rPr>
          <w:rFonts w:hint="eastAsia" w:ascii="仿宋_GB2312" w:hAnsi="仿宋_GB2312" w:eastAsia="仿宋_GB2312" w:cs="仿宋_GB2312"/>
          <w:color w:val="000000"/>
          <w:sz w:val="32"/>
          <w:szCs w:val="32"/>
          <w:lang w:val="en"/>
        </w:rPr>
        <w:t>化</w:t>
      </w:r>
      <w:r>
        <w:rPr>
          <w:rFonts w:ascii="仿宋_GB2312" w:hAnsi="仿宋_GB2312" w:eastAsia="仿宋_GB2312" w:cs="仿宋_GB2312"/>
          <w:color w:val="000000"/>
          <w:sz w:val="32"/>
          <w:szCs w:val="32"/>
          <w:lang w:val="en"/>
        </w:rPr>
        <w:t>处（上海市徐汇区肇嘉浜路301号25楼</w:t>
      </w:r>
      <w:r>
        <w:rPr>
          <w:rFonts w:hint="eastAsia" w:ascii="仿宋_GB2312" w:hAnsi="仿宋_GB2312" w:eastAsia="仿宋_GB2312" w:cs="仿宋_GB2312"/>
          <w:color w:val="000000"/>
          <w:sz w:val="32"/>
          <w:szCs w:val="32"/>
          <w:lang w:val="en"/>
        </w:rPr>
        <w:t>，</w:t>
      </w:r>
      <w:r>
        <w:rPr>
          <w:rFonts w:ascii="仿宋_GB2312" w:hAnsi="仿宋_GB2312" w:eastAsia="仿宋_GB2312" w:cs="仿宋_GB2312"/>
          <w:color w:val="000000"/>
          <w:sz w:val="32"/>
          <w:szCs w:val="32"/>
          <w:lang w:val="en"/>
        </w:rPr>
        <w:t>邮编200032）。咨询</w:t>
      </w:r>
      <w:r>
        <w:rPr>
          <w:rFonts w:hint="eastAsia" w:ascii="仿宋_GB2312" w:hAnsi="仿宋_GB2312" w:eastAsia="仿宋_GB2312" w:cs="仿宋_GB2312"/>
          <w:color w:val="040404"/>
          <w:sz w:val="32"/>
          <w:szCs w:val="32"/>
        </w:rPr>
        <w:t>电话：</w:t>
      </w:r>
      <w:r>
        <w:rPr>
          <w:rFonts w:ascii="仿宋_GB2312" w:hAnsi="仿宋_GB2312" w:eastAsia="仿宋_GB2312" w:cs="仿宋_GB2312"/>
          <w:color w:val="040404"/>
          <w:sz w:val="32"/>
          <w:szCs w:val="32"/>
          <w:lang w:val="en"/>
        </w:rPr>
        <w:t>64220000转</w:t>
      </w:r>
      <w:r>
        <w:rPr>
          <w:rFonts w:hint="eastAsia" w:ascii="仿宋_GB2312" w:hAnsi="仿宋_GB2312" w:eastAsia="仿宋_GB2312" w:cs="仿宋_GB2312"/>
          <w:color w:val="040404"/>
          <w:sz w:val="32"/>
          <w:szCs w:val="32"/>
        </w:rPr>
        <w:t>2508</w:t>
      </w:r>
      <w:r>
        <w:rPr>
          <w:rFonts w:ascii="仿宋_GB2312" w:hAnsi="仿宋_GB2312" w:eastAsia="仿宋_GB2312" w:cs="仿宋_GB2312"/>
          <w:color w:val="040404"/>
          <w:sz w:val="32"/>
          <w:szCs w:val="32"/>
          <w:lang w:val="en"/>
        </w:rPr>
        <w:t>分机</w:t>
      </w:r>
      <w:r>
        <w:rPr>
          <w:rFonts w:hint="eastAsia" w:ascii="仿宋_GB2312" w:hAnsi="仿宋_GB2312" w:eastAsia="仿宋_GB2312" w:cs="仿宋_GB2312"/>
          <w:color w:val="040404"/>
          <w:sz w:val="32"/>
          <w:szCs w:val="32"/>
        </w:rPr>
        <w:t>。</w:t>
      </w:r>
    </w:p>
    <w:p>
      <w:pPr>
        <w:pStyle w:val="5"/>
        <w:shd w:val="clear" w:color="auto" w:fill="FFFFFF"/>
        <w:spacing w:before="0" w:beforeAutospacing="0" w:after="0" w:afterAutospacing="0" w:line="380" w:lineRule="atLeast"/>
        <w:rPr>
          <w:rFonts w:hint="eastAsia" w:ascii="仿宋_GB2312" w:hAnsi="仿宋_GB2312" w:eastAsia="仿宋_GB2312" w:cs="仿宋_GB2312"/>
          <w:color w:val="040404"/>
          <w:sz w:val="32"/>
          <w:szCs w:val="32"/>
        </w:rPr>
      </w:pPr>
      <w:r>
        <w:rPr>
          <w:rFonts w:hint="eastAsia" w:ascii="仿宋_GB2312" w:hAnsi="仿宋_GB2312" w:eastAsia="仿宋_GB2312" w:cs="仿宋_GB2312"/>
          <w:color w:val="040404"/>
          <w:sz w:val="32"/>
          <w:szCs w:val="32"/>
        </w:rPr>
        <w:t>　　</w:t>
      </w:r>
    </w:p>
    <w:p>
      <w:pPr>
        <w:pStyle w:val="5"/>
        <w:shd w:val="clear" w:color="auto" w:fill="FFFFFF"/>
        <w:spacing w:before="0" w:beforeAutospacing="0" w:after="0" w:afterAutospacing="0" w:line="380" w:lineRule="atLeast"/>
        <w:ind w:firstLine="640" w:firstLineChars="200"/>
        <w:rPr>
          <w:rFonts w:hint="eastAsia" w:ascii="仿宋_GB2312" w:hAnsi="仿宋_GB2312" w:eastAsia="仿宋_GB2312" w:cs="仿宋_GB2312"/>
          <w:color w:val="040404"/>
          <w:sz w:val="32"/>
          <w:szCs w:val="32"/>
          <w:lang w:val="en"/>
        </w:rPr>
      </w:pPr>
      <w:r>
        <w:rPr>
          <w:rFonts w:hint="eastAsia" w:ascii="仿宋_GB2312" w:hAnsi="仿宋_GB2312" w:eastAsia="仿宋_GB2312" w:cs="仿宋_GB2312"/>
          <w:color w:val="040404"/>
          <w:sz w:val="32"/>
          <w:szCs w:val="32"/>
        </w:rPr>
        <w:t>附件：2026年</w:t>
      </w:r>
      <w:r>
        <w:rPr>
          <w:rFonts w:ascii="仿宋_GB2312" w:hAnsi="仿宋_GB2312" w:eastAsia="仿宋_GB2312" w:cs="仿宋_GB2312"/>
          <w:color w:val="040404"/>
          <w:sz w:val="32"/>
          <w:szCs w:val="32"/>
          <w:lang w:val="en"/>
        </w:rPr>
        <w:t>上海市标准化推进专项资金</w:t>
      </w:r>
      <w:r>
        <w:rPr>
          <w:rFonts w:hint="eastAsia" w:ascii="仿宋_GB2312" w:hAnsi="仿宋_GB2312" w:eastAsia="仿宋_GB2312" w:cs="仿宋_GB2312"/>
          <w:color w:val="040404"/>
          <w:sz w:val="32"/>
          <w:szCs w:val="32"/>
          <w:lang w:val="en" w:eastAsia="zh-CN"/>
        </w:rPr>
        <w:t>申报项目</w:t>
      </w:r>
      <w:r>
        <w:rPr>
          <w:rFonts w:hint="eastAsia" w:ascii="仿宋_GB2312" w:hAnsi="仿宋_GB2312" w:eastAsia="仿宋_GB2312" w:cs="仿宋_GB2312"/>
          <w:color w:val="040404"/>
          <w:sz w:val="32"/>
          <w:szCs w:val="32"/>
        </w:rPr>
        <w:t>拟</w:t>
      </w:r>
      <w:r>
        <w:rPr>
          <w:rFonts w:ascii="仿宋_GB2312" w:hAnsi="仿宋_GB2312" w:eastAsia="仿宋_GB2312" w:cs="仿宋_GB2312"/>
          <w:color w:val="040404"/>
          <w:sz w:val="32"/>
          <w:szCs w:val="32"/>
          <w:lang w:val="en"/>
        </w:rPr>
        <w:t>支持项目</w:t>
      </w:r>
    </w:p>
    <w:p>
      <w:pPr>
        <w:pStyle w:val="5"/>
        <w:shd w:val="clear" w:color="auto" w:fill="FFFFFF"/>
        <w:spacing w:before="0" w:beforeAutospacing="0" w:after="0" w:afterAutospacing="0" w:line="380" w:lineRule="atLeast"/>
        <w:jc w:val="right"/>
        <w:rPr>
          <w:rFonts w:hint="eastAsia" w:ascii="仿宋_GB2312" w:hAnsi="仿宋_GB2312" w:eastAsia="仿宋_GB2312" w:cs="仿宋_GB2312"/>
          <w:color w:val="040404"/>
          <w:sz w:val="32"/>
          <w:szCs w:val="32"/>
        </w:rPr>
      </w:pPr>
      <w:r>
        <w:rPr>
          <w:rFonts w:ascii="仿宋_GB2312" w:hAnsi="仿宋_GB2312" w:eastAsia="仿宋_GB2312" w:cs="仿宋_GB2312"/>
          <w:color w:val="040404"/>
          <w:sz w:val="32"/>
          <w:szCs w:val="32"/>
          <w:lang w:val="en"/>
        </w:rPr>
        <w:t>上海</w:t>
      </w:r>
      <w:r>
        <w:rPr>
          <w:rFonts w:hint="eastAsia" w:ascii="仿宋_GB2312" w:hAnsi="仿宋_GB2312" w:eastAsia="仿宋_GB2312" w:cs="仿宋_GB2312"/>
          <w:color w:val="040404"/>
          <w:sz w:val="32"/>
          <w:szCs w:val="32"/>
        </w:rPr>
        <w:t>市市场监督管理局</w:t>
      </w:r>
    </w:p>
    <w:p>
      <w:pPr>
        <w:pStyle w:val="5"/>
        <w:shd w:val="clear" w:color="auto" w:fill="FFFFFF"/>
        <w:wordWrap w:val="0"/>
        <w:spacing w:before="0" w:beforeAutospacing="0" w:after="0" w:afterAutospacing="0" w:line="380" w:lineRule="atLeast"/>
        <w:jc w:val="right"/>
        <w:rPr>
          <w:rFonts w:hint="eastAsia" w:ascii="仿宋_GB2312" w:hAnsi="仿宋_GB2312" w:eastAsia="仿宋_GB2312" w:cs="仿宋_GB2312"/>
          <w:color w:val="040404"/>
          <w:sz w:val="32"/>
          <w:szCs w:val="32"/>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040404"/>
          <w:sz w:val="32"/>
          <w:szCs w:val="32"/>
          <w:highlight w:val="none"/>
        </w:rPr>
        <w:t>2026</w:t>
      </w:r>
      <w:bookmarkStart w:id="0" w:name="_GoBack"/>
      <w:bookmarkEnd w:id="0"/>
      <w:r>
        <w:rPr>
          <w:rFonts w:hint="eastAsia" w:ascii="仿宋_GB2312" w:hAnsi="仿宋_GB2312" w:eastAsia="仿宋_GB2312" w:cs="仿宋_GB2312"/>
          <w:color w:val="040404"/>
          <w:sz w:val="32"/>
          <w:szCs w:val="32"/>
          <w:highlight w:val="none"/>
        </w:rPr>
        <w:t>年</w:t>
      </w:r>
      <w:r>
        <w:rPr>
          <w:rFonts w:hint="eastAsia" w:ascii="仿宋_GB2312" w:hAnsi="仿宋_GB2312" w:eastAsia="仿宋_GB2312" w:cs="仿宋_GB2312"/>
          <w:color w:val="040404"/>
          <w:sz w:val="32"/>
          <w:szCs w:val="32"/>
          <w:highlight w:val="none"/>
          <w:lang w:val="en-US" w:eastAsia="zh-CN"/>
        </w:rPr>
        <w:t>10</w:t>
      </w:r>
      <w:r>
        <w:rPr>
          <w:rFonts w:hint="eastAsia" w:ascii="仿宋_GB2312" w:hAnsi="仿宋_GB2312" w:eastAsia="仿宋_GB2312" w:cs="仿宋_GB2312"/>
          <w:color w:val="040404"/>
          <w:sz w:val="32"/>
          <w:szCs w:val="32"/>
          <w:highlight w:val="none"/>
        </w:rPr>
        <w:t>月</w:t>
      </w:r>
      <w:r>
        <w:rPr>
          <w:rFonts w:hint="eastAsia" w:ascii="仿宋_GB2312" w:hAnsi="仿宋_GB2312" w:eastAsia="仿宋_GB2312" w:cs="仿宋_GB2312"/>
          <w:color w:val="040404"/>
          <w:sz w:val="32"/>
          <w:szCs w:val="32"/>
          <w:highlight w:val="none"/>
          <w:lang w:val="en-US" w:eastAsia="zh-CN"/>
        </w:rPr>
        <w:t>22</w:t>
      </w:r>
      <w:r>
        <w:rPr>
          <w:rFonts w:hint="eastAsia" w:ascii="仿宋_GB2312" w:hAnsi="仿宋_GB2312" w:eastAsia="仿宋_GB2312" w:cs="仿宋_GB2312"/>
          <w:color w:val="040404"/>
          <w:sz w:val="32"/>
          <w:szCs w:val="32"/>
          <w:highlight w:val="none"/>
        </w:rPr>
        <w:t>日</w:t>
      </w:r>
      <w:r>
        <w:rPr>
          <w:rFonts w:hint="eastAsia" w:ascii="仿宋_GB2312" w:hAnsi="仿宋_GB2312" w:eastAsia="仿宋_GB2312" w:cs="仿宋_GB2312"/>
          <w:color w:val="040404"/>
          <w:sz w:val="32"/>
          <w:szCs w:val="32"/>
        </w:rPr>
        <w:t xml:space="preserve">  </w:t>
      </w:r>
    </w:p>
    <w:p>
      <w:pPr>
        <w:pStyle w:val="5"/>
        <w:shd w:val="clear" w:color="auto" w:fill="FFFFFF"/>
        <w:spacing w:before="0" w:beforeAutospacing="0" w:after="0" w:afterAutospacing="0" w:line="380" w:lineRule="atLeast"/>
        <w:rPr>
          <w:rFonts w:hint="eastAsia" w:ascii="仿宋_GB2312" w:hAnsi="仿宋_GB2312" w:eastAsia="仿宋_GB2312" w:cs="仿宋_GB2312"/>
          <w:color w:val="040404"/>
          <w:sz w:val="32"/>
          <w:szCs w:val="32"/>
        </w:rPr>
      </w:pPr>
      <w:r>
        <w:rPr>
          <w:rFonts w:hint="eastAsia" w:ascii="仿宋_GB2312" w:hAnsi="仿宋_GB2312" w:eastAsia="仿宋_GB2312" w:cs="仿宋_GB2312"/>
          <w:color w:val="040404"/>
          <w:sz w:val="32"/>
          <w:szCs w:val="32"/>
        </w:rPr>
        <w:t>附件：</w:t>
      </w:r>
    </w:p>
    <w:p>
      <w:pPr>
        <w:pStyle w:val="5"/>
        <w:shd w:val="clear" w:color="auto" w:fill="FFFFFF"/>
        <w:spacing w:before="0" w:beforeAutospacing="0" w:after="0" w:afterAutospacing="0" w:line="380" w:lineRule="atLeast"/>
        <w:jc w:val="center"/>
        <w:rPr>
          <w:rFonts w:hint="eastAsia" w:ascii="仿宋_GB2312" w:hAnsi="仿宋_GB2312" w:eastAsia="仿宋_GB2312" w:cs="仿宋_GB2312"/>
          <w:color w:val="040404"/>
          <w:sz w:val="32"/>
          <w:szCs w:val="32"/>
        </w:rPr>
      </w:pPr>
      <w:r>
        <w:rPr>
          <w:rFonts w:hint="eastAsia" w:ascii="仿宋_GB2312" w:hAnsi="仿宋_GB2312" w:eastAsia="仿宋_GB2312" w:cs="仿宋_GB2312"/>
          <w:color w:val="040404"/>
          <w:sz w:val="32"/>
          <w:szCs w:val="32"/>
        </w:rPr>
        <w:t>2026年上海市标准化推进专项资金申报项目拟支持项目</w:t>
      </w:r>
    </w:p>
    <w:tbl>
      <w:tblPr>
        <w:tblStyle w:val="6"/>
        <w:tblW w:w="4889" w:type="pct"/>
        <w:tblInd w:w="0" w:type="dxa"/>
        <w:tblLayout w:type="fixed"/>
        <w:tblCellMar>
          <w:top w:w="0" w:type="dxa"/>
          <w:left w:w="108" w:type="dxa"/>
          <w:bottom w:w="0" w:type="dxa"/>
          <w:right w:w="108" w:type="dxa"/>
        </w:tblCellMar>
      </w:tblPr>
      <w:tblGrid>
        <w:gridCol w:w="1002"/>
        <w:gridCol w:w="1294"/>
        <w:gridCol w:w="1587"/>
        <w:gridCol w:w="5901"/>
        <w:gridCol w:w="4780"/>
      </w:tblGrid>
      <w:tr>
        <w:tblPrEx>
          <w:tblCellMar>
            <w:top w:w="0" w:type="dxa"/>
            <w:left w:w="108" w:type="dxa"/>
            <w:bottom w:w="0" w:type="dxa"/>
            <w:right w:w="108" w:type="dxa"/>
          </w:tblCellMar>
        </w:tblPrEx>
        <w:trPr>
          <w:trHeight w:val="780" w:hRule="atLeast"/>
        </w:trPr>
        <w:tc>
          <w:tcPr>
            <w:tcW w:w="344"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序号</w:t>
            </w:r>
          </w:p>
        </w:tc>
        <w:tc>
          <w:tcPr>
            <w:tcW w:w="989" w:type="pct"/>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b/>
                <w:bCs/>
                <w:color w:val="000000"/>
                <w:kern w:val="0"/>
                <w:sz w:val="22"/>
                <w:lang w:bidi="ar"/>
              </w:rPr>
            </w:pPr>
            <w:r>
              <w:rPr>
                <w:rFonts w:hint="eastAsia" w:ascii="宋体" w:hAnsi="宋体" w:eastAsia="宋体" w:cs="宋体"/>
                <w:b/>
                <w:bCs/>
                <w:color w:val="000000"/>
                <w:kern w:val="0"/>
                <w:sz w:val="22"/>
                <w:lang w:bidi="ar"/>
              </w:rPr>
              <w:t>项目类别</w:t>
            </w:r>
          </w:p>
        </w:tc>
        <w:tc>
          <w:tcPr>
            <w:tcW w:w="2026"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项目名称</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秘书处单位（承担单位）</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w:t>
            </w:r>
          </w:p>
        </w:tc>
        <w:tc>
          <w:tcPr>
            <w:tcW w:w="444" w:type="pct"/>
            <w:vMerge w:val="restart"/>
            <w:tcBorders>
              <w:top w:val="single" w:color="000000" w:sz="4" w:space="0"/>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sz w:val="22"/>
              </w:rPr>
              <w:t>标准制修订</w:t>
            </w:r>
          </w:p>
        </w:tc>
        <w:tc>
          <w:tcPr>
            <w:tcW w:w="545" w:type="pct"/>
            <w:vMerge w:val="restart"/>
            <w:tcBorders>
              <w:top w:val="single" w:color="000000" w:sz="4" w:space="0"/>
              <w:left w:val="single" w:color="000000" w:sz="4" w:space="0"/>
              <w:bottom w:val="single" w:color="auto"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参与</w:t>
            </w:r>
            <w:r>
              <w:rPr>
                <w:rFonts w:ascii="宋体" w:hAnsi="宋体" w:eastAsia="宋体" w:cs="宋体"/>
                <w:color w:val="000000"/>
                <w:kern w:val="0"/>
                <w:sz w:val="22"/>
                <w:lang w:bidi="ar"/>
              </w:rPr>
              <w:t>制定国际标准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IEC 61156-14:2025 数字通信用对绞或星绞多芯对称电缆</w:t>
            </w:r>
            <w:r>
              <w:rPr>
                <w:rFonts w:ascii="宋体" w:hAnsi="宋体" w:eastAsia="宋体" w:cs="宋体"/>
                <w:color w:val="000000"/>
                <w:kern w:val="0"/>
                <w:sz w:val="22"/>
                <w:lang w:bidi="ar"/>
              </w:rPr>
              <w:t xml:space="preserve"> 第</w:t>
            </w:r>
            <w:r>
              <w:rPr>
                <w:rFonts w:hint="eastAsia" w:ascii="宋体" w:hAnsi="宋体" w:eastAsia="宋体" w:cs="宋体"/>
                <w:color w:val="000000"/>
                <w:kern w:val="0"/>
                <w:sz w:val="22"/>
                <w:lang w:bidi="ar"/>
              </w:rPr>
              <w:t xml:space="preserve">14部分：传输特性达20MHz的单线对对称电缆-工作区布线系统-分规范 </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上海电缆研究所有限公司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auto"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IEC 63208:2025 低压开关设备和控制设备及其成套设备 网络安全</w:t>
            </w:r>
            <w:r>
              <w:rPr>
                <w:rFonts w:hint="eastAsia" w:ascii="宋体" w:hAnsi="宋体" w:cs="宋体"/>
                <w:color w:val="000000"/>
                <w:kern w:val="0"/>
                <w:sz w:val="22"/>
                <w:lang w:bidi="ar"/>
              </w:rPr>
              <w:t>等2项国际标准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上海电器科学研究院</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3</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auto"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ISO/TS 5770:2025 精细陶瓷（高性能陶瓷，高技术陶瓷）-相对法评价陶瓷涂层导热系数</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上海英佛曼纳米科技股份有限公司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4</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auto"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IEC 62906-6-1:2025 激光显示 第6-1部分：色域空间横截面的可视化方法</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上海唯视锐光电技术有限公司</w:t>
            </w:r>
          </w:p>
        </w:tc>
      </w:tr>
      <w:tr>
        <w:tblPrEx>
          <w:tblCellMar>
            <w:top w:w="0" w:type="dxa"/>
            <w:left w:w="108" w:type="dxa"/>
            <w:bottom w:w="0" w:type="dxa"/>
            <w:right w:w="108" w:type="dxa"/>
          </w:tblCellMar>
        </w:tblPrEx>
        <w:trPr>
          <w:trHeight w:val="635"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5</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auto"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ISO/IEC 30129 建筑物及其他构筑物的电信接地网络等4项国际标准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上海天诚通信技术股份有限公司</w:t>
            </w:r>
          </w:p>
        </w:tc>
      </w:tr>
      <w:tr>
        <w:tblPrEx>
          <w:tblCellMar>
            <w:top w:w="0" w:type="dxa"/>
            <w:left w:w="108" w:type="dxa"/>
            <w:bottom w:w="0" w:type="dxa"/>
            <w:right w:w="108" w:type="dxa"/>
          </w:tblCellMar>
        </w:tblPrEx>
        <w:trPr>
          <w:trHeight w:val="577"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6</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restart"/>
            <w:tcBorders>
              <w:top w:val="single" w:color="auto" w:sz="4" w:space="0"/>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主导制定国家标准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cs="宋体"/>
                <w:color w:val="000000"/>
                <w:sz w:val="22"/>
              </w:rPr>
              <w:t>GB/T 45579-2025 机器人智能化视觉评价方法及等级划分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上海机器人产业技术研究院有限公司</w:t>
            </w:r>
          </w:p>
        </w:tc>
      </w:tr>
      <w:tr>
        <w:tblPrEx>
          <w:tblCellMar>
            <w:top w:w="0" w:type="dxa"/>
            <w:left w:w="108" w:type="dxa"/>
            <w:bottom w:w="0" w:type="dxa"/>
            <w:right w:w="108" w:type="dxa"/>
          </w:tblCellMar>
        </w:tblPrEx>
        <w:trPr>
          <w:trHeight w:val="552"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7</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44602—2024 网络安全技术 智能门锁网络安全技术规范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公安部第三研究所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8</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43545-2023 危险货物检验安全规范 超级电容器</w:t>
            </w:r>
            <w:r>
              <w:rPr>
                <w:rFonts w:hint="eastAsia" w:ascii="宋体" w:hAnsi="宋体" w:cs="宋体"/>
                <w:color w:val="000000"/>
                <w:sz w:val="22"/>
              </w:rPr>
              <w:t>等2项国家标准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上海化工院检测有限公司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9</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44782-</w:t>
            </w:r>
            <w:r>
              <w:rPr>
                <w:rFonts w:ascii="宋体" w:hAnsi="宋体" w:eastAsia="宋体" w:cs="宋体"/>
                <w:color w:val="000000"/>
                <w:sz w:val="22"/>
              </w:rPr>
              <w:t>2024 空间站无容器材料实验柜</w:t>
            </w:r>
            <w:r>
              <w:rPr>
                <w:rFonts w:hint="eastAsia" w:ascii="宋体" w:hAnsi="宋体" w:eastAsia="宋体" w:cs="宋体"/>
                <w:color w:val="000000"/>
                <w:sz w:val="22"/>
              </w:rPr>
              <w:t xml:space="preserve"> 实验样品地面制备规范</w:t>
            </w:r>
            <w:r>
              <w:rPr>
                <w:rFonts w:hint="eastAsia" w:ascii="宋体" w:hAnsi="宋体" w:cs="宋体"/>
                <w:color w:val="000000"/>
                <w:sz w:val="22"/>
              </w:rPr>
              <w:t>等2项国家标准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中国科学院上海硅酸盐研究所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10</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45500-2025 车载激光雷达性能要求及试验方法国家标准制定</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上海禾赛科技有限公司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11</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45107—2024 表土剥离及其再利用技术要求</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上海辰山植物园</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12</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2624.5-2024 用安装在圆形截面管道中的差压装置测量满管流体流量 第5部分：锥形装置</w:t>
            </w:r>
            <w:r>
              <w:rPr>
                <w:rFonts w:hint="eastAsia" w:ascii="宋体" w:hAnsi="宋体" w:cs="宋体"/>
                <w:color w:val="000000"/>
                <w:sz w:val="22"/>
              </w:rPr>
              <w:t>、</w:t>
            </w:r>
            <w:r>
              <w:rPr>
                <w:rFonts w:hint="eastAsia" w:ascii="宋体" w:hAnsi="宋体" w:eastAsia="宋体" w:cs="宋体"/>
                <w:color w:val="000000"/>
                <w:sz w:val="22"/>
              </w:rPr>
              <w:t>GB/T 2624.6-2024第6部分：楔形装置</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上海工业自动化仪表研究院有限公司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13</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45729-2025 激光材料中激活离子浓度测试方法</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中国科学院上海光学精密机械研究所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14</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45548-2025 氘代试剂同位素丰度的测定 核磁共振波谱法</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上海化工研究院有限公司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15</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46088-2025 无损检测 长材视觉检测方法</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上海金艺检测技术有限公司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16</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 39800.5-2023 个体防护装备配备规范 第5部分：建材</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上海市安全生产科学研究所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single" w:color="000000" w:sz="4" w:space="0"/>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17</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44906-2024 生物质锅炉技术规范</w:t>
            </w:r>
            <w:r>
              <w:rPr>
                <w:rFonts w:hint="eastAsia" w:ascii="宋体" w:hAnsi="宋体" w:cs="宋体"/>
                <w:color w:val="000000"/>
                <w:sz w:val="22"/>
              </w:rPr>
              <w:t>等2项国家标准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上海工业锅炉研究所有限公司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18</w:t>
            </w:r>
          </w:p>
        </w:tc>
        <w:tc>
          <w:tcPr>
            <w:tcW w:w="444"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45607-2025 船舶与海上技术</w:t>
            </w:r>
            <w:r>
              <w:rPr>
                <w:rFonts w:ascii="宋体" w:hAnsi="宋体" w:eastAsia="宋体" w:cs="宋体"/>
                <w:color w:val="000000"/>
                <w:sz w:val="22"/>
              </w:rPr>
              <w:t xml:space="preserve"> </w:t>
            </w:r>
            <w:r>
              <w:rPr>
                <w:rFonts w:hint="eastAsia" w:ascii="宋体" w:hAnsi="宋体" w:eastAsia="宋体" w:cs="宋体"/>
                <w:color w:val="000000"/>
                <w:sz w:val="22"/>
              </w:rPr>
              <w:t>船舶系泊和拖带设备</w:t>
            </w:r>
            <w:r>
              <w:rPr>
                <w:rFonts w:ascii="宋体" w:hAnsi="宋体" w:eastAsia="宋体" w:cs="宋体"/>
                <w:color w:val="000000"/>
                <w:sz w:val="22"/>
              </w:rPr>
              <w:t xml:space="preserve"> 系泊导缆孔底座</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江南造船（集团）有限责任公司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19</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44572—2024 双向拉伸聚乙烯（BOPE）薄膜</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上海若祎新材料科技有限公司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20</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GB/T 44428-2024化妆品中大麻二酚和四氢大麻酚的测定 液相色谱-串联质谱法</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上海市质量监督检验技术研究院有限公司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21</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GB/T 44896-2024 新闻出版 知识服务 知识体系建设与应用</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上海理工大学</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22</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GB/T 44234-</w:t>
            </w:r>
            <w:r>
              <w:rPr>
                <w:rFonts w:ascii="宋体" w:hAnsi="宋体" w:eastAsia="宋体" w:cs="宋体"/>
                <w:color w:val="000000"/>
                <w:sz w:val="22"/>
              </w:rPr>
              <w:t>2024 纳米技术</w:t>
            </w:r>
            <w:r>
              <w:rPr>
                <w:rFonts w:hint="eastAsia" w:ascii="宋体" w:hAnsi="宋体" w:eastAsia="宋体" w:cs="宋体"/>
                <w:color w:val="000000"/>
                <w:sz w:val="22"/>
              </w:rPr>
              <w:t xml:space="preserve"> 纳米材料与气体表界作用热力学参数和动力学参数测量 谐振微质量法</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中国科学院上海微系统与信息技术研究所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23</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eastAsia="宋体" w:cs="宋体"/>
                <w:color w:val="000000"/>
                <w:sz w:val="22"/>
              </w:rPr>
              <w:t>主导修订国家标准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GB/T 30595-2024 建筑保温用挤塑聚苯板（XPS）系统材料</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上海建科咨询集团股份有限公司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24</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restart"/>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cs="宋体"/>
                <w:color w:val="000000"/>
                <w:sz w:val="22"/>
              </w:rPr>
            </w:pPr>
            <w:r>
              <w:rPr>
                <w:rFonts w:hint="eastAsia" w:ascii="宋体" w:hAnsi="宋体" w:eastAsia="宋体" w:cs="宋体"/>
                <w:color w:val="000000"/>
                <w:sz w:val="22"/>
              </w:rPr>
              <w:t>主导制定行业标准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GA/T 2182—2024 信息安全技术 关键信息基础设施安全测评要求</w:t>
            </w:r>
            <w:r>
              <w:rPr>
                <w:rFonts w:hint="eastAsia" w:ascii="宋体" w:hAnsi="宋体" w:cs="宋体"/>
                <w:color w:val="000000"/>
                <w:sz w:val="22"/>
              </w:rPr>
              <w:t>等2项行业标准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公安部第三研究所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25</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YY/T 1935—2024 磁共振环境中植入式心脏起搏器及心律转复除颤器的安全要求和测试方法</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上海市医疗器械检验研究院</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26</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YD/T 5260-2024 光纤到户</w:t>
            </w:r>
            <w:r>
              <w:rPr>
                <w:rFonts w:ascii="宋体" w:hAnsi="宋体" w:eastAsia="宋体" w:cs="宋体"/>
                <w:color w:val="000000"/>
                <w:sz w:val="22"/>
              </w:rPr>
              <w:t>（含商业建筑）</w:t>
            </w:r>
            <w:r>
              <w:rPr>
                <w:rFonts w:hint="eastAsia" w:ascii="宋体" w:hAnsi="宋体" w:eastAsia="宋体" w:cs="宋体"/>
                <w:color w:val="000000"/>
                <w:sz w:val="22"/>
              </w:rPr>
              <w:t>工程设计安装图集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上海邮电设计咨询研究院有限公司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27</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TB/T 3598.2-2024 市域（郊）铁路列控系统技术要求 第2部分：CBTC系统</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卡斯柯信号有限公司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28</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QC/T 1208-2024 燃料电池发动机用氢气循环泵等2项行业标准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上海重塑能源科技有限公司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29</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YY/T 1766.4-2024 X射线计算机体层摄影设备图像质量评价方法第4部分：自动曝光控制下的成像性能评价</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上海西门子医疗器械有限公司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30</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JT/T 1544-2025 冷藏集装箱智能终端技术规范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上海海联智通信息科技有限公司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31</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NY/T 4535-2025 植物品种特异性、一致性和稳定性测试指南 百子莲属</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上海科立特农产品检测技术服务有限公司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32</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YB/T 6247.1-2024 电工钢带（片）比总损耗的测量 第1部分：含高次谐波法等2项行业标准</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宝山钢铁股份有限公司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33</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SJ/T 11967-2025 储能用钛酸锂锂离子电池电性能规范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上海化工研究院有限公司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34</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主导修订行业标准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NY/T 892-2025 绿色食品 燕麦及燕麦粉</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上海必诺检测技术服务有限公司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35</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restart"/>
            <w:tcBorders>
              <w:left w:val="single" w:color="000000" w:sz="4" w:space="0"/>
              <w:right w:val="single" w:color="000000" w:sz="4" w:space="0"/>
            </w:tcBorders>
            <w:vAlign w:val="center"/>
          </w:tcPr>
          <w:p>
            <w:pPr>
              <w:widowControl/>
              <w:spacing w:line="360" w:lineRule="exact"/>
              <w:jc w:val="center"/>
              <w:textAlignment w:val="center"/>
              <w:rPr>
                <w:rFonts w:hint="eastAsia"/>
              </w:rPr>
            </w:pPr>
            <w:r>
              <w:rPr>
                <w:rFonts w:hint="eastAsia"/>
              </w:rPr>
              <w:t>主导制定地方标准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 31/T 1538-2025 自然灾害综合监测预警站点建设指南</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上海无线电设备研究所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36</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DB31/T 1504-</w:t>
            </w:r>
            <w:r>
              <w:rPr>
                <w:rFonts w:ascii="宋体" w:hAnsi="宋体" w:eastAsia="宋体" w:cs="宋体"/>
                <w:color w:val="000000"/>
                <w:sz w:val="22"/>
              </w:rPr>
              <w:t>2024 应用软件适配信息技术应用创新环境技术规范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上海计算机软件技术开发中心</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37</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 31/T 1587-2025 城市轨道交通智能化运营技术规范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卡斯柯信号有限公司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38</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DB31/T 1564-2025 企业实验室危险化学品安全管理规范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上海尊理检测技术有限公司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39</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DB31/T 1590-2025 淡水养殖池塘底泥质量要求</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上海市水产研究所</w:t>
            </w:r>
            <w:r>
              <w:rPr>
                <w:rFonts w:ascii="宋体" w:hAnsi="宋体" w:eastAsia="宋体" w:cs="宋体"/>
                <w:color w:val="000000"/>
                <w:sz w:val="22"/>
              </w:rPr>
              <w:t>（上海市水产技术推广站）</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40</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 31/T 1525-2024 车用动力蓄电池梯次利用　储能系统运行要求</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上海机动车检测认证技术研究中心有限公司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41</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 31/T 1541-2025 汽车零部件行业智能工厂建设技术规范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安波福中央电气（上海）有限公司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42</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DB/T 1593-2025 基于自动驾驶功能的公交运营技术要求</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上研智联智能出行科技（上海）有限公司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43</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 31/T 1548—2025 重症监测系统基本功能要求</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上海市徐汇区中心医院</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44</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主导修订地方标准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DB31/T 909-2025 塑料薄膜温室技术规范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上海市设施农业装备行业协会</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45</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restart"/>
            <w:tcBorders>
              <w:left w:val="single" w:color="000000" w:sz="4" w:space="0"/>
              <w:right w:val="single" w:color="000000" w:sz="4" w:space="0"/>
            </w:tcBorders>
            <w:vAlign w:val="center"/>
          </w:tcPr>
          <w:p>
            <w:pPr>
              <w:widowControl/>
              <w:spacing w:line="360" w:lineRule="exact"/>
              <w:jc w:val="center"/>
              <w:textAlignment w:val="center"/>
              <w:rPr>
                <w:rFonts w:hint="eastAsia"/>
              </w:rPr>
            </w:pPr>
            <w:r>
              <w:rPr>
                <w:rFonts w:hint="eastAsia"/>
              </w:rPr>
              <w:t>主导制定团体标准</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T/SSCC000001-2024服务消费融合性创新场景建设和评价指南</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上海市服务消费促进会</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46</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 xml:space="preserve">T/SHPPA 013－2022 药品多仓协同运营管理规范 </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上海医药行业协会</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47</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p>
        </w:tc>
        <w:tc>
          <w:tcPr>
            <w:tcW w:w="545"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T/SHNA 0012-</w:t>
            </w:r>
            <w:r>
              <w:rPr>
                <w:rFonts w:ascii="宋体" w:hAnsi="宋体" w:eastAsia="宋体" w:cs="宋体"/>
                <w:color w:val="000000"/>
                <w:sz w:val="22"/>
              </w:rPr>
              <w:t>2025 免陪照护服务基本规范</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上海市护理学会</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cs="宋体"/>
                <w:color w:val="000000"/>
                <w:sz w:val="22"/>
              </w:rPr>
              <w:t>48</w:t>
            </w:r>
          </w:p>
        </w:tc>
        <w:tc>
          <w:tcPr>
            <w:tcW w:w="444" w:type="pct"/>
            <w:vMerge w:val="restart"/>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r>
              <w:rPr>
                <w:rFonts w:hint="eastAsia" w:ascii="宋体" w:hAnsi="宋体" w:cs="宋体"/>
                <w:color w:val="000000"/>
                <w:sz w:val="22"/>
              </w:rPr>
              <w:t>标准化技术组织</w:t>
            </w:r>
          </w:p>
        </w:tc>
        <w:tc>
          <w:tcPr>
            <w:tcW w:w="545" w:type="pct"/>
            <w:vMerge w:val="restart"/>
            <w:tcBorders>
              <w:top w:val="single" w:color="000000" w:sz="4" w:space="0"/>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ascii="宋体" w:hAnsi="宋体" w:eastAsia="宋体" w:cs="宋体"/>
                <w:color w:val="000000"/>
                <w:kern w:val="0"/>
                <w:sz w:val="22"/>
                <w:lang w:bidi="ar"/>
              </w:rPr>
              <w:t>国际标委会秘书处</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ISO/TC70 国际标准化组织/内燃机技术委员会秘书处</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上海机动车检测认证技术研究中心有限公司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49</w:t>
            </w:r>
          </w:p>
        </w:tc>
        <w:tc>
          <w:tcPr>
            <w:tcW w:w="444" w:type="pct"/>
            <w:vMerge w:val="continue"/>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cs="宋体"/>
                <w:color w:val="000000"/>
                <w:sz w:val="22"/>
              </w:rPr>
            </w:pPr>
          </w:p>
        </w:tc>
        <w:tc>
          <w:tcPr>
            <w:tcW w:w="545"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22"/>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ISO/TC8/SC4 国际标准化组织/船舶与海洋技术委员会/舾装与甲板机械分技术委员会秘书处</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cs="宋体"/>
                <w:color w:val="000000"/>
                <w:kern w:val="0"/>
                <w:sz w:val="22"/>
                <w:lang w:bidi="ar"/>
              </w:rPr>
            </w:pPr>
            <w:r>
              <w:rPr>
                <w:rFonts w:hint="eastAsia" w:ascii="宋体" w:hAnsi="宋体" w:eastAsia="宋体" w:cs="宋体"/>
                <w:color w:val="000000"/>
                <w:sz w:val="22"/>
              </w:rPr>
              <w:t>中国船舶集团有限公司第七〇四研究所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50</w:t>
            </w:r>
          </w:p>
        </w:tc>
        <w:tc>
          <w:tcPr>
            <w:tcW w:w="444" w:type="pct"/>
            <w:vMerge w:val="continue"/>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cs="宋体"/>
                <w:color w:val="000000"/>
                <w:sz w:val="22"/>
              </w:rPr>
            </w:pPr>
          </w:p>
        </w:tc>
        <w:tc>
          <w:tcPr>
            <w:tcW w:w="545" w:type="pct"/>
            <w:vMerge w:val="restart"/>
            <w:tcBorders>
              <w:top w:val="single" w:color="000000" w:sz="4" w:space="0"/>
              <w:left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22"/>
              </w:rPr>
            </w:pPr>
            <w:r>
              <w:rPr>
                <w:rFonts w:hint="eastAsia" w:ascii="宋体" w:hAnsi="宋体" w:eastAsia="宋体" w:cs="宋体"/>
                <w:color w:val="000000"/>
                <w:sz w:val="22"/>
              </w:rPr>
              <w:t>全国标委会秘书处</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SAC/TC177 全国内燃机标准化技术委员会秘书处</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cs="宋体"/>
                <w:color w:val="000000"/>
                <w:kern w:val="0"/>
                <w:sz w:val="22"/>
                <w:lang w:bidi="ar"/>
              </w:rPr>
            </w:pPr>
            <w:r>
              <w:rPr>
                <w:rFonts w:hint="eastAsia" w:ascii="宋体" w:hAnsi="宋体" w:eastAsia="宋体" w:cs="宋体"/>
                <w:color w:val="000000"/>
                <w:sz w:val="22"/>
              </w:rPr>
              <w:t>上海机动车检测认证技术研究中心有限公司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51</w:t>
            </w:r>
          </w:p>
        </w:tc>
        <w:tc>
          <w:tcPr>
            <w:tcW w:w="444" w:type="pct"/>
            <w:vMerge w:val="continue"/>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22"/>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SAC/TC559 全国生物样本标准化技术委员会秘书处</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cs="宋体"/>
                <w:color w:val="000000"/>
                <w:kern w:val="0"/>
                <w:sz w:val="22"/>
                <w:lang w:bidi="ar"/>
              </w:rPr>
            </w:pPr>
            <w:r>
              <w:rPr>
                <w:rFonts w:hint="eastAsia" w:ascii="宋体" w:hAnsi="宋体" w:eastAsia="宋体" w:cs="宋体"/>
                <w:color w:val="000000"/>
                <w:sz w:val="22"/>
              </w:rPr>
              <w:t>上海生物芯片有限公司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52</w:t>
            </w:r>
          </w:p>
        </w:tc>
        <w:tc>
          <w:tcPr>
            <w:tcW w:w="444" w:type="pct"/>
            <w:vMerge w:val="continue"/>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22"/>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SAC/TC56 全国无损检测标准化技术委员会秘书处</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cs="宋体"/>
                <w:color w:val="000000"/>
                <w:kern w:val="0"/>
                <w:sz w:val="22"/>
                <w:lang w:bidi="ar"/>
              </w:rPr>
            </w:pPr>
            <w:r>
              <w:rPr>
                <w:rFonts w:hint="eastAsia" w:ascii="宋体" w:hAnsi="宋体" w:eastAsia="宋体" w:cs="宋体"/>
                <w:color w:val="000000"/>
                <w:sz w:val="22"/>
              </w:rPr>
              <w:t>上海材料研究所有限公司</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53</w:t>
            </w:r>
          </w:p>
        </w:tc>
        <w:tc>
          <w:tcPr>
            <w:tcW w:w="444" w:type="pct"/>
            <w:vMerge w:val="continue"/>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cs="宋体"/>
                <w:color w:val="000000"/>
                <w:sz w:val="22"/>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22"/>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SAC/TC531 全国船舶电气及电子设备标准化技术委员会秘书处</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cs="宋体"/>
                <w:color w:val="000000"/>
                <w:kern w:val="0"/>
                <w:sz w:val="22"/>
                <w:lang w:bidi="ar"/>
              </w:rPr>
            </w:pPr>
            <w:r>
              <w:rPr>
                <w:rFonts w:hint="eastAsia" w:ascii="宋体" w:hAnsi="宋体" w:eastAsia="宋体" w:cs="宋体"/>
                <w:color w:val="000000"/>
                <w:sz w:val="22"/>
              </w:rPr>
              <w:t>中国船舶集团有限公司第七〇四研究所</w:t>
            </w:r>
          </w:p>
        </w:tc>
      </w:tr>
      <w:tr>
        <w:tblPrEx>
          <w:tblCellMar>
            <w:top w:w="0" w:type="dxa"/>
            <w:left w:w="108" w:type="dxa"/>
            <w:bottom w:w="0" w:type="dxa"/>
            <w:right w:w="108" w:type="dxa"/>
          </w:tblCellMar>
        </w:tblPrEx>
        <w:trPr>
          <w:trHeight w:val="600"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54</w:t>
            </w:r>
          </w:p>
        </w:tc>
        <w:tc>
          <w:tcPr>
            <w:tcW w:w="444" w:type="pct"/>
            <w:vMerge w:val="continue"/>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cs="宋体"/>
                <w:color w:val="000000"/>
                <w:sz w:val="22"/>
              </w:rPr>
            </w:pPr>
          </w:p>
        </w:tc>
        <w:tc>
          <w:tcPr>
            <w:tcW w:w="545"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sz w:val="22"/>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SAC/TC105 全国肥料和土壤调理剂标准化技术委员会</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cs="宋体"/>
                <w:color w:val="000000"/>
                <w:kern w:val="0"/>
                <w:sz w:val="22"/>
                <w:lang w:bidi="ar"/>
              </w:rPr>
            </w:pPr>
            <w:r>
              <w:rPr>
                <w:rFonts w:hint="eastAsia" w:ascii="宋体" w:hAnsi="宋体" w:eastAsia="宋体" w:cs="宋体"/>
                <w:color w:val="000000"/>
                <w:sz w:val="22"/>
              </w:rPr>
              <w:t>上海化工研究院有限公司</w:t>
            </w:r>
          </w:p>
        </w:tc>
      </w:tr>
      <w:tr>
        <w:tblPrEx>
          <w:tblCellMar>
            <w:top w:w="0" w:type="dxa"/>
            <w:left w:w="108" w:type="dxa"/>
            <w:bottom w:w="0" w:type="dxa"/>
            <w:right w:w="108" w:type="dxa"/>
          </w:tblCellMar>
        </w:tblPrEx>
        <w:trPr>
          <w:trHeight w:val="584"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sz w:val="22"/>
              </w:rPr>
            </w:pPr>
            <w:r>
              <w:rPr>
                <w:rFonts w:hint="eastAsia" w:ascii="宋体" w:hAnsi="宋体" w:cs="宋体"/>
                <w:color w:val="000000"/>
                <w:sz w:val="22"/>
              </w:rPr>
              <w:t>55</w:t>
            </w:r>
          </w:p>
        </w:tc>
        <w:tc>
          <w:tcPr>
            <w:tcW w:w="444" w:type="pct"/>
            <w:vMerge w:val="restart"/>
            <w:tcBorders>
              <w:top w:val="single" w:color="000000" w:sz="4" w:space="0"/>
              <w:left w:val="single" w:color="000000" w:sz="4" w:space="0"/>
              <w:right w:val="single" w:color="000000" w:sz="4" w:space="0"/>
            </w:tcBorders>
            <w:vAlign w:val="center"/>
          </w:tcPr>
          <w:p>
            <w:pPr>
              <w:widowControl/>
              <w:spacing w:line="360" w:lineRule="exact"/>
              <w:jc w:val="center"/>
              <w:rPr>
                <w:rFonts w:hint="eastAsia" w:ascii="宋体" w:hAnsi="宋体" w:eastAsia="宋体" w:cs="宋体"/>
                <w:color w:val="000000"/>
                <w:sz w:val="22"/>
              </w:rPr>
            </w:pPr>
            <w:r>
              <w:rPr>
                <w:rFonts w:hint="eastAsia" w:ascii="宋体" w:hAnsi="宋体" w:cs="宋体"/>
                <w:color w:val="000000"/>
                <w:kern w:val="0"/>
                <w:sz w:val="22"/>
                <w:lang w:bidi="ar"/>
              </w:rPr>
              <w:t>标准化活动</w:t>
            </w:r>
          </w:p>
        </w:tc>
        <w:tc>
          <w:tcPr>
            <w:tcW w:w="545" w:type="pct"/>
            <w:vMerge w:val="restart"/>
            <w:tcBorders>
              <w:top w:val="single" w:color="000000" w:sz="4" w:space="0"/>
              <w:left w:val="single" w:color="000000" w:sz="4" w:space="0"/>
              <w:right w:val="single" w:color="000000" w:sz="4" w:space="0"/>
            </w:tcBorders>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ascii="宋体" w:hAnsi="宋体" w:eastAsia="宋体" w:cs="宋体"/>
                <w:color w:val="000000"/>
                <w:kern w:val="0"/>
                <w:sz w:val="22"/>
                <w:lang w:bidi="ar"/>
              </w:rPr>
              <w:t>国际标准化活动</w:t>
            </w: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ISO/TC 350第一次全会</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sz w:val="22"/>
              </w:rPr>
            </w:pPr>
            <w:r>
              <w:rPr>
                <w:rFonts w:hint="eastAsia" w:ascii="宋体" w:hAnsi="宋体" w:eastAsia="宋体" w:cs="宋体"/>
                <w:color w:val="000000"/>
                <w:sz w:val="22"/>
              </w:rPr>
              <w:t>上衡道国际标准技术服务（上海）有限公司</w:t>
            </w:r>
          </w:p>
        </w:tc>
      </w:tr>
      <w:tr>
        <w:tblPrEx>
          <w:tblCellMar>
            <w:top w:w="0" w:type="dxa"/>
            <w:left w:w="108" w:type="dxa"/>
            <w:bottom w:w="0" w:type="dxa"/>
            <w:right w:w="108" w:type="dxa"/>
          </w:tblCellMar>
        </w:tblPrEx>
        <w:trPr>
          <w:trHeight w:val="584"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56</w:t>
            </w:r>
          </w:p>
        </w:tc>
        <w:tc>
          <w:tcPr>
            <w:tcW w:w="444" w:type="pct"/>
            <w:vMerge w:val="continue"/>
            <w:tcBorders>
              <w:left w:val="single" w:color="000000" w:sz="4" w:space="0"/>
              <w:right w:val="single" w:color="000000" w:sz="4" w:space="0"/>
            </w:tcBorders>
            <w:vAlign w:val="center"/>
          </w:tcPr>
          <w:p>
            <w:pPr>
              <w:widowControl/>
              <w:spacing w:line="360" w:lineRule="exact"/>
              <w:jc w:val="center"/>
              <w:rPr>
                <w:rFonts w:hint="eastAsia" w:ascii="宋体" w:hAnsi="宋体" w:cs="宋体"/>
                <w:color w:val="000000"/>
                <w:kern w:val="0"/>
                <w:sz w:val="22"/>
                <w:lang w:bidi="ar"/>
              </w:rPr>
            </w:pPr>
          </w:p>
        </w:tc>
        <w:tc>
          <w:tcPr>
            <w:tcW w:w="545" w:type="pct"/>
            <w:vMerge w:val="continue"/>
            <w:tcBorders>
              <w:left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2025年IEC/TC125中国上海全会/国际电气运输设备标准化与具身智能前沿技术研讨会</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上海机器人产业技术研究院有限公司</w:t>
            </w:r>
          </w:p>
        </w:tc>
      </w:tr>
      <w:tr>
        <w:tblPrEx>
          <w:tblCellMar>
            <w:top w:w="0" w:type="dxa"/>
            <w:left w:w="108" w:type="dxa"/>
            <w:bottom w:w="0" w:type="dxa"/>
            <w:right w:w="108" w:type="dxa"/>
          </w:tblCellMar>
        </w:tblPrEx>
        <w:trPr>
          <w:trHeight w:val="584" w:hRule="atLeast"/>
        </w:trPr>
        <w:tc>
          <w:tcPr>
            <w:tcW w:w="344" w:type="pct"/>
            <w:tcBorders>
              <w:top w:val="single" w:color="000000" w:sz="4" w:space="0"/>
              <w:left w:val="single" w:color="000000" w:sz="4" w:space="0"/>
              <w:bottom w:val="single" w:color="000000" w:sz="4" w:space="0"/>
              <w:right w:val="nil"/>
            </w:tcBorders>
            <w:noWrap/>
            <w:vAlign w:val="center"/>
          </w:tcPr>
          <w:p>
            <w:pPr>
              <w:widowControl/>
              <w:spacing w:line="360" w:lineRule="exact"/>
              <w:jc w:val="center"/>
              <w:textAlignment w:val="center"/>
              <w:rPr>
                <w:rFonts w:hint="eastAsia" w:ascii="宋体" w:hAnsi="宋体" w:eastAsia="宋体" w:cs="宋体"/>
                <w:color w:val="000000"/>
                <w:kern w:val="0"/>
                <w:sz w:val="22"/>
                <w:lang w:bidi="ar"/>
              </w:rPr>
            </w:pPr>
            <w:r>
              <w:rPr>
                <w:rFonts w:hint="eastAsia" w:ascii="宋体" w:hAnsi="宋体" w:cs="宋体"/>
                <w:color w:val="000000"/>
                <w:sz w:val="22"/>
              </w:rPr>
              <w:t>57</w:t>
            </w:r>
          </w:p>
        </w:tc>
        <w:tc>
          <w:tcPr>
            <w:tcW w:w="444"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rPr>
                <w:rFonts w:hint="eastAsia" w:ascii="宋体" w:hAnsi="宋体" w:cs="宋体"/>
                <w:color w:val="000000"/>
                <w:kern w:val="0"/>
                <w:sz w:val="22"/>
                <w:lang w:bidi="ar"/>
              </w:rPr>
            </w:pPr>
          </w:p>
        </w:tc>
        <w:tc>
          <w:tcPr>
            <w:tcW w:w="545" w:type="pct"/>
            <w:vMerge w:val="continue"/>
            <w:tcBorders>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宋体" w:hAnsi="宋体" w:eastAsia="宋体" w:cs="宋体"/>
                <w:color w:val="000000"/>
                <w:kern w:val="0"/>
                <w:sz w:val="22"/>
                <w:lang w:bidi="ar"/>
              </w:rPr>
            </w:pPr>
          </w:p>
        </w:tc>
        <w:tc>
          <w:tcPr>
            <w:tcW w:w="2026"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2025资源循环与废弃物物流标准化大会</w:t>
            </w:r>
          </w:p>
        </w:tc>
        <w:tc>
          <w:tcPr>
            <w:tcW w:w="1641"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sz w:val="22"/>
              </w:rPr>
              <w:t>上海质量管理科学研究院有限公司</w:t>
            </w:r>
          </w:p>
        </w:tc>
      </w:tr>
    </w:tbl>
    <w:p>
      <w:pPr>
        <w:pStyle w:val="5"/>
        <w:shd w:val="clear" w:color="auto" w:fill="FFFFFF"/>
        <w:spacing w:before="0" w:beforeAutospacing="0" w:after="0" w:afterAutospacing="0" w:line="380" w:lineRule="atLeast"/>
        <w:rPr>
          <w:rFonts w:hint="eastAsia" w:ascii="仿宋_GB2312" w:hAnsi="仿宋_GB2312" w:eastAsia="仿宋_GB2312" w:cs="仿宋_GB2312"/>
          <w:color w:val="040404"/>
          <w:sz w:val="32"/>
          <w:szCs w:val="32"/>
        </w:rPr>
      </w:pPr>
    </w:p>
    <w:sectPr>
      <w:type w:val="continuous"/>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C4C"/>
    <w:rsid w:val="00083DEE"/>
    <w:rsid w:val="00084548"/>
    <w:rsid w:val="00260016"/>
    <w:rsid w:val="00357866"/>
    <w:rsid w:val="00572C4C"/>
    <w:rsid w:val="008952E6"/>
    <w:rsid w:val="0091026A"/>
    <w:rsid w:val="00AA1CDF"/>
    <w:rsid w:val="00E9419C"/>
    <w:rsid w:val="3DFEEC12"/>
    <w:rsid w:val="45F7344A"/>
    <w:rsid w:val="6FFF07B7"/>
    <w:rsid w:val="7ABEAEC2"/>
    <w:rsid w:val="7E7FC5F0"/>
    <w:rsid w:val="9EEE85C0"/>
    <w:rsid w:val="C4F7BD57"/>
    <w:rsid w:val="D7FD3D7B"/>
    <w:rsid w:val="DD35A758"/>
    <w:rsid w:val="EAFFCDEA"/>
    <w:rsid w:val="ED33D68A"/>
    <w:rsid w:val="F7FEDAF9"/>
    <w:rsid w:val="FCFC5E00"/>
    <w:rsid w:val="FE262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338</Words>
  <Characters>1933</Characters>
  <Lines>16</Lines>
  <Paragraphs>4</Paragraphs>
  <TotalTime>1</TotalTime>
  <ScaleCrop>false</ScaleCrop>
  <LinksUpToDate>false</LinksUpToDate>
  <CharactersWithSpaces>2267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2026-07-30T14:15:00Z</dcterms:created>
  <dc:creator>Lenovo</dc:creator>
  <cp:lastModifiedBy>xylee</cp:lastModifiedBy>
  <cp:lastPrinted>2026-03-20T09:31:00Z</cp:lastPrinted>
  <dcterms:modified xsi:type="dcterms:W3CDTF">2026-10-22T18:08:04Z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3C999AD98350E0132FFDB9695E0AFE5F</vt:lpwstr>
  </property>
</Properties>
</file>