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FZShuTi" w:hAnsi="FZShuTi" w:eastAsia="FZShuTi"/>
          <w:sz w:val="72"/>
        </w:rPr>
      </w:pPr>
    </w:p>
    <w:p>
      <w:pPr>
        <w:jc w:val="center"/>
        <w:rPr>
          <w:rFonts w:ascii="FZShuTi" w:hAnsi="FZShuTi" w:eastAsia="FZShuTi"/>
          <w:sz w:val="72"/>
        </w:rPr>
      </w:pPr>
    </w:p>
    <w:p>
      <w:pPr>
        <w:jc w:val="center"/>
      </w:pPr>
      <w:bookmarkStart w:id="0" w:name="_GoBack"/>
      <w:bookmarkEnd w:id="0"/>
      <w:r>
        <w:rPr>
          <w:rFonts w:ascii="FZShuTi" w:hAnsi="FZShuTi" w:eastAsia="FZShuTi"/>
          <w:sz w:val="72"/>
        </w:rPr>
        <w:t>锅炉使用单位</w:t>
      </w:r>
    </w:p>
    <w:p>
      <w:pPr>
        <w:jc w:val="center"/>
      </w:pPr>
      <w:r>
        <w:rPr>
          <w:rFonts w:ascii="FZShuTi" w:hAnsi="FZShuTi" w:eastAsia="FZShuTi"/>
          <w:sz w:val="72"/>
        </w:rPr>
        <w:t>安全总监题库</w:t>
      </w:r>
    </w:p>
    <w:p/>
    <w:p/>
    <w:p/>
    <w:p/>
    <w:p/>
    <w:p/>
    <w:p>
      <w:pPr>
        <w:jc w:val="center"/>
      </w:pPr>
      <w:r>
        <w:rPr>
          <w:rFonts w:ascii="FZShuTi" w:hAnsi="FZShuTi" w:eastAsia="FZShuTi"/>
          <w:sz w:val="36"/>
        </w:rPr>
        <w:t>题库编制组</w:t>
      </w:r>
    </w:p>
    <w:p>
      <w:pPr>
        <w:jc w:val="center"/>
      </w:pPr>
      <w:r>
        <w:rPr>
          <w:rFonts w:ascii="FZShuTi" w:hAnsi="FZShuTi" w:eastAsia="FZShuTi"/>
          <w:sz w:val="36"/>
        </w:rPr>
        <w:t>2024年6月20日</w:t>
      </w:r>
    </w:p>
    <w:p/>
    <w:p/>
    <w:p/>
    <w:p/>
    <w:p/>
    <w:p/>
    <w:p>
      <w:pPr>
        <w:jc w:val="center"/>
      </w:pPr>
      <w:r>
        <w:rPr>
          <w:rFonts w:ascii="SimHei" w:hAnsi="SimHei" w:eastAsia="SimHei"/>
          <w:sz w:val="44"/>
        </w:rPr>
        <w:t>锅炉安全总监</w:t>
      </w:r>
    </w:p>
    <w:p>
      <w:pPr>
        <w:jc w:val="left"/>
      </w:pPr>
      <w:r>
        <w:rPr>
          <w:rFonts w:ascii="宋体" w:hAnsi="宋体" w:eastAsia="宋体"/>
          <w:sz w:val="24"/>
        </w:rPr>
        <w:t>一、判断题</w:t>
      </w:r>
    </w:p>
    <w:p>
      <w:pPr>
        <w:jc w:val="left"/>
      </w:pPr>
      <w:r>
        <w:rPr>
          <w:rFonts w:ascii="宋体" w:hAnsi="宋体" w:eastAsia="宋体"/>
          <w:sz w:val="24"/>
        </w:rPr>
        <w:t>1、根据《锅炉安全技术规程》（TSG 11-2020）的规定，锅炉内部检验需要停炉状态下进行。（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【来源】《锅炉安全技术规程》（TSG 11-2020）定期检验是对在用锅炉当前安全状况是否满足本规程要求进行符合性抽查，包括进行状态下的外部检验、停炉状态下进行的内部检验和水（耐）压试验。</w:t>
      </w:r>
    </w:p>
    <w:p>
      <w:pPr>
        <w:jc w:val="left"/>
      </w:pPr>
      <w:r>
        <w:rPr>
          <w:rFonts w:ascii="宋体" w:hAnsi="宋体" w:eastAsia="宋体"/>
          <w:sz w:val="24"/>
        </w:rPr>
        <w:t>2、根据《锅炉安全技术规程》（TSG 11-2020）的规定，因结构原因无法进行锅炉内部检验时，应该每3年进行一次水压试验。（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【来源】《锅炉安全技术规程》（TSG 11-2020）水（耐）压试验，检验人员或者使用单位对设备安全状况有怀疑时，应当进行水（耐）压试验；因结构原因无法进行内部检验时，应当每3年进行1次水（耐）压试验</w:t>
      </w:r>
    </w:p>
    <w:p>
      <w:pPr>
        <w:jc w:val="left"/>
      </w:pPr>
      <w:r>
        <w:rPr>
          <w:rFonts w:ascii="宋体" w:hAnsi="宋体" w:eastAsia="宋体"/>
          <w:sz w:val="24"/>
        </w:rPr>
        <w:t>3、根据《锅炉安全技术规程》（TSG 11-2020）的规定，移装锅炉时不需要进行内部检验。（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【来源】《锅炉安全技术规程》（TSG 11-2020）除正常的定期检验以外，锅炉有下列情况之一时，也应当进行内部检验：（1）移装锅炉投运前；</w:t>
      </w:r>
    </w:p>
    <w:p>
      <w:pPr>
        <w:jc w:val="left"/>
      </w:pPr>
      <w:r>
        <w:rPr>
          <w:rFonts w:ascii="宋体" w:hAnsi="宋体" w:eastAsia="宋体"/>
          <w:sz w:val="24"/>
        </w:rPr>
        <w:t>（2）锅炉停止运行1年以上需要恢复运行前。</w:t>
      </w:r>
    </w:p>
    <w:p>
      <w:pPr>
        <w:jc w:val="left"/>
      </w:pPr>
      <w:r>
        <w:rPr>
          <w:rFonts w:ascii="宋体" w:hAnsi="宋体" w:eastAsia="宋体"/>
          <w:sz w:val="24"/>
        </w:rPr>
        <w:t>4、根据《锅炉安全技术规程》（TSG 11-2020）的规定，锅炉安全技术档案包括锅炉日常使用状况记录和定期自行检查记录。（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【来源】《锅炉安全技术规程》（TSG 11-2020）使用单位应当逐台建立锅炉安全技术档案，安全技术档案至少包括以下内容：</w:t>
      </w:r>
    </w:p>
    <w:p>
      <w:pPr>
        <w:jc w:val="left"/>
      </w:pPr>
      <w:r>
        <w:rPr>
          <w:rFonts w:ascii="宋体" w:hAnsi="宋体" w:eastAsia="宋体"/>
          <w:sz w:val="24"/>
        </w:rPr>
        <w:t>(1)特种设备使用登记证和特种设备使用登记表；</w:t>
      </w:r>
    </w:p>
    <w:p>
      <w:pPr>
        <w:jc w:val="left"/>
      </w:pPr>
      <w:r>
        <w:rPr>
          <w:rFonts w:ascii="宋体" w:hAnsi="宋体" w:eastAsia="宋体"/>
          <w:sz w:val="24"/>
        </w:rPr>
        <w:t>(2)锅炉的出厂技术资料及监督检验证书；</w:t>
      </w:r>
    </w:p>
    <w:p>
      <w:pPr>
        <w:jc w:val="left"/>
      </w:pPr>
      <w:r>
        <w:rPr>
          <w:rFonts w:ascii="宋体" w:hAnsi="宋体" w:eastAsia="宋体"/>
          <w:sz w:val="24"/>
        </w:rPr>
        <w:t>(3)锅炉安装、改造、修理、化学清洗技术资料及监督检验证书或者报告；</w:t>
      </w:r>
    </w:p>
    <w:p>
      <w:pPr>
        <w:jc w:val="left"/>
      </w:pPr>
      <w:r>
        <w:rPr>
          <w:rFonts w:ascii="宋体" w:hAnsi="宋体" w:eastAsia="宋体"/>
          <w:sz w:val="24"/>
        </w:rPr>
        <w:t>(4)水处理设备的安装调试记录、水(介)质处理定期检验报告和定期自行检查 记录；</w:t>
      </w:r>
    </w:p>
    <w:p>
      <w:pPr>
        <w:jc w:val="left"/>
      </w:pPr>
      <w:r>
        <w:rPr>
          <w:rFonts w:ascii="宋体" w:hAnsi="宋体" w:eastAsia="宋体"/>
          <w:sz w:val="24"/>
        </w:rPr>
        <w:t>(5)锅炉定期检验报告；</w:t>
      </w:r>
    </w:p>
    <w:p>
      <w:pPr>
        <w:jc w:val="left"/>
      </w:pPr>
      <w:r>
        <w:rPr>
          <w:rFonts w:ascii="宋体" w:hAnsi="宋体" w:eastAsia="宋体"/>
          <w:sz w:val="24"/>
        </w:rPr>
        <w:t>(6)锅炉日常使用状况记录和定期自行检查记录；</w:t>
      </w:r>
    </w:p>
    <w:p>
      <w:pPr>
        <w:jc w:val="left"/>
      </w:pPr>
      <w:r>
        <w:rPr>
          <w:rFonts w:ascii="宋体" w:hAnsi="宋体" w:eastAsia="宋体"/>
          <w:sz w:val="24"/>
        </w:rPr>
        <w:t>(7)锅炉及其安全附件、安全保护装置及测量调控装置校验报告、试验记录及日 常维护保养记录；</w:t>
      </w:r>
    </w:p>
    <w:p>
      <w:pPr>
        <w:jc w:val="left"/>
      </w:pPr>
      <w:r>
        <w:rPr>
          <w:rFonts w:ascii="宋体" w:hAnsi="宋体" w:eastAsia="宋体"/>
          <w:sz w:val="24"/>
        </w:rPr>
        <w:t>(8)锅炉运行故障和事故记录及事故处理报告。</w:t>
      </w:r>
    </w:p>
    <w:p>
      <w:pPr>
        <w:jc w:val="left"/>
      </w:pPr>
      <w:r>
        <w:rPr>
          <w:rFonts w:ascii="宋体" w:hAnsi="宋体" w:eastAsia="宋体"/>
          <w:sz w:val="24"/>
        </w:rPr>
        <w:t>5、根据《锅炉安全技术规程》（TSG 11-2020）的规定，蒸汽锅炉安全阀排汽管应当直通安全地点，并且有足够的流通截面积，保证排汽畅通。（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【来源】《锅炉安全技术规程》（TSG 11-2020）蒸汽锅炉安全阀排汽管应当直通安全地点，并且有足够的流通截面积，保证排汽畅通，同时排汽管应当固定，不应当有任何来自排汽管的外力施加到安全阀上</w:t>
      </w:r>
    </w:p>
    <w:p>
      <w:pPr>
        <w:jc w:val="left"/>
      </w:pPr>
      <w:r>
        <w:rPr>
          <w:rFonts w:ascii="宋体" w:hAnsi="宋体" w:eastAsia="宋体"/>
          <w:sz w:val="24"/>
        </w:rPr>
        <w:t>6、根据《特种设备安全监督检查办法》的规定，特种设备未取得许可生产、国家明令淘汰、已经报废或者达到报废条件，继续使用的，属于严重事故隐患。（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【来源】《特种设备安全监督检查办法》第二十五条 特种设备存在严重事故隐患包括以下情形：</w:t>
      </w:r>
    </w:p>
    <w:p>
      <w:pPr>
        <w:jc w:val="left"/>
      </w:pPr>
      <w:r>
        <w:rPr>
          <w:rFonts w:ascii="宋体" w:hAnsi="宋体" w:eastAsia="宋体"/>
          <w:sz w:val="24"/>
        </w:rPr>
        <w:t>（一）特种设备未取得许可生产、国家明令淘汰、已经报废或者达到报废条件，继续使用的；</w:t>
      </w:r>
    </w:p>
    <w:p>
      <w:pPr>
        <w:jc w:val="left"/>
      </w:pPr>
      <w:r>
        <w:rPr>
          <w:rFonts w:ascii="宋体" w:hAnsi="宋体" w:eastAsia="宋体"/>
          <w:sz w:val="24"/>
        </w:rPr>
        <w:t>（二）特种设备未经监督检验或者经检验、检测不合格，继续使用的；</w:t>
      </w:r>
    </w:p>
    <w:p>
      <w:pPr>
        <w:jc w:val="left"/>
      </w:pPr>
      <w:r>
        <w:rPr>
          <w:rFonts w:ascii="宋体" w:hAnsi="宋体" w:eastAsia="宋体"/>
          <w:sz w:val="24"/>
        </w:rPr>
        <w:t>（三）特种设备安全附件、安全保护装置缺失或者失灵，继续使用的；</w:t>
      </w:r>
    </w:p>
    <w:p>
      <w:pPr>
        <w:jc w:val="left"/>
      </w:pPr>
      <w:r>
        <w:rPr>
          <w:rFonts w:ascii="宋体" w:hAnsi="宋体" w:eastAsia="宋体"/>
          <w:sz w:val="24"/>
        </w:rPr>
        <w:t>（四）特种设备发生过事故或者有明显故障，未对其进行全面检查、消除事故隐患，继续使用的；</w:t>
      </w:r>
    </w:p>
    <w:p>
      <w:pPr>
        <w:jc w:val="left"/>
      </w:pPr>
      <w:r>
        <w:rPr>
          <w:rFonts w:ascii="宋体" w:hAnsi="宋体" w:eastAsia="宋体"/>
          <w:sz w:val="24"/>
        </w:rPr>
        <w:t>（五）特种设备超过规定参数、使用范围使用的；</w:t>
      </w:r>
    </w:p>
    <w:p>
      <w:pPr>
        <w:jc w:val="left"/>
      </w:pPr>
      <w:r>
        <w:rPr>
          <w:rFonts w:ascii="宋体" w:hAnsi="宋体" w:eastAsia="宋体"/>
          <w:sz w:val="24"/>
        </w:rPr>
        <w:t>（六）市场监督管理部门认为属于严重事故隐患的其他情形。</w:t>
      </w:r>
    </w:p>
    <w:p>
      <w:pPr>
        <w:jc w:val="left"/>
      </w:pPr>
      <w:r>
        <w:rPr>
          <w:rFonts w:ascii="宋体" w:hAnsi="宋体" w:eastAsia="宋体"/>
          <w:sz w:val="24"/>
        </w:rPr>
        <w:t>7、根据《特种设备安全监督检查办法》的规定，特种设备未经监督检验或者经检验、检测不合格，继续使用的，属于严重事故隐患。（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【来源】《特种设备安全监督检查办法》第二十五条 特种设备存在严重事故隐患包括以下情形：</w:t>
      </w:r>
    </w:p>
    <w:p>
      <w:pPr>
        <w:jc w:val="left"/>
      </w:pPr>
      <w:r>
        <w:rPr>
          <w:rFonts w:ascii="宋体" w:hAnsi="宋体" w:eastAsia="宋体"/>
          <w:sz w:val="24"/>
        </w:rPr>
        <w:t>（一）特种设备未取得许可生产、国家明令淘汰、已经报废或者达到报废条件，继续使用的；</w:t>
      </w:r>
    </w:p>
    <w:p>
      <w:pPr>
        <w:jc w:val="left"/>
      </w:pPr>
      <w:r>
        <w:rPr>
          <w:rFonts w:ascii="宋体" w:hAnsi="宋体" w:eastAsia="宋体"/>
          <w:sz w:val="24"/>
        </w:rPr>
        <w:t>（二）特种设备未经监督检验或者经检验、检测不合格，继续使用的；</w:t>
      </w:r>
    </w:p>
    <w:p>
      <w:pPr>
        <w:jc w:val="left"/>
      </w:pPr>
      <w:r>
        <w:rPr>
          <w:rFonts w:ascii="宋体" w:hAnsi="宋体" w:eastAsia="宋体"/>
          <w:sz w:val="24"/>
        </w:rPr>
        <w:t>（三）特种设备安全附件、安全保护装置缺失或者失灵，继续使用的；</w:t>
      </w:r>
    </w:p>
    <w:p>
      <w:pPr>
        <w:jc w:val="left"/>
      </w:pPr>
      <w:r>
        <w:rPr>
          <w:rFonts w:ascii="宋体" w:hAnsi="宋体" w:eastAsia="宋体"/>
          <w:sz w:val="24"/>
        </w:rPr>
        <w:t>（四）特种设备发生过事故或者有明显故障，未对其进行全面检查、消除事故隐患，继续使用的；</w:t>
      </w:r>
    </w:p>
    <w:p>
      <w:pPr>
        <w:jc w:val="left"/>
      </w:pPr>
      <w:r>
        <w:rPr>
          <w:rFonts w:ascii="宋体" w:hAnsi="宋体" w:eastAsia="宋体"/>
          <w:sz w:val="24"/>
        </w:rPr>
        <w:t>（五）特种设备超过规定参数、使用范围使用的；</w:t>
      </w:r>
    </w:p>
    <w:p>
      <w:pPr>
        <w:jc w:val="left"/>
      </w:pPr>
      <w:r>
        <w:rPr>
          <w:rFonts w:ascii="宋体" w:hAnsi="宋体" w:eastAsia="宋体"/>
          <w:sz w:val="24"/>
        </w:rPr>
        <w:t>（六）市场监督管理部门认为属于严重事故隐患的其他情形。</w:t>
      </w:r>
    </w:p>
    <w:p>
      <w:pPr>
        <w:jc w:val="left"/>
      </w:pPr>
      <w:r>
        <w:rPr>
          <w:rFonts w:ascii="宋体" w:hAnsi="宋体" w:eastAsia="宋体"/>
          <w:sz w:val="24"/>
        </w:rPr>
        <w:t>8、根据《特种设备事故报告和调查处理规定》的规定，特种设备事故，是指列入特种设备目录的特种设备因其本体原因及其安全装置或者附件损坏、失效，或者特种设备相关人员违反特种设备法律法规规章、安全技术规范造成的事故。（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【来源】《特种设备事故报告和调查处理规定》第二条 本规定所称特种设备事故，是指列入特种设备目录的特种设备因其本体原因及其安全装置或者附件损坏、失效，或者特种设备相关人员违反特种设备法律法规规章、安全技术规范造成的事故。</w:t>
      </w:r>
    </w:p>
    <w:p>
      <w:pPr>
        <w:jc w:val="left"/>
      </w:pPr>
      <w:r>
        <w:rPr>
          <w:rFonts w:ascii="宋体" w:hAnsi="宋体" w:eastAsia="宋体"/>
          <w:sz w:val="24"/>
        </w:rPr>
        <w:t>9、根据《特种设备事故报告和调查处理规定》的规定，特种设备发生事故后，事故现场有关人员应当立即向事故发生单位负责人报告；事故发生单位的负责人接到报告后，应当于1小时内向事故发生地的县级以上市场监督管理部门和有关部门报告。（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【来源】《特种设备事故报告和调查处理规定》第七条 特种设备发生事故后，事故现场有关人员应当立即向事故发生单位负责人报告；事故发生单位的负责人接到报告后，应当于1小时内向事故发生地的县级以上市场监督管理部门和有关部门报告。</w:t>
      </w:r>
    </w:p>
    <w:p>
      <w:pPr>
        <w:jc w:val="left"/>
      </w:pPr>
      <w:r>
        <w:rPr>
          <w:rFonts w:ascii="宋体" w:hAnsi="宋体" w:eastAsia="宋体"/>
          <w:sz w:val="24"/>
        </w:rPr>
        <w:t>情况紧急时，事故现场有关人员可以直接向事故发生地的县级以上市场监督管理部门报告。</w:t>
      </w:r>
    </w:p>
    <w:p>
      <w:pPr>
        <w:jc w:val="left"/>
      </w:pPr>
      <w:r>
        <w:rPr>
          <w:rFonts w:ascii="宋体" w:hAnsi="宋体" w:eastAsia="宋体"/>
          <w:sz w:val="24"/>
        </w:rPr>
        <w:t>10、根据《中华人民共和国特种设备安全法》的规定，特种设备存在严重事故隐患，无改造、修理价值，或者达到安全技术规范规定的其他报废条件的，特种设备使用单位应当依法履行报废义务。（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【来源】《中华人民共和国特种设备安全法》第四十八条 特种设备存在严重事故隐患，无改造、修理价值，或者达到安全技术规范规定的其他报废条件的，特种设备使用单位应当依法履行报废义务，采取必要措施消除该特种设备的使用功能，并向原登记的负责特种设备安全监督管理的部门办理使用登记证书注销手续。</w:t>
      </w:r>
    </w:p>
    <w:p>
      <w:pPr>
        <w:jc w:val="left"/>
      </w:pPr>
      <w:r>
        <w:rPr>
          <w:rFonts w:ascii="宋体" w:hAnsi="宋体" w:eastAsia="宋体"/>
          <w:sz w:val="24"/>
        </w:rPr>
        <w:t>前款规定报废条件以外的特种设备，达到设计使用年限可以继续使用的，应当按照安全技术规范的要求通过检验或者安全评估，并办理使用登记证书变更，方可继续使用。允许继续使用的，应当采取加强检验、检测和维护保养等措施，确保使用安全。</w:t>
      </w:r>
    </w:p>
    <w:p>
      <w:pPr>
        <w:jc w:val="left"/>
      </w:pPr>
      <w:r>
        <w:rPr>
          <w:rFonts w:ascii="宋体" w:hAnsi="宋体" w:eastAsia="宋体"/>
          <w:sz w:val="24"/>
        </w:rPr>
        <w:t>11、根据《特种设备安全监察条例》的规定，特种设备使用单位应当建立特种设备安全技术档案。（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【来源】《特种设备安全监察条例》第二十六条　特种设备使用单位应当建立特种设备安全技术档案。安全技术档案应当包括以下内容：</w:t>
      </w:r>
    </w:p>
    <w:p>
      <w:pPr>
        <w:jc w:val="left"/>
      </w:pPr>
      <w:r>
        <w:rPr>
          <w:rFonts w:ascii="宋体" w:hAnsi="宋体" w:eastAsia="宋体"/>
          <w:sz w:val="24"/>
        </w:rPr>
        <w:t>(一)特种设备的设计文件、制造单位、产品质量合格证明、使用维护说明等文件以及安装技术文件和资料；</w:t>
      </w:r>
    </w:p>
    <w:p>
      <w:pPr>
        <w:jc w:val="left"/>
      </w:pPr>
      <w:r>
        <w:rPr>
          <w:rFonts w:ascii="宋体" w:hAnsi="宋体" w:eastAsia="宋体"/>
          <w:sz w:val="24"/>
        </w:rPr>
        <w:t>(二)特种设备的定期检验和定期自行检查的记录；</w:t>
      </w:r>
    </w:p>
    <w:p>
      <w:pPr>
        <w:jc w:val="left"/>
      </w:pPr>
      <w:r>
        <w:rPr>
          <w:rFonts w:ascii="宋体" w:hAnsi="宋体" w:eastAsia="宋体"/>
          <w:sz w:val="24"/>
        </w:rPr>
        <w:t>(三)特种设备的日常使用状况记录；</w:t>
      </w:r>
    </w:p>
    <w:p>
      <w:pPr>
        <w:jc w:val="left"/>
      </w:pPr>
      <w:r>
        <w:rPr>
          <w:rFonts w:ascii="宋体" w:hAnsi="宋体" w:eastAsia="宋体"/>
          <w:sz w:val="24"/>
        </w:rPr>
        <w:t>(四)特种设备及其安全附件、安全保护装置、测量调控装置及有关附属仪器仪表的日常维护保养记录；</w:t>
      </w:r>
    </w:p>
    <w:p>
      <w:pPr>
        <w:jc w:val="left"/>
      </w:pPr>
      <w:r>
        <w:rPr>
          <w:rFonts w:ascii="宋体" w:hAnsi="宋体" w:eastAsia="宋体"/>
          <w:sz w:val="24"/>
        </w:rPr>
        <w:t>(五)特种设备运行故障和事故记录；</w:t>
      </w:r>
    </w:p>
    <w:p>
      <w:pPr>
        <w:jc w:val="left"/>
      </w:pPr>
      <w:r>
        <w:rPr>
          <w:rFonts w:ascii="宋体" w:hAnsi="宋体" w:eastAsia="宋体"/>
          <w:sz w:val="24"/>
        </w:rPr>
        <w:t>(六)高耗能特种设备的能效测试报告、能耗状况记录以及节能改造技术资料。</w:t>
      </w:r>
    </w:p>
    <w:p>
      <w:pPr>
        <w:jc w:val="left"/>
      </w:pPr>
      <w:r>
        <w:rPr>
          <w:rFonts w:ascii="宋体" w:hAnsi="宋体" w:eastAsia="宋体"/>
          <w:sz w:val="24"/>
        </w:rPr>
        <w:t>12、根据《特种设备使用管理规则》的规定，使用单位如有正当理由，可拒绝接受特种设备安全监管部门依法实施的监督检查。（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【来源】《特种设备使用管理规则》使用单位应当接受特种设备安全监管部门依法实施的监督检查。</w:t>
      </w:r>
    </w:p>
    <w:p>
      <w:pPr>
        <w:jc w:val="left"/>
      </w:pPr>
      <w:r>
        <w:rPr>
          <w:rFonts w:ascii="宋体" w:hAnsi="宋体" w:eastAsia="宋体"/>
          <w:sz w:val="24"/>
        </w:rPr>
        <w:t>13、根据《特种设备使用管理规则》的规定，使用电站锅炉或者石化与化工成套装置的使用单位应设置特种设备安全管理机构。（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【来源】《特种设备使用管理规则》符合下列条件之一的特种设备使用单位，应当根据本单位特种设备的类别、品种、用途、数量等情况设置特种设备安全管理机构，逐台落实安全责任人：</w:t>
      </w:r>
    </w:p>
    <w:p>
      <w:pPr>
        <w:jc w:val="left"/>
      </w:pPr>
      <w:r>
        <w:rPr>
          <w:rFonts w:ascii="宋体" w:hAnsi="宋体" w:eastAsia="宋体"/>
          <w:sz w:val="24"/>
        </w:rPr>
        <w:t>(1)使用电站锅炉或者石化与化工成套装置的；</w:t>
      </w:r>
    </w:p>
    <w:p>
      <w:pPr>
        <w:jc w:val="left"/>
      </w:pPr>
      <w:r>
        <w:rPr>
          <w:rFonts w:ascii="宋体" w:hAnsi="宋体" w:eastAsia="宋体"/>
          <w:sz w:val="24"/>
        </w:rPr>
        <w:t>(2)使用为公众提供运营服务电梯的(注 2-2)，或者在公众聚集场所(注 2-3)使用30台以上(含30台)电梯的；</w:t>
      </w:r>
    </w:p>
    <w:p>
      <w:pPr>
        <w:jc w:val="left"/>
      </w:pPr>
      <w:r>
        <w:rPr>
          <w:rFonts w:ascii="宋体" w:hAnsi="宋体" w:eastAsia="宋体"/>
          <w:sz w:val="24"/>
        </w:rPr>
        <w:t>(3)使用10台以上(含10台)大型游乐设施的，或者10台以上(含10台)为公众提供运营服务非公路用旅游观光车辆的；</w:t>
      </w:r>
    </w:p>
    <w:p>
      <w:pPr>
        <w:jc w:val="left"/>
      </w:pPr>
      <w:r>
        <w:rPr>
          <w:rFonts w:ascii="宋体" w:hAnsi="宋体" w:eastAsia="宋体"/>
          <w:sz w:val="24"/>
        </w:rPr>
        <w:t>(4)使用客运架空索道，或者客运缆车的；</w:t>
      </w:r>
    </w:p>
    <w:p>
      <w:pPr>
        <w:jc w:val="left"/>
      </w:pPr>
      <w:r>
        <w:rPr>
          <w:rFonts w:ascii="宋体" w:hAnsi="宋体" w:eastAsia="宋体"/>
          <w:sz w:val="24"/>
        </w:rPr>
        <w:t>(5)使用特种设备(不含气瓶)总量50台以上(含50台)的。</w:t>
      </w:r>
    </w:p>
    <w:p>
      <w:pPr>
        <w:jc w:val="left"/>
      </w:pPr>
      <w:r>
        <w:rPr>
          <w:rFonts w:ascii="宋体" w:hAnsi="宋体" w:eastAsia="宋体"/>
          <w:sz w:val="24"/>
        </w:rPr>
        <w:t>14、根据《特种设备作业人员监督管理办法》的规定，作业人员未能参加用人单位培训的，可以选择专业培训机构进行培训。（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【来源】《特种设备作业人员监督管理办法》第十一条 用人单位应当对作业人员进行安全教育和培训，保证特种设备作业人员具备必要的特种设备安全作业知识、作业技能和及时进行知识更新。作业人员未能参加用人单位培训的，可以选择专业培训机构进行培训。</w:t>
      </w:r>
    </w:p>
    <w:p>
      <w:pPr>
        <w:jc w:val="left"/>
      </w:pPr>
      <w:r>
        <w:rPr>
          <w:rFonts w:ascii="宋体" w:hAnsi="宋体" w:eastAsia="宋体"/>
          <w:sz w:val="24"/>
        </w:rPr>
        <w:t>15、根据《特种设备作业人员监督管理办法》的规定，申请人隐瞒有关情况或者提供虚假材料申请特种设备作业人员证的，不予受理或者不予批准发证，并在1年内不得再次申请特种设备作业人员证。（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【来源】《特种设备作业人员监督管理办法》第三十条 申请人隐瞒有关情况或者提供虚假材料申请特种设备作业人员证的，不予受理或者不予批准发证，并在1年内不得再次申请特种设备作业人员证。</w:t>
      </w:r>
    </w:p>
    <w:p>
      <w:pPr>
        <w:jc w:val="left"/>
      </w:pPr>
      <w:r>
        <w:rPr>
          <w:rFonts w:ascii="宋体" w:hAnsi="宋体" w:eastAsia="宋体"/>
          <w:sz w:val="24"/>
        </w:rPr>
        <w:t>16、根据《高耗能特种设备节能监督管理办法》的规定，高耗能特种设备，是指在使用过程中能源消耗量或者转换量大，并具有较大节能空间的锅炉、换热压力容器等特种设备。（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【来源】《高耗能特种设备节能监督管理办法》第二条　本办法所称高耗能特种设备，是指在使用过程中能源消耗量或者转换量大，并具有较大节能空间的锅炉、换热压力容器等特种设备。</w:t>
      </w:r>
    </w:p>
    <w:p>
      <w:pPr>
        <w:jc w:val="left"/>
      </w:pPr>
      <w:r>
        <w:rPr>
          <w:rFonts w:ascii="宋体" w:hAnsi="宋体" w:eastAsia="宋体"/>
          <w:sz w:val="24"/>
        </w:rPr>
        <w:t>17、根据《高耗能特种设备节能监督管理办法》的规定，锅炉属于高耗能特种设备。（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【来源】《高耗能特种设备节能监督管理办法》第二条　本办法所称高耗能特种设备，是指在使用过程中能源消耗量或者转换量大，并具有较大节能空间的锅炉、换热压力容器等特种设备。</w:t>
      </w:r>
    </w:p>
    <w:p>
      <w:pPr>
        <w:jc w:val="left"/>
      </w:pPr>
      <w:r>
        <w:rPr>
          <w:rFonts w:ascii="宋体" w:hAnsi="宋体" w:eastAsia="宋体"/>
          <w:sz w:val="24"/>
        </w:rPr>
        <w:t>18、根据《特种设备使用单位落实使用安全主体责任监督管理规定》的规定，锅炉使用单位主要负责人对本单位锅炉使用安全全面负责。（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特种设备使用单位落实使用安全主体责任监督管理规定》锅炉使用单位主要负责人对本单位锅炉使用安全全面负责，建立并落实锅炉使用安全主体责任的长效机制。锅炉安全总监和锅炉安全员应当按照岗位职责，协助单位主要负责人做好锅炉使用安全管理工作。</w:t>
      </w:r>
    </w:p>
    <w:p>
      <w:pPr>
        <w:jc w:val="left"/>
      </w:pPr>
      <w:r>
        <w:rPr>
          <w:rFonts w:ascii="宋体" w:hAnsi="宋体" w:eastAsia="宋体"/>
          <w:sz w:val="24"/>
        </w:rPr>
        <w:t>19、根据《特种设备使用单位落实使用安全主体责任监督管理规定》的规定，锅炉安全总监要每周至少组织一次风险隐患排查，分析研判锅炉使用安全管理情况，研究解决日管控中发现的问题，形成每周锅炉安全排查治理报告。（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【来源】《特种设备使用单位落实使用安全主体责任监督管理规定》第十二条 锅炉使用单位应当建立锅炉安全周排查制度。锅炉安全总监要每周至少组织一次风险隐患排查，分析研判锅炉使用安全管理情况，研究解决日管控中发现的问题，形成每周锅炉安全排查治理报告。</w:t>
      </w:r>
    </w:p>
    <w:p>
      <w:pPr>
        <w:jc w:val="left"/>
      </w:pPr>
      <w:r>
        <w:rPr>
          <w:rFonts w:ascii="宋体" w:hAnsi="宋体" w:eastAsia="宋体"/>
          <w:sz w:val="24"/>
        </w:rPr>
        <w:t>20、根据《锅炉安全技术规程》（TSG 11-2020）的规定，电站锅炉整套启动时，炉膛安全监控系统应当经过调试，并且投入运行。（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【来源】《锅炉安全技术规程》（TSG 11-2020）电站锅炉整套启动时，以下热工设备和保护装置应当经过调试，并且投入运行：</w:t>
      </w:r>
    </w:p>
    <w:p>
      <w:pPr>
        <w:jc w:val="left"/>
      </w:pPr>
      <w:r>
        <w:rPr>
          <w:rFonts w:ascii="宋体" w:hAnsi="宋体" w:eastAsia="宋体"/>
          <w:sz w:val="24"/>
        </w:rPr>
        <w:t>(1)数据采集系统；</w:t>
      </w:r>
    </w:p>
    <w:p>
      <w:pPr>
        <w:jc w:val="left"/>
      </w:pPr>
      <w:r>
        <w:rPr>
          <w:rFonts w:ascii="宋体" w:hAnsi="宋体" w:eastAsia="宋体"/>
          <w:sz w:val="24"/>
        </w:rPr>
        <w:t>(2)炉膛安全监控系统；</w:t>
      </w:r>
    </w:p>
    <w:p>
      <w:pPr>
        <w:jc w:val="left"/>
      </w:pPr>
      <w:r>
        <w:rPr>
          <w:rFonts w:ascii="宋体" w:hAnsi="宋体" w:eastAsia="宋体"/>
          <w:sz w:val="24"/>
        </w:rPr>
        <w:t>(3)有关辅机的子功能组和联锁；</w:t>
      </w:r>
    </w:p>
    <w:p>
      <w:pPr>
        <w:jc w:val="left"/>
      </w:pPr>
      <w:r>
        <w:rPr>
          <w:rFonts w:ascii="宋体" w:hAnsi="宋体" w:eastAsia="宋体"/>
          <w:sz w:val="24"/>
        </w:rPr>
        <w:t>(4)全部远程操作系统。</w:t>
      </w:r>
    </w:p>
    <w:p>
      <w:pPr>
        <w:jc w:val="left"/>
      </w:pPr>
      <w:r>
        <w:rPr>
          <w:rFonts w:ascii="宋体" w:hAnsi="宋体" w:eastAsia="宋体"/>
          <w:sz w:val="24"/>
        </w:rPr>
        <w:t>二、选择题</w:t>
      </w:r>
    </w:p>
    <w:p>
      <w:pPr>
        <w:jc w:val="left"/>
      </w:pPr>
      <w:r>
        <w:rPr>
          <w:rFonts w:ascii="宋体" w:hAnsi="宋体" w:eastAsia="宋体"/>
          <w:sz w:val="24"/>
        </w:rPr>
        <w:t>1、根据《锅炉安全技术规程》（TSG 11-2020）的规定，锅炉外部检验每年进行（      ）次。</w:t>
      </w:r>
    </w:p>
    <w:p>
      <w:pPr>
        <w:jc w:val="left"/>
      </w:pPr>
      <w:r>
        <w:rPr>
          <w:rFonts w:ascii="宋体" w:hAnsi="宋体" w:eastAsia="宋体"/>
          <w:sz w:val="24"/>
        </w:rPr>
        <w:t>A、4</w:t>
      </w:r>
    </w:p>
    <w:p>
      <w:pPr>
        <w:jc w:val="left"/>
      </w:pPr>
      <w:r>
        <w:rPr>
          <w:rFonts w:ascii="宋体" w:hAnsi="宋体" w:eastAsia="宋体"/>
          <w:sz w:val="24"/>
        </w:rPr>
        <w:t>B、3</w:t>
      </w:r>
    </w:p>
    <w:p>
      <w:pPr>
        <w:jc w:val="left"/>
      </w:pPr>
      <w:r>
        <w:rPr>
          <w:rFonts w:ascii="宋体" w:hAnsi="宋体" w:eastAsia="宋体"/>
          <w:sz w:val="24"/>
        </w:rPr>
        <w:t>C、2</w:t>
      </w:r>
    </w:p>
    <w:p>
      <w:pPr>
        <w:jc w:val="left"/>
      </w:pPr>
      <w:r>
        <w:rPr>
          <w:rFonts w:ascii="宋体" w:hAnsi="宋体" w:eastAsia="宋体"/>
          <w:sz w:val="24"/>
        </w:rPr>
        <w:t>D、1</w:t>
      </w:r>
    </w:p>
    <w:p>
      <w:pPr>
        <w:jc w:val="left"/>
      </w:pPr>
      <w:r>
        <w:rPr>
          <w:rFonts w:ascii="宋体" w:hAnsi="宋体" w:eastAsia="宋体"/>
          <w:sz w:val="24"/>
        </w:rPr>
        <w:t>【来源】《锅炉安全技术规程》（TSG 11-2020）外部检验，每年进行1次</w:t>
      </w:r>
    </w:p>
    <w:p>
      <w:pPr>
        <w:jc w:val="left"/>
      </w:pPr>
      <w:r>
        <w:rPr>
          <w:rFonts w:ascii="宋体" w:hAnsi="宋体" w:eastAsia="宋体"/>
          <w:sz w:val="24"/>
        </w:rPr>
        <w:t>2、根据《锅炉安全技术规程》（TSG 11-2020）的规定，锅炉使用单位应在锅炉下次检验日期前（      ）向具有相应资质的检验机构提出检验要求。</w:t>
      </w:r>
    </w:p>
    <w:p>
      <w:pPr>
        <w:jc w:val="left"/>
      </w:pPr>
      <w:r>
        <w:rPr>
          <w:rFonts w:ascii="宋体" w:hAnsi="宋体" w:eastAsia="宋体"/>
          <w:sz w:val="24"/>
        </w:rPr>
        <w:t>A、1周</w:t>
      </w:r>
    </w:p>
    <w:p>
      <w:pPr>
        <w:jc w:val="left"/>
      </w:pPr>
      <w:r>
        <w:rPr>
          <w:rFonts w:ascii="宋体" w:hAnsi="宋体" w:eastAsia="宋体"/>
          <w:sz w:val="24"/>
        </w:rPr>
        <w:t>B、半个月</w:t>
      </w:r>
    </w:p>
    <w:p>
      <w:pPr>
        <w:jc w:val="left"/>
      </w:pPr>
      <w:r>
        <w:rPr>
          <w:rFonts w:ascii="宋体" w:hAnsi="宋体" w:eastAsia="宋体"/>
          <w:sz w:val="24"/>
        </w:rPr>
        <w:t>C、1个月</w:t>
      </w:r>
    </w:p>
    <w:p>
      <w:pPr>
        <w:jc w:val="left"/>
      </w:pPr>
      <w:r>
        <w:rPr>
          <w:rFonts w:ascii="宋体" w:hAnsi="宋体" w:eastAsia="宋体"/>
          <w:sz w:val="24"/>
        </w:rPr>
        <w:t>D、2个月</w:t>
      </w:r>
    </w:p>
    <w:p>
      <w:pPr>
        <w:jc w:val="left"/>
      </w:pPr>
      <w:r>
        <w:rPr>
          <w:rFonts w:ascii="宋体" w:hAnsi="宋体" w:eastAsia="宋体"/>
          <w:sz w:val="24"/>
        </w:rPr>
        <w:t>【来源】《锅炉安全技术规程》（TSG 11-2020）锅炉使用单位应当安排锅炉的定期检验工作，并且在锅炉下次检验日期前1个月向具有相应资质的检验机构提出定期检验要求。检验机构接受检验要求后，应当及时开展检验。</w:t>
      </w:r>
    </w:p>
    <w:p>
      <w:pPr>
        <w:jc w:val="left"/>
      </w:pPr>
      <w:r>
        <w:rPr>
          <w:rFonts w:ascii="宋体" w:hAnsi="宋体" w:eastAsia="宋体"/>
          <w:sz w:val="24"/>
        </w:rPr>
        <w:t>3、根据《锅炉安全技术规程》（TSG 11-2020）的规定，每月对所使用的锅炉至少进行（      ）次月度检查，并且记录检查情况。</w:t>
      </w:r>
    </w:p>
    <w:p>
      <w:pPr>
        <w:jc w:val="left"/>
      </w:pPr>
      <w:r>
        <w:rPr>
          <w:rFonts w:ascii="宋体" w:hAnsi="宋体" w:eastAsia="宋体"/>
          <w:sz w:val="24"/>
        </w:rPr>
        <w:t>A、1</w:t>
      </w:r>
    </w:p>
    <w:p>
      <w:pPr>
        <w:jc w:val="left"/>
      </w:pPr>
      <w:r>
        <w:rPr>
          <w:rFonts w:ascii="宋体" w:hAnsi="宋体" w:eastAsia="宋体"/>
          <w:sz w:val="24"/>
        </w:rPr>
        <w:t>B、2</w:t>
      </w:r>
    </w:p>
    <w:p>
      <w:pPr>
        <w:jc w:val="left"/>
      </w:pPr>
      <w:r>
        <w:rPr>
          <w:rFonts w:ascii="宋体" w:hAnsi="宋体" w:eastAsia="宋体"/>
          <w:sz w:val="24"/>
        </w:rPr>
        <w:t>C、3</w:t>
      </w:r>
    </w:p>
    <w:p>
      <w:pPr>
        <w:jc w:val="left"/>
      </w:pPr>
      <w:r>
        <w:rPr>
          <w:rFonts w:ascii="宋体" w:hAnsi="宋体" w:eastAsia="宋体"/>
          <w:sz w:val="24"/>
        </w:rPr>
        <w:t>D、4</w:t>
      </w:r>
    </w:p>
    <w:p>
      <w:pPr>
        <w:jc w:val="left"/>
      </w:pPr>
      <w:r>
        <w:rPr>
          <w:rFonts w:ascii="宋体" w:hAnsi="宋体" w:eastAsia="宋体"/>
          <w:sz w:val="24"/>
        </w:rPr>
        <w:t>【来源】《锅炉安全技术规程》（TSG 11-2020）每月对所使用的锅炉至少进行1次月度检查，并且记录检查情况。</w:t>
      </w:r>
    </w:p>
    <w:p>
      <w:pPr>
        <w:jc w:val="left"/>
      </w:pPr>
      <w:r>
        <w:rPr>
          <w:rFonts w:ascii="宋体" w:hAnsi="宋体" w:eastAsia="宋体"/>
          <w:sz w:val="24"/>
        </w:rPr>
        <w:t>4、根据《锅炉安全技术规程》（TSG 11-2020）的规定，（      ）级及以下全自动锅炉可以不设跟班锅炉作业人员，但是应当建立定期巡回检查制度。</w:t>
      </w:r>
    </w:p>
    <w:p>
      <w:pPr>
        <w:jc w:val="left"/>
      </w:pPr>
      <w:r>
        <w:rPr>
          <w:rFonts w:ascii="宋体" w:hAnsi="宋体" w:eastAsia="宋体"/>
          <w:sz w:val="24"/>
        </w:rPr>
        <w:t>A、A</w:t>
      </w:r>
    </w:p>
    <w:p>
      <w:pPr>
        <w:jc w:val="left"/>
      </w:pPr>
      <w:r>
        <w:rPr>
          <w:rFonts w:ascii="宋体" w:hAnsi="宋体" w:eastAsia="宋体"/>
          <w:sz w:val="24"/>
        </w:rPr>
        <w:t>B、B</w:t>
      </w:r>
    </w:p>
    <w:p>
      <w:pPr>
        <w:jc w:val="left"/>
      </w:pPr>
      <w:r>
        <w:rPr>
          <w:rFonts w:ascii="宋体" w:hAnsi="宋体" w:eastAsia="宋体"/>
          <w:sz w:val="24"/>
        </w:rPr>
        <w:t>C、C</w:t>
      </w:r>
    </w:p>
    <w:p>
      <w:pPr>
        <w:jc w:val="left"/>
      </w:pPr>
      <w:r>
        <w:rPr>
          <w:rFonts w:ascii="宋体" w:hAnsi="宋体" w:eastAsia="宋体"/>
          <w:sz w:val="24"/>
        </w:rPr>
        <w:t>D、D</w:t>
      </w:r>
    </w:p>
    <w:p>
      <w:pPr>
        <w:jc w:val="left"/>
      </w:pPr>
      <w:r>
        <w:rPr>
          <w:rFonts w:ascii="宋体" w:hAnsi="宋体" w:eastAsia="宋体"/>
          <w:sz w:val="24"/>
        </w:rPr>
        <w:t>【来源】《锅炉安全技术规程》（TSG 11-2020）B级及以下全自动锅炉可以不设跟班锅炉作业人员，但是应当建立定期巡回检查制度。</w:t>
      </w:r>
    </w:p>
    <w:p>
      <w:pPr>
        <w:jc w:val="left"/>
      </w:pPr>
      <w:r>
        <w:rPr>
          <w:rFonts w:ascii="宋体" w:hAnsi="宋体" w:eastAsia="宋体"/>
          <w:sz w:val="24"/>
        </w:rPr>
        <w:t>5、根据《锅炉安全技术规程》（TSG 11-2020）的规定，在用锅炉的安全阀（      ）至少校验1次。</w:t>
      </w:r>
    </w:p>
    <w:p>
      <w:pPr>
        <w:jc w:val="left"/>
      </w:pPr>
      <w:r>
        <w:rPr>
          <w:rFonts w:ascii="宋体" w:hAnsi="宋体" w:eastAsia="宋体"/>
          <w:sz w:val="24"/>
        </w:rPr>
        <w:t>A、每月</w:t>
      </w:r>
    </w:p>
    <w:p>
      <w:pPr>
        <w:jc w:val="left"/>
      </w:pPr>
      <w:r>
        <w:rPr>
          <w:rFonts w:ascii="宋体" w:hAnsi="宋体" w:eastAsia="宋体"/>
          <w:sz w:val="24"/>
        </w:rPr>
        <w:t>B、每3月</w:t>
      </w:r>
    </w:p>
    <w:p>
      <w:pPr>
        <w:jc w:val="left"/>
      </w:pPr>
      <w:r>
        <w:rPr>
          <w:rFonts w:ascii="宋体" w:hAnsi="宋体" w:eastAsia="宋体"/>
          <w:sz w:val="24"/>
        </w:rPr>
        <w:t>C、每半年</w:t>
      </w:r>
    </w:p>
    <w:p>
      <w:pPr>
        <w:jc w:val="left"/>
      </w:pPr>
      <w:r>
        <w:rPr>
          <w:rFonts w:ascii="宋体" w:hAnsi="宋体" w:eastAsia="宋体"/>
          <w:sz w:val="24"/>
        </w:rPr>
        <w:t>D、每年</w:t>
      </w:r>
    </w:p>
    <w:p>
      <w:pPr>
        <w:jc w:val="left"/>
      </w:pPr>
      <w:r>
        <w:rPr>
          <w:rFonts w:ascii="宋体" w:hAnsi="宋体" w:eastAsia="宋体"/>
          <w:sz w:val="24"/>
        </w:rPr>
        <w:t>【来源】《锅炉安全技术规程》（TSG 11-2020）在用锅炉的安全阀每年至少校验1次，校验一般在锅炉运行状态下进行。</w:t>
      </w:r>
    </w:p>
    <w:p>
      <w:pPr>
        <w:jc w:val="left"/>
      </w:pPr>
      <w:r>
        <w:rPr>
          <w:rFonts w:ascii="宋体" w:hAnsi="宋体" w:eastAsia="宋体"/>
          <w:sz w:val="24"/>
        </w:rPr>
        <w:t>6、根据《特种设备安全监督检查办法》的规定，特种设备未取得许可生产、国家明令淘汰、已经报废或者达到报废条件，继续使用的，属于（      ）。</w:t>
      </w:r>
    </w:p>
    <w:p>
      <w:pPr>
        <w:jc w:val="left"/>
      </w:pPr>
      <w:r>
        <w:rPr>
          <w:rFonts w:ascii="宋体" w:hAnsi="宋体" w:eastAsia="宋体"/>
          <w:sz w:val="24"/>
        </w:rPr>
        <w:t>A、一般问题</w:t>
      </w:r>
    </w:p>
    <w:p>
      <w:pPr>
        <w:jc w:val="left"/>
      </w:pPr>
      <w:r>
        <w:rPr>
          <w:rFonts w:ascii="宋体" w:hAnsi="宋体" w:eastAsia="宋体"/>
          <w:sz w:val="24"/>
        </w:rPr>
        <w:t>B、严重事故隐患</w:t>
      </w:r>
    </w:p>
    <w:p>
      <w:pPr>
        <w:jc w:val="left"/>
      </w:pPr>
      <w:r>
        <w:rPr>
          <w:rFonts w:ascii="宋体" w:hAnsi="宋体" w:eastAsia="宋体"/>
          <w:sz w:val="24"/>
        </w:rPr>
        <w:t>C、民事犯罪</w:t>
      </w:r>
    </w:p>
    <w:p>
      <w:pPr>
        <w:jc w:val="left"/>
      </w:pPr>
      <w:r>
        <w:rPr>
          <w:rFonts w:ascii="宋体" w:hAnsi="宋体" w:eastAsia="宋体"/>
          <w:sz w:val="24"/>
        </w:rPr>
        <w:t>D、刑事犯罪</w:t>
      </w:r>
    </w:p>
    <w:p>
      <w:pPr>
        <w:jc w:val="left"/>
      </w:pPr>
      <w:r>
        <w:rPr>
          <w:rFonts w:ascii="宋体" w:hAnsi="宋体" w:eastAsia="宋体"/>
          <w:sz w:val="24"/>
        </w:rPr>
        <w:t>【来源】《特种设备安全监督检查办法》第二十五条 特种设备存在严重事故隐患包括以下情形：</w:t>
      </w:r>
    </w:p>
    <w:p>
      <w:pPr>
        <w:jc w:val="left"/>
      </w:pPr>
      <w:r>
        <w:rPr>
          <w:rFonts w:ascii="宋体" w:hAnsi="宋体" w:eastAsia="宋体"/>
          <w:sz w:val="24"/>
        </w:rPr>
        <w:t>（一）特种设备未取得许可生产、国家明令淘汰、已经报废或者达到报废条件，继续使用的；</w:t>
      </w:r>
    </w:p>
    <w:p>
      <w:pPr>
        <w:jc w:val="left"/>
      </w:pPr>
      <w:r>
        <w:rPr>
          <w:rFonts w:ascii="宋体" w:hAnsi="宋体" w:eastAsia="宋体"/>
          <w:sz w:val="24"/>
        </w:rPr>
        <w:t>（二）特种设备未经监督检验或者经检验、检测不合格，继续使用的；</w:t>
      </w:r>
    </w:p>
    <w:p>
      <w:pPr>
        <w:jc w:val="left"/>
      </w:pPr>
      <w:r>
        <w:rPr>
          <w:rFonts w:ascii="宋体" w:hAnsi="宋体" w:eastAsia="宋体"/>
          <w:sz w:val="24"/>
        </w:rPr>
        <w:t>（三）特种设备安全附件、安全保护装置缺失或者失灵，继续使用的；</w:t>
      </w:r>
    </w:p>
    <w:p>
      <w:pPr>
        <w:jc w:val="left"/>
      </w:pPr>
      <w:r>
        <w:rPr>
          <w:rFonts w:ascii="宋体" w:hAnsi="宋体" w:eastAsia="宋体"/>
          <w:sz w:val="24"/>
        </w:rPr>
        <w:t>（四）特种设备发生过事故或者有明显故障，未对其进行全面检查、消除事故隐患，继续使用的；</w:t>
      </w:r>
    </w:p>
    <w:p>
      <w:pPr>
        <w:jc w:val="left"/>
      </w:pPr>
      <w:r>
        <w:rPr>
          <w:rFonts w:ascii="宋体" w:hAnsi="宋体" w:eastAsia="宋体"/>
          <w:sz w:val="24"/>
        </w:rPr>
        <w:t>（五）特种设备超过规定参数、使用范围使用的；</w:t>
      </w:r>
    </w:p>
    <w:p>
      <w:pPr>
        <w:jc w:val="left"/>
      </w:pPr>
      <w:r>
        <w:rPr>
          <w:rFonts w:ascii="宋体" w:hAnsi="宋体" w:eastAsia="宋体"/>
          <w:sz w:val="24"/>
        </w:rPr>
        <w:t>（六）市场监督管理部门认为属于严重事故隐患的其他情形。</w:t>
      </w:r>
    </w:p>
    <w:p>
      <w:pPr>
        <w:jc w:val="left"/>
      </w:pPr>
      <w:r>
        <w:rPr>
          <w:rFonts w:ascii="宋体" w:hAnsi="宋体" w:eastAsia="宋体"/>
          <w:sz w:val="24"/>
        </w:rPr>
        <w:t>7、根据《特种设备安全监督检查办法》的规定，特种设备发生过事故或者有明显故障，未对其进行全面检查、消除事故隐患，继续使用的，属于（      ）。</w:t>
      </w:r>
    </w:p>
    <w:p>
      <w:pPr>
        <w:jc w:val="left"/>
      </w:pPr>
      <w:r>
        <w:rPr>
          <w:rFonts w:ascii="宋体" w:hAnsi="宋体" w:eastAsia="宋体"/>
          <w:sz w:val="24"/>
        </w:rPr>
        <w:t>A、一般问题</w:t>
      </w:r>
    </w:p>
    <w:p>
      <w:pPr>
        <w:jc w:val="left"/>
      </w:pPr>
      <w:r>
        <w:rPr>
          <w:rFonts w:ascii="宋体" w:hAnsi="宋体" w:eastAsia="宋体"/>
          <w:sz w:val="24"/>
        </w:rPr>
        <w:t>B、严重事故隐患</w:t>
      </w:r>
    </w:p>
    <w:p>
      <w:pPr>
        <w:jc w:val="left"/>
      </w:pPr>
      <w:r>
        <w:rPr>
          <w:rFonts w:ascii="宋体" w:hAnsi="宋体" w:eastAsia="宋体"/>
          <w:sz w:val="24"/>
        </w:rPr>
        <w:t>C、民事犯罪</w:t>
      </w:r>
    </w:p>
    <w:p>
      <w:pPr>
        <w:jc w:val="left"/>
      </w:pPr>
      <w:r>
        <w:rPr>
          <w:rFonts w:ascii="宋体" w:hAnsi="宋体" w:eastAsia="宋体"/>
          <w:sz w:val="24"/>
        </w:rPr>
        <w:t>D、刑事犯罪</w:t>
      </w:r>
    </w:p>
    <w:p>
      <w:pPr>
        <w:jc w:val="left"/>
      </w:pPr>
      <w:r>
        <w:rPr>
          <w:rFonts w:ascii="宋体" w:hAnsi="宋体" w:eastAsia="宋体"/>
          <w:sz w:val="24"/>
        </w:rPr>
        <w:t>【来源】《特种设备安全监督检查办法》第二十五条 特种设备存在严重事故隐患包括以下情形：</w:t>
      </w:r>
    </w:p>
    <w:p>
      <w:pPr>
        <w:jc w:val="left"/>
      </w:pPr>
      <w:r>
        <w:rPr>
          <w:rFonts w:ascii="宋体" w:hAnsi="宋体" w:eastAsia="宋体"/>
          <w:sz w:val="24"/>
        </w:rPr>
        <w:t>（一）特种设备未取得许可生产、国家明令淘汰、已经报废或者达到报废条件，继续使用的；</w:t>
      </w:r>
    </w:p>
    <w:p>
      <w:pPr>
        <w:jc w:val="left"/>
      </w:pPr>
      <w:r>
        <w:rPr>
          <w:rFonts w:ascii="宋体" w:hAnsi="宋体" w:eastAsia="宋体"/>
          <w:sz w:val="24"/>
        </w:rPr>
        <w:t>（二）特种设备未经监督检验或者经检验、检测不合格，继续使用的；</w:t>
      </w:r>
    </w:p>
    <w:p>
      <w:pPr>
        <w:jc w:val="left"/>
      </w:pPr>
      <w:r>
        <w:rPr>
          <w:rFonts w:ascii="宋体" w:hAnsi="宋体" w:eastAsia="宋体"/>
          <w:sz w:val="24"/>
        </w:rPr>
        <w:t>（三）特种设备安全附件、安全保护装置缺失或者失灵，继续使用的；</w:t>
      </w:r>
    </w:p>
    <w:p>
      <w:pPr>
        <w:jc w:val="left"/>
      </w:pPr>
      <w:r>
        <w:rPr>
          <w:rFonts w:ascii="宋体" w:hAnsi="宋体" w:eastAsia="宋体"/>
          <w:sz w:val="24"/>
        </w:rPr>
        <w:t>（四）特种设备发生过事故或者有明显故障，未对其进行全面检查、消除事故隐患，继续使用的；</w:t>
      </w:r>
    </w:p>
    <w:p>
      <w:pPr>
        <w:jc w:val="left"/>
      </w:pPr>
      <w:r>
        <w:rPr>
          <w:rFonts w:ascii="宋体" w:hAnsi="宋体" w:eastAsia="宋体"/>
          <w:sz w:val="24"/>
        </w:rPr>
        <w:t>（五）特种设备超过规定参数、使用范围使用的；</w:t>
      </w:r>
    </w:p>
    <w:p>
      <w:pPr>
        <w:jc w:val="left"/>
      </w:pPr>
      <w:r>
        <w:rPr>
          <w:rFonts w:ascii="宋体" w:hAnsi="宋体" w:eastAsia="宋体"/>
          <w:sz w:val="24"/>
        </w:rPr>
        <w:t>（六）市场监督管理部门认为属于严重事故隐患的其他情形。</w:t>
      </w:r>
    </w:p>
    <w:p>
      <w:pPr>
        <w:jc w:val="left"/>
      </w:pPr>
      <w:r>
        <w:rPr>
          <w:rFonts w:ascii="宋体" w:hAnsi="宋体" w:eastAsia="宋体"/>
          <w:sz w:val="24"/>
        </w:rPr>
        <w:t>8、根据《特种设备安全监督检查办法》的规定，特种设备未经监督检验或者经检验、检测不合格，继续使用的，属于（      ）。</w:t>
      </w:r>
    </w:p>
    <w:p>
      <w:pPr>
        <w:jc w:val="left"/>
      </w:pPr>
      <w:r>
        <w:rPr>
          <w:rFonts w:ascii="宋体" w:hAnsi="宋体" w:eastAsia="宋体"/>
          <w:sz w:val="24"/>
        </w:rPr>
        <w:t>A、一般问题</w:t>
      </w:r>
    </w:p>
    <w:p>
      <w:pPr>
        <w:jc w:val="left"/>
      </w:pPr>
      <w:r>
        <w:rPr>
          <w:rFonts w:ascii="宋体" w:hAnsi="宋体" w:eastAsia="宋体"/>
          <w:sz w:val="24"/>
        </w:rPr>
        <w:t>B、严重事故隐患</w:t>
      </w:r>
    </w:p>
    <w:p>
      <w:pPr>
        <w:jc w:val="left"/>
      </w:pPr>
      <w:r>
        <w:rPr>
          <w:rFonts w:ascii="宋体" w:hAnsi="宋体" w:eastAsia="宋体"/>
          <w:sz w:val="24"/>
        </w:rPr>
        <w:t>C、民事犯罪</w:t>
      </w:r>
    </w:p>
    <w:p>
      <w:pPr>
        <w:jc w:val="left"/>
      </w:pPr>
      <w:r>
        <w:rPr>
          <w:rFonts w:ascii="宋体" w:hAnsi="宋体" w:eastAsia="宋体"/>
          <w:sz w:val="24"/>
        </w:rPr>
        <w:t>D、刑事犯罪</w:t>
      </w:r>
    </w:p>
    <w:p>
      <w:pPr>
        <w:jc w:val="left"/>
      </w:pPr>
      <w:r>
        <w:rPr>
          <w:rFonts w:ascii="宋体" w:hAnsi="宋体" w:eastAsia="宋体"/>
          <w:sz w:val="24"/>
        </w:rPr>
        <w:t>【来源】《特种设备安全监督检查办法》第二十五条 特种设备存在严重事故隐患包括以下情形：</w:t>
      </w:r>
    </w:p>
    <w:p>
      <w:pPr>
        <w:jc w:val="left"/>
      </w:pPr>
      <w:r>
        <w:rPr>
          <w:rFonts w:ascii="宋体" w:hAnsi="宋体" w:eastAsia="宋体"/>
          <w:sz w:val="24"/>
        </w:rPr>
        <w:t>（一）特种设备未取得许可生产、国家明令淘汰、已经报废或者达到报废条件，继续使用的；</w:t>
      </w:r>
    </w:p>
    <w:p>
      <w:pPr>
        <w:jc w:val="left"/>
      </w:pPr>
      <w:r>
        <w:rPr>
          <w:rFonts w:ascii="宋体" w:hAnsi="宋体" w:eastAsia="宋体"/>
          <w:sz w:val="24"/>
        </w:rPr>
        <w:t>（二）特种设备未经监督检验或者经检验、检测不合格，继续使用的；</w:t>
      </w:r>
    </w:p>
    <w:p>
      <w:pPr>
        <w:jc w:val="left"/>
      </w:pPr>
      <w:r>
        <w:rPr>
          <w:rFonts w:ascii="宋体" w:hAnsi="宋体" w:eastAsia="宋体"/>
          <w:sz w:val="24"/>
        </w:rPr>
        <w:t>（三）特种设备安全附件、安全保护装置缺失或者失灵，继续使用的；</w:t>
      </w:r>
    </w:p>
    <w:p>
      <w:pPr>
        <w:jc w:val="left"/>
      </w:pPr>
      <w:r>
        <w:rPr>
          <w:rFonts w:ascii="宋体" w:hAnsi="宋体" w:eastAsia="宋体"/>
          <w:sz w:val="24"/>
        </w:rPr>
        <w:t>（四）特种设备发生过事故或者有明显故障，未对其进行全面检查、消除事故隐患，继续使用的；</w:t>
      </w:r>
    </w:p>
    <w:p>
      <w:pPr>
        <w:jc w:val="left"/>
      </w:pPr>
      <w:r>
        <w:rPr>
          <w:rFonts w:ascii="宋体" w:hAnsi="宋体" w:eastAsia="宋体"/>
          <w:sz w:val="24"/>
        </w:rPr>
        <w:t>（五）特种设备超过规定参数、使用范围使用的；</w:t>
      </w:r>
    </w:p>
    <w:p>
      <w:pPr>
        <w:jc w:val="left"/>
      </w:pPr>
      <w:r>
        <w:rPr>
          <w:rFonts w:ascii="宋体" w:hAnsi="宋体" w:eastAsia="宋体"/>
          <w:sz w:val="24"/>
        </w:rPr>
        <w:t>（六）市场监督管理部门认为属于严重事故隐患的其他情形。</w:t>
      </w:r>
    </w:p>
    <w:p>
      <w:pPr>
        <w:jc w:val="left"/>
      </w:pPr>
      <w:r>
        <w:rPr>
          <w:rFonts w:ascii="宋体" w:hAnsi="宋体" w:eastAsia="宋体"/>
          <w:sz w:val="24"/>
        </w:rPr>
        <w:t>9、根据《特种设备安全监督检查办法》的规定，特种设备安全附件、安全保护装置缺失或者失灵，继续使用的，属于（      ）。</w:t>
      </w:r>
    </w:p>
    <w:p>
      <w:pPr>
        <w:jc w:val="left"/>
      </w:pPr>
      <w:r>
        <w:rPr>
          <w:rFonts w:ascii="宋体" w:hAnsi="宋体" w:eastAsia="宋体"/>
          <w:sz w:val="24"/>
        </w:rPr>
        <w:t>A、一般问题</w:t>
      </w:r>
    </w:p>
    <w:p>
      <w:pPr>
        <w:jc w:val="left"/>
      </w:pPr>
      <w:r>
        <w:rPr>
          <w:rFonts w:ascii="宋体" w:hAnsi="宋体" w:eastAsia="宋体"/>
          <w:sz w:val="24"/>
        </w:rPr>
        <w:t>B、严重事故隐患</w:t>
      </w:r>
    </w:p>
    <w:p>
      <w:pPr>
        <w:jc w:val="left"/>
      </w:pPr>
      <w:r>
        <w:rPr>
          <w:rFonts w:ascii="宋体" w:hAnsi="宋体" w:eastAsia="宋体"/>
          <w:sz w:val="24"/>
        </w:rPr>
        <w:t>C、民事犯罪</w:t>
      </w:r>
    </w:p>
    <w:p>
      <w:pPr>
        <w:jc w:val="left"/>
      </w:pPr>
      <w:r>
        <w:rPr>
          <w:rFonts w:ascii="宋体" w:hAnsi="宋体" w:eastAsia="宋体"/>
          <w:sz w:val="24"/>
        </w:rPr>
        <w:t>D、刑事犯罪</w:t>
      </w:r>
    </w:p>
    <w:p>
      <w:pPr>
        <w:jc w:val="left"/>
      </w:pPr>
      <w:r>
        <w:rPr>
          <w:rFonts w:ascii="宋体" w:hAnsi="宋体" w:eastAsia="宋体"/>
          <w:sz w:val="24"/>
        </w:rPr>
        <w:t>【来源】《特种设备安全监督检查办法》第二十五条 特种设备存在严重事故隐患包括以下情形：</w:t>
      </w:r>
    </w:p>
    <w:p>
      <w:pPr>
        <w:jc w:val="left"/>
      </w:pPr>
      <w:r>
        <w:rPr>
          <w:rFonts w:ascii="宋体" w:hAnsi="宋体" w:eastAsia="宋体"/>
          <w:sz w:val="24"/>
        </w:rPr>
        <w:t>（一）特种设备未取得许可生产、国家明令淘汰、已经报废或者达到报废条件，继续使用的；</w:t>
      </w:r>
    </w:p>
    <w:p>
      <w:pPr>
        <w:jc w:val="left"/>
      </w:pPr>
      <w:r>
        <w:rPr>
          <w:rFonts w:ascii="宋体" w:hAnsi="宋体" w:eastAsia="宋体"/>
          <w:sz w:val="24"/>
        </w:rPr>
        <w:t>（二）特种设备未经监督检验或者经检验、检测不合格，继续使用的；</w:t>
      </w:r>
    </w:p>
    <w:p>
      <w:pPr>
        <w:jc w:val="left"/>
      </w:pPr>
      <w:r>
        <w:rPr>
          <w:rFonts w:ascii="宋体" w:hAnsi="宋体" w:eastAsia="宋体"/>
          <w:sz w:val="24"/>
        </w:rPr>
        <w:t>（三）特种设备安全附件、安全保护装置缺失或者失灵，继续使用的；</w:t>
      </w:r>
    </w:p>
    <w:p>
      <w:pPr>
        <w:jc w:val="left"/>
      </w:pPr>
      <w:r>
        <w:rPr>
          <w:rFonts w:ascii="宋体" w:hAnsi="宋体" w:eastAsia="宋体"/>
          <w:sz w:val="24"/>
        </w:rPr>
        <w:t>（四）特种设备发生过事故或者有明显故障，未对其进行全面检查、消除事故隐患，继续使用的；</w:t>
      </w:r>
    </w:p>
    <w:p>
      <w:pPr>
        <w:jc w:val="left"/>
      </w:pPr>
      <w:r>
        <w:rPr>
          <w:rFonts w:ascii="宋体" w:hAnsi="宋体" w:eastAsia="宋体"/>
          <w:sz w:val="24"/>
        </w:rPr>
        <w:t>（五）特种设备超过规定参数、使用范围使用的；</w:t>
      </w:r>
    </w:p>
    <w:p>
      <w:pPr>
        <w:jc w:val="left"/>
      </w:pPr>
      <w:r>
        <w:rPr>
          <w:rFonts w:ascii="宋体" w:hAnsi="宋体" w:eastAsia="宋体"/>
          <w:sz w:val="24"/>
        </w:rPr>
        <w:t>（六）市场监督管理部门认为属于严重事故隐患的其他情形。</w:t>
      </w:r>
    </w:p>
    <w:p>
      <w:pPr>
        <w:jc w:val="left"/>
      </w:pPr>
      <w:r>
        <w:rPr>
          <w:rFonts w:ascii="宋体" w:hAnsi="宋体" w:eastAsia="宋体"/>
          <w:sz w:val="24"/>
        </w:rPr>
        <w:t>10、根据《特种设备事故报告和调查处理导则》（TSG 03-2015）的规定，特种设备发生事故后，事故发生单位应当按照规定启动应急预案，采取措施组织抢救，防止事故扩大，减少人员伤亡和财产损失，履行保护事故现场和有关证据的义务；事故发生单位的负责人接到事故报告后，应当于（      ）小时内向事故发生地特种设备安全监管部门和有关部门报告。</w:t>
      </w:r>
    </w:p>
    <w:p>
      <w:pPr>
        <w:jc w:val="left"/>
      </w:pPr>
      <w:r>
        <w:rPr>
          <w:rFonts w:ascii="宋体" w:hAnsi="宋体" w:eastAsia="宋体"/>
          <w:sz w:val="24"/>
        </w:rPr>
        <w:t>A、半</w:t>
      </w:r>
    </w:p>
    <w:p>
      <w:pPr>
        <w:jc w:val="left"/>
      </w:pPr>
      <w:r>
        <w:rPr>
          <w:rFonts w:ascii="宋体" w:hAnsi="宋体" w:eastAsia="宋体"/>
          <w:sz w:val="24"/>
        </w:rPr>
        <w:t>B、1</w:t>
      </w:r>
    </w:p>
    <w:p>
      <w:pPr>
        <w:jc w:val="left"/>
      </w:pPr>
      <w:r>
        <w:rPr>
          <w:rFonts w:ascii="宋体" w:hAnsi="宋体" w:eastAsia="宋体"/>
          <w:sz w:val="24"/>
        </w:rPr>
        <w:t>C、2</w:t>
      </w:r>
    </w:p>
    <w:p>
      <w:pPr>
        <w:jc w:val="left"/>
      </w:pPr>
      <w:r>
        <w:rPr>
          <w:rFonts w:ascii="宋体" w:hAnsi="宋体" w:eastAsia="宋体"/>
          <w:sz w:val="24"/>
        </w:rPr>
        <w:t>D、3</w:t>
      </w:r>
    </w:p>
    <w:p>
      <w:pPr>
        <w:jc w:val="left"/>
      </w:pPr>
      <w:r>
        <w:rPr>
          <w:rFonts w:ascii="宋体" w:hAnsi="宋体" w:eastAsia="宋体"/>
          <w:sz w:val="24"/>
        </w:rPr>
        <w:t>【来源】《特种设备事故报告和调查处理导则》（TSG 03-2015）3.1.1事故发生单位的报告</w:t>
      </w:r>
    </w:p>
    <w:p>
      <w:pPr>
        <w:jc w:val="left"/>
      </w:pPr>
      <w:r>
        <w:rPr>
          <w:rFonts w:ascii="宋体" w:hAnsi="宋体" w:eastAsia="宋体"/>
          <w:sz w:val="24"/>
        </w:rPr>
        <w:t>特种设备发生事故后，事故发生单位应当按照规定启动应急预案，采取措施组织抢救，防止事故扩大，减少人员伤亡和财产损失，履行保护事故现场和有关证据的义务；事故发生单位的负责人接到事故报告后，应当于1小时内向事故发生地特种设备安全监管部门和有关部门报告。</w:t>
      </w:r>
    </w:p>
    <w:p>
      <w:pPr>
        <w:jc w:val="left"/>
      </w:pPr>
      <w:r>
        <w:rPr>
          <w:rFonts w:ascii="宋体" w:hAnsi="宋体" w:eastAsia="宋体"/>
          <w:sz w:val="24"/>
        </w:rPr>
        <w:t>11、根据《特种设备事故报告和调查处理导则》（TSG 03-2015）的规定，特种设备发生事故后，事故发生单位应当按照规定启动应急预案，采取措施组织抢救，防止事故扩大，减少人员伤亡和财产损失，履行保护事故现场和有关证据的义务；事故发生单位的（      ）接到事故报告后，应当于1小时内向事故发生地特种设备安全监管部门和有关部门报告。</w:t>
      </w:r>
    </w:p>
    <w:p>
      <w:pPr>
        <w:jc w:val="left"/>
      </w:pPr>
      <w:r>
        <w:rPr>
          <w:rFonts w:ascii="宋体" w:hAnsi="宋体" w:eastAsia="宋体"/>
          <w:sz w:val="24"/>
        </w:rPr>
        <w:t>A、负责人</w:t>
      </w:r>
    </w:p>
    <w:p>
      <w:pPr>
        <w:jc w:val="left"/>
      </w:pPr>
      <w:r>
        <w:rPr>
          <w:rFonts w:ascii="宋体" w:hAnsi="宋体" w:eastAsia="宋体"/>
          <w:sz w:val="24"/>
        </w:rPr>
        <w:t>B、特种设备主管</w:t>
      </w:r>
    </w:p>
    <w:p>
      <w:pPr>
        <w:jc w:val="left"/>
      </w:pPr>
      <w:r>
        <w:rPr>
          <w:rFonts w:ascii="宋体" w:hAnsi="宋体" w:eastAsia="宋体"/>
          <w:sz w:val="24"/>
        </w:rPr>
        <w:t>C、特种设备安全管理员</w:t>
      </w:r>
    </w:p>
    <w:p>
      <w:pPr>
        <w:jc w:val="left"/>
      </w:pPr>
      <w:r>
        <w:rPr>
          <w:rFonts w:ascii="宋体" w:hAnsi="宋体" w:eastAsia="宋体"/>
          <w:sz w:val="24"/>
        </w:rPr>
        <w:t>D、特种设备作业人员</w:t>
      </w:r>
    </w:p>
    <w:p>
      <w:pPr>
        <w:jc w:val="left"/>
      </w:pPr>
      <w:r>
        <w:rPr>
          <w:rFonts w:ascii="宋体" w:hAnsi="宋体" w:eastAsia="宋体"/>
          <w:sz w:val="24"/>
        </w:rPr>
        <w:t>【来源】《特种设备事故报告和调查处理导则》（TSG 03-2015）3.1.1事故发生单位的报告</w:t>
      </w:r>
    </w:p>
    <w:p>
      <w:pPr>
        <w:jc w:val="left"/>
      </w:pPr>
      <w:r>
        <w:rPr>
          <w:rFonts w:ascii="宋体" w:hAnsi="宋体" w:eastAsia="宋体"/>
          <w:sz w:val="24"/>
        </w:rPr>
        <w:t>特种设备发生事故后，事故发生单位应当按照规定启动应急预案，采取措施组织抢救，防止事故扩大，减少人员伤亡和财产损失，履行保护事故现场和有关证据的义务；事故发生单位的负责人接到事故报告后，应当于1小时内向事故发生地特种设备安全监管部门和有关部门报告。</w:t>
      </w:r>
    </w:p>
    <w:p>
      <w:pPr>
        <w:jc w:val="left"/>
      </w:pPr>
      <w:r>
        <w:rPr>
          <w:rFonts w:ascii="宋体" w:hAnsi="宋体" w:eastAsia="宋体"/>
          <w:sz w:val="24"/>
        </w:rPr>
        <w:t>12、根据《中华人民共和国特种设备安全法》的规定，特种设备进行改造、修理，按照规定需要变更使用登记的，应当办理（      ），方可继续使用。</w:t>
      </w:r>
    </w:p>
    <w:p>
      <w:pPr>
        <w:jc w:val="left"/>
      </w:pPr>
      <w:r>
        <w:rPr>
          <w:rFonts w:ascii="宋体" w:hAnsi="宋体" w:eastAsia="宋体"/>
          <w:sz w:val="24"/>
        </w:rPr>
        <w:t>A、变更登记</w:t>
      </w:r>
    </w:p>
    <w:p>
      <w:pPr>
        <w:jc w:val="left"/>
      </w:pPr>
      <w:r>
        <w:rPr>
          <w:rFonts w:ascii="宋体" w:hAnsi="宋体" w:eastAsia="宋体"/>
          <w:sz w:val="24"/>
        </w:rPr>
        <w:t>B、报废</w:t>
      </w:r>
    </w:p>
    <w:p>
      <w:pPr>
        <w:jc w:val="left"/>
      </w:pPr>
      <w:r>
        <w:rPr>
          <w:rFonts w:ascii="宋体" w:hAnsi="宋体" w:eastAsia="宋体"/>
          <w:sz w:val="24"/>
        </w:rPr>
        <w:t>C、停用</w:t>
      </w:r>
    </w:p>
    <w:p>
      <w:pPr>
        <w:jc w:val="left"/>
      </w:pPr>
      <w:r>
        <w:rPr>
          <w:rFonts w:ascii="宋体" w:hAnsi="宋体" w:eastAsia="宋体"/>
          <w:sz w:val="24"/>
        </w:rPr>
        <w:t>D、重新登记</w:t>
      </w:r>
    </w:p>
    <w:p>
      <w:pPr>
        <w:jc w:val="left"/>
      </w:pPr>
      <w:r>
        <w:rPr>
          <w:rFonts w:ascii="宋体" w:hAnsi="宋体" w:eastAsia="宋体"/>
          <w:sz w:val="24"/>
        </w:rPr>
        <w:t>【来源】《中华人民共和国特种设备安全法》第四十七条 特种设备进行改造、修理，按照规定需要变更使用登记的，应当办理变更登记，方可继续使用。</w:t>
      </w:r>
    </w:p>
    <w:p>
      <w:pPr>
        <w:jc w:val="left"/>
      </w:pPr>
      <w:r>
        <w:rPr>
          <w:rFonts w:ascii="宋体" w:hAnsi="宋体" w:eastAsia="宋体"/>
          <w:sz w:val="24"/>
        </w:rPr>
        <w:t>13、根据《特种设备安全监察条例》的规定，特种设备使用单位应当使用符合（      ）要求的特种设备。</w:t>
      </w:r>
    </w:p>
    <w:p>
      <w:pPr>
        <w:jc w:val="left"/>
      </w:pPr>
      <w:r>
        <w:rPr>
          <w:rFonts w:ascii="宋体" w:hAnsi="宋体" w:eastAsia="宋体"/>
          <w:sz w:val="24"/>
        </w:rPr>
        <w:t>A、安全技术规范</w:t>
      </w:r>
    </w:p>
    <w:p>
      <w:pPr>
        <w:jc w:val="left"/>
      </w:pPr>
      <w:r>
        <w:rPr>
          <w:rFonts w:ascii="宋体" w:hAnsi="宋体" w:eastAsia="宋体"/>
          <w:sz w:val="24"/>
        </w:rPr>
        <w:t>B、使用单位</w:t>
      </w:r>
    </w:p>
    <w:p>
      <w:pPr>
        <w:jc w:val="left"/>
      </w:pPr>
      <w:r>
        <w:rPr>
          <w:rFonts w:ascii="宋体" w:hAnsi="宋体" w:eastAsia="宋体"/>
          <w:sz w:val="24"/>
        </w:rPr>
        <w:t>C、检查人员</w:t>
      </w:r>
    </w:p>
    <w:p>
      <w:pPr>
        <w:jc w:val="left"/>
      </w:pPr>
      <w:r>
        <w:rPr>
          <w:rFonts w:ascii="宋体" w:hAnsi="宋体" w:eastAsia="宋体"/>
          <w:sz w:val="24"/>
        </w:rPr>
        <w:t>D、上级部门</w:t>
      </w:r>
    </w:p>
    <w:p>
      <w:pPr>
        <w:jc w:val="left"/>
      </w:pPr>
      <w:r>
        <w:rPr>
          <w:rFonts w:ascii="宋体" w:hAnsi="宋体" w:eastAsia="宋体"/>
          <w:sz w:val="24"/>
        </w:rPr>
        <w:t>【来源】《特种设备安全监察条例》  第二十四条 特种设备使用单位应当使用符合安全技术规范要求的特种设备。特种设备投入使用前，使用单位应当核对其是否附有本条例第十五条规定的相关文件。</w:t>
      </w:r>
    </w:p>
    <w:p>
      <w:pPr>
        <w:jc w:val="left"/>
      </w:pPr>
      <w:r>
        <w:rPr>
          <w:rFonts w:ascii="宋体" w:hAnsi="宋体" w:eastAsia="宋体"/>
          <w:sz w:val="24"/>
        </w:rPr>
        <w:t>14、根据《特种设备安全监察条例》的规定，特种设备不符合能效指标的，特种设备使用单位应当采取相应措施进行（      ）。</w:t>
      </w:r>
    </w:p>
    <w:p>
      <w:pPr>
        <w:jc w:val="left"/>
      </w:pPr>
      <w:r>
        <w:rPr>
          <w:rFonts w:ascii="宋体" w:hAnsi="宋体" w:eastAsia="宋体"/>
          <w:sz w:val="24"/>
        </w:rPr>
        <w:t>A、修理</w:t>
      </w:r>
    </w:p>
    <w:p>
      <w:pPr>
        <w:jc w:val="left"/>
      </w:pPr>
      <w:r>
        <w:rPr>
          <w:rFonts w:ascii="宋体" w:hAnsi="宋体" w:eastAsia="宋体"/>
          <w:sz w:val="24"/>
        </w:rPr>
        <w:t>B、改造</w:t>
      </w:r>
    </w:p>
    <w:p>
      <w:pPr>
        <w:jc w:val="left"/>
      </w:pPr>
      <w:r>
        <w:rPr>
          <w:rFonts w:ascii="宋体" w:hAnsi="宋体" w:eastAsia="宋体"/>
          <w:sz w:val="24"/>
        </w:rPr>
        <w:t>C、整改</w:t>
      </w:r>
    </w:p>
    <w:p>
      <w:pPr>
        <w:jc w:val="left"/>
      </w:pPr>
      <w:r>
        <w:rPr>
          <w:rFonts w:ascii="宋体" w:hAnsi="宋体" w:eastAsia="宋体"/>
          <w:sz w:val="24"/>
        </w:rPr>
        <w:t>D、报废</w:t>
      </w:r>
    </w:p>
    <w:p>
      <w:pPr>
        <w:jc w:val="left"/>
      </w:pPr>
      <w:r>
        <w:rPr>
          <w:rFonts w:ascii="宋体" w:hAnsi="宋体" w:eastAsia="宋体"/>
          <w:sz w:val="24"/>
        </w:rPr>
        <w:t>【来源】《特种设备安全监察条例》  第二十九条 特种设备出现故障或者发生异常情况，使用单位应当对其进行全面检查，消除事故隐患后，方可重新投入使用。特种设备不符合能效指标的，特种设备使用单位应当采取相应措施进行整改。</w:t>
      </w:r>
    </w:p>
    <w:p>
      <w:pPr>
        <w:jc w:val="left"/>
      </w:pPr>
      <w:r>
        <w:rPr>
          <w:rFonts w:ascii="宋体" w:hAnsi="宋体" w:eastAsia="宋体"/>
          <w:sz w:val="24"/>
        </w:rPr>
        <w:t>15、根据《特种设备使用管理规则》的规定，主要负责人是指特种设备使用单位的实际最高管理者，对其单位所使用的特种设备安全节能负总责，每（      ）至少组织召开一次安全调度会议。</w:t>
      </w:r>
    </w:p>
    <w:p>
      <w:pPr>
        <w:jc w:val="left"/>
      </w:pPr>
      <w:r>
        <w:rPr>
          <w:rFonts w:ascii="宋体" w:hAnsi="宋体" w:eastAsia="宋体"/>
          <w:sz w:val="24"/>
        </w:rPr>
        <w:t>A、日</w:t>
      </w:r>
    </w:p>
    <w:p>
      <w:pPr>
        <w:jc w:val="left"/>
      </w:pPr>
      <w:r>
        <w:rPr>
          <w:rFonts w:ascii="宋体" w:hAnsi="宋体" w:eastAsia="宋体"/>
          <w:sz w:val="24"/>
        </w:rPr>
        <w:t>B、周</w:t>
      </w:r>
    </w:p>
    <w:p>
      <w:pPr>
        <w:jc w:val="left"/>
      </w:pPr>
      <w:r>
        <w:rPr>
          <w:rFonts w:ascii="宋体" w:hAnsi="宋体" w:eastAsia="宋体"/>
          <w:sz w:val="24"/>
        </w:rPr>
        <w:t>C、月</w:t>
      </w:r>
    </w:p>
    <w:p>
      <w:pPr>
        <w:jc w:val="left"/>
      </w:pPr>
      <w:r>
        <w:rPr>
          <w:rFonts w:ascii="宋体" w:hAnsi="宋体" w:eastAsia="宋体"/>
          <w:sz w:val="24"/>
        </w:rPr>
        <w:t>D、季度</w:t>
      </w:r>
    </w:p>
    <w:p>
      <w:pPr>
        <w:jc w:val="left"/>
      </w:pPr>
      <w:r>
        <w:rPr>
          <w:rFonts w:ascii="宋体" w:hAnsi="宋体" w:eastAsia="宋体"/>
          <w:sz w:val="24"/>
        </w:rPr>
        <w:t>【来源】《特种设备使用管理规则》主要负责人是指特种设备使用单位的实际最高管理者，对其单位所使用的特种设备安全节能负总责，每月至少组织召开一次安全调度会议。</w:t>
      </w:r>
    </w:p>
    <w:p>
      <w:pPr>
        <w:jc w:val="left"/>
      </w:pPr>
      <w:r>
        <w:rPr>
          <w:rFonts w:ascii="宋体" w:hAnsi="宋体" w:eastAsia="宋体"/>
          <w:sz w:val="24"/>
        </w:rPr>
        <w:t>16、根据《特种设备使用管理规则》的规定，按照特种设备使用管理规则要求设置安全管理机构的使用单位安全管理负责人，（      ）取得相应的特种设备安全管理人员资格证书。</w:t>
      </w:r>
    </w:p>
    <w:p>
      <w:pPr>
        <w:jc w:val="left"/>
      </w:pPr>
      <w:r>
        <w:rPr>
          <w:rFonts w:ascii="宋体" w:hAnsi="宋体" w:eastAsia="宋体"/>
          <w:sz w:val="24"/>
        </w:rPr>
        <w:t>A、可</w:t>
      </w:r>
    </w:p>
    <w:p>
      <w:pPr>
        <w:jc w:val="left"/>
      </w:pPr>
      <w:r>
        <w:rPr>
          <w:rFonts w:ascii="宋体" w:hAnsi="宋体" w:eastAsia="宋体"/>
          <w:sz w:val="24"/>
        </w:rPr>
        <w:t>B、应当</w:t>
      </w:r>
    </w:p>
    <w:p>
      <w:pPr>
        <w:jc w:val="left"/>
      </w:pPr>
      <w:r>
        <w:rPr>
          <w:rFonts w:ascii="宋体" w:hAnsi="宋体" w:eastAsia="宋体"/>
          <w:sz w:val="24"/>
        </w:rPr>
        <w:t>C、视情况</w:t>
      </w:r>
    </w:p>
    <w:p>
      <w:pPr>
        <w:jc w:val="left"/>
      </w:pPr>
      <w:r>
        <w:rPr>
          <w:rFonts w:ascii="宋体" w:hAnsi="宋体" w:eastAsia="宋体"/>
          <w:sz w:val="24"/>
        </w:rPr>
        <w:t>D、根据需要</w:t>
      </w:r>
    </w:p>
    <w:p>
      <w:pPr>
        <w:jc w:val="left"/>
      </w:pPr>
      <w:r>
        <w:rPr>
          <w:rFonts w:ascii="宋体" w:hAnsi="宋体" w:eastAsia="宋体"/>
          <w:sz w:val="24"/>
        </w:rPr>
        <w:t>【来源】《特种设备使用管理规则》特种设备使用单位应当配备安全管理负责人。特种设备安全管理负责人是指使用单位最高管理层中主管本单位特种设备使用安全管理的人员。按照本规则要求设置安全管理机构的使用单位安全管理负责人，应当取得相应的特种设备安全管理人员资格证书。</w:t>
      </w:r>
    </w:p>
    <w:p>
      <w:pPr>
        <w:jc w:val="left"/>
      </w:pPr>
      <w:r>
        <w:rPr>
          <w:rFonts w:ascii="宋体" w:hAnsi="宋体" w:eastAsia="宋体"/>
          <w:sz w:val="24"/>
        </w:rPr>
        <w:t>17、根据《特种设备使用管理规则》的规定，高耗能特种设备使用单位应当配备（      ）管理人员，负责宣传贯彻特种设备节能的法律法规。</w:t>
      </w:r>
    </w:p>
    <w:p>
      <w:pPr>
        <w:jc w:val="left"/>
      </w:pPr>
      <w:r>
        <w:rPr>
          <w:rFonts w:ascii="宋体" w:hAnsi="宋体" w:eastAsia="宋体"/>
          <w:sz w:val="24"/>
        </w:rPr>
        <w:t>A、安全</w:t>
      </w:r>
    </w:p>
    <w:p>
      <w:pPr>
        <w:jc w:val="left"/>
      </w:pPr>
      <w:r>
        <w:rPr>
          <w:rFonts w:ascii="宋体" w:hAnsi="宋体" w:eastAsia="宋体"/>
          <w:sz w:val="24"/>
        </w:rPr>
        <w:t>B、技术</w:t>
      </w:r>
    </w:p>
    <w:p>
      <w:pPr>
        <w:jc w:val="left"/>
      </w:pPr>
      <w:r>
        <w:rPr>
          <w:rFonts w:ascii="宋体" w:hAnsi="宋体" w:eastAsia="宋体"/>
          <w:sz w:val="24"/>
        </w:rPr>
        <w:t>C、经费</w:t>
      </w:r>
    </w:p>
    <w:p>
      <w:pPr>
        <w:jc w:val="left"/>
      </w:pPr>
      <w:r>
        <w:rPr>
          <w:rFonts w:ascii="宋体" w:hAnsi="宋体" w:eastAsia="宋体"/>
          <w:sz w:val="24"/>
        </w:rPr>
        <w:t>D、节能</w:t>
      </w:r>
    </w:p>
    <w:p>
      <w:pPr>
        <w:jc w:val="left"/>
      </w:pPr>
      <w:r>
        <w:rPr>
          <w:rFonts w:ascii="宋体" w:hAnsi="宋体" w:eastAsia="宋体"/>
          <w:sz w:val="24"/>
        </w:rPr>
        <w:t>【来源】《特种设备使用管理规则》高耗能特种设备使用单位应当配备节能管理人员，负责宣传贯彻特种设备节能的法律法规。</w:t>
      </w:r>
    </w:p>
    <w:p>
      <w:pPr>
        <w:jc w:val="left"/>
      </w:pPr>
      <w:r>
        <w:rPr>
          <w:rFonts w:ascii="宋体" w:hAnsi="宋体" w:eastAsia="宋体"/>
          <w:sz w:val="24"/>
        </w:rPr>
        <w:t>锅炉使用单位的节能管理人员应当组织制定本单位锅炉节能制度，对锅炉节能管理工作实施情况进行检查；建立锅炉节能技术档案，组织开展锅炉节能教育培训；编制锅炉能效测试计划，督促落实锅炉定期能效测试工作。</w:t>
      </w:r>
    </w:p>
    <w:p>
      <w:pPr>
        <w:jc w:val="left"/>
      </w:pPr>
      <w:r>
        <w:rPr>
          <w:rFonts w:ascii="宋体" w:hAnsi="宋体" w:eastAsia="宋体"/>
          <w:sz w:val="24"/>
        </w:rPr>
        <w:t>18、根据《特种设备作业人员监督管理办法》的规定，第二条 锅炉、压力容器（含气瓶）、压力管道、电梯、起重机械、客运索道、大型游乐设施、场（厂）内专用机动车辆等特种设备的作业人员及其相关管理人员统称特种设备（      ）人员。</w:t>
      </w:r>
    </w:p>
    <w:p>
      <w:pPr>
        <w:jc w:val="left"/>
      </w:pPr>
      <w:r>
        <w:rPr>
          <w:rFonts w:ascii="宋体" w:hAnsi="宋体" w:eastAsia="宋体"/>
          <w:sz w:val="24"/>
        </w:rPr>
        <w:t>A、作业</w:t>
      </w:r>
    </w:p>
    <w:p>
      <w:pPr>
        <w:jc w:val="left"/>
      </w:pPr>
      <w:r>
        <w:rPr>
          <w:rFonts w:ascii="宋体" w:hAnsi="宋体" w:eastAsia="宋体"/>
          <w:sz w:val="24"/>
        </w:rPr>
        <w:t>B、操作</w:t>
      </w:r>
    </w:p>
    <w:p>
      <w:pPr>
        <w:jc w:val="left"/>
      </w:pPr>
      <w:r>
        <w:rPr>
          <w:rFonts w:ascii="宋体" w:hAnsi="宋体" w:eastAsia="宋体"/>
          <w:sz w:val="24"/>
        </w:rPr>
        <w:t>C、管理</w:t>
      </w:r>
    </w:p>
    <w:p>
      <w:pPr>
        <w:jc w:val="left"/>
      </w:pPr>
      <w:r>
        <w:rPr>
          <w:rFonts w:ascii="宋体" w:hAnsi="宋体" w:eastAsia="宋体"/>
          <w:sz w:val="24"/>
        </w:rPr>
        <w:t>D、控制</w:t>
      </w:r>
    </w:p>
    <w:p>
      <w:pPr>
        <w:jc w:val="left"/>
      </w:pPr>
      <w:r>
        <w:rPr>
          <w:rFonts w:ascii="宋体" w:hAnsi="宋体" w:eastAsia="宋体"/>
          <w:sz w:val="24"/>
        </w:rPr>
        <w:t>【来源】《特种设备作业人员监督管理办法》第二条 锅炉、压力容器（含气瓶）、压力管道、电梯、起重机械、客运索道、大型游乐设施、场（厂）内专用机动车辆等特种设备的作业人员及其相关管理人员统称特种设备作业人员。</w:t>
      </w:r>
    </w:p>
    <w:p>
      <w:pPr>
        <w:jc w:val="left"/>
      </w:pPr>
      <w:r>
        <w:rPr>
          <w:rFonts w:ascii="宋体" w:hAnsi="宋体" w:eastAsia="宋体"/>
          <w:sz w:val="24"/>
        </w:rPr>
        <w:t>19、根据《特种设备作业人员监督管理办法》的规定，（      ）应当对作业人员进行安全教育和培训，保证特种设备作业人员具备必要的特种设备安全作业知识、作业技能和及时进行知识更新。</w:t>
      </w:r>
    </w:p>
    <w:p>
      <w:pPr>
        <w:jc w:val="left"/>
      </w:pPr>
      <w:r>
        <w:rPr>
          <w:rFonts w:ascii="宋体" w:hAnsi="宋体" w:eastAsia="宋体"/>
          <w:sz w:val="24"/>
        </w:rPr>
        <w:t>A、考试机构</w:t>
      </w:r>
    </w:p>
    <w:p>
      <w:pPr>
        <w:jc w:val="left"/>
      </w:pPr>
      <w:r>
        <w:rPr>
          <w:rFonts w:ascii="宋体" w:hAnsi="宋体" w:eastAsia="宋体"/>
          <w:sz w:val="24"/>
        </w:rPr>
        <w:t>B、用人单位</w:t>
      </w:r>
    </w:p>
    <w:p>
      <w:pPr>
        <w:jc w:val="left"/>
      </w:pPr>
      <w:r>
        <w:rPr>
          <w:rFonts w:ascii="宋体" w:hAnsi="宋体" w:eastAsia="宋体"/>
          <w:sz w:val="24"/>
        </w:rPr>
        <w:t>C、培训机构</w:t>
      </w:r>
    </w:p>
    <w:p>
      <w:pPr>
        <w:jc w:val="left"/>
      </w:pPr>
      <w:r>
        <w:rPr>
          <w:rFonts w:ascii="宋体" w:hAnsi="宋体" w:eastAsia="宋体"/>
          <w:sz w:val="24"/>
        </w:rPr>
        <w:t>D、发证机关</w:t>
      </w:r>
    </w:p>
    <w:p>
      <w:pPr>
        <w:jc w:val="left"/>
      </w:pPr>
      <w:r>
        <w:rPr>
          <w:rFonts w:ascii="宋体" w:hAnsi="宋体" w:eastAsia="宋体"/>
          <w:sz w:val="24"/>
        </w:rPr>
        <w:t>【来源】《特种设备作业人员监督管理办法》第十一条 用人单位应当对作业人员进行安全教育和培训，保证特种设备作业人员具备必要的特种设备安全作业知识、作业技能和及时进行知识更新。作业人员未能参加用人单位培训的，可以选择专业培训机构进行培训。</w:t>
      </w:r>
    </w:p>
    <w:p>
      <w:pPr>
        <w:jc w:val="left"/>
      </w:pPr>
      <w:r>
        <w:rPr>
          <w:rFonts w:ascii="宋体" w:hAnsi="宋体" w:eastAsia="宋体"/>
          <w:sz w:val="24"/>
        </w:rPr>
        <w:t>20、根据《高耗能特种设备节能监督管理办法》的规定，（      ）属于高耗能特种设备。</w:t>
      </w:r>
    </w:p>
    <w:p>
      <w:pPr>
        <w:jc w:val="left"/>
      </w:pPr>
      <w:r>
        <w:rPr>
          <w:rFonts w:ascii="宋体" w:hAnsi="宋体" w:eastAsia="宋体"/>
          <w:sz w:val="24"/>
        </w:rPr>
        <w:t>A、电梯</w:t>
      </w:r>
    </w:p>
    <w:p>
      <w:pPr>
        <w:jc w:val="left"/>
      </w:pPr>
      <w:r>
        <w:rPr>
          <w:rFonts w:ascii="宋体" w:hAnsi="宋体" w:eastAsia="宋体"/>
          <w:sz w:val="24"/>
        </w:rPr>
        <w:t>B、锅炉</w:t>
      </w:r>
    </w:p>
    <w:p>
      <w:pPr>
        <w:jc w:val="left"/>
      </w:pPr>
      <w:r>
        <w:rPr>
          <w:rFonts w:ascii="宋体" w:hAnsi="宋体" w:eastAsia="宋体"/>
          <w:sz w:val="24"/>
        </w:rPr>
        <w:t>C、压力管道</w:t>
      </w:r>
    </w:p>
    <w:p>
      <w:pPr>
        <w:jc w:val="left"/>
      </w:pPr>
      <w:r>
        <w:rPr>
          <w:rFonts w:ascii="宋体" w:hAnsi="宋体" w:eastAsia="宋体"/>
          <w:sz w:val="24"/>
        </w:rPr>
        <w:t>D、气瓶</w:t>
      </w:r>
    </w:p>
    <w:p>
      <w:pPr>
        <w:jc w:val="left"/>
      </w:pPr>
      <w:r>
        <w:rPr>
          <w:rFonts w:ascii="宋体" w:hAnsi="宋体" w:eastAsia="宋体"/>
          <w:sz w:val="24"/>
        </w:rPr>
        <w:t>【来源】《高耗能特种设备节能监督管理办法》第二条 本办法所称高耗能特种设备，是指在使用过程中能源消耗量或者转换量大，并具有较大节能空间的锅炉、换热压力容器等特种设备。</w:t>
      </w:r>
    </w:p>
    <w:p>
      <w:pPr>
        <w:jc w:val="left"/>
      </w:pPr>
      <w:r>
        <w:rPr>
          <w:rFonts w:ascii="宋体" w:hAnsi="宋体" w:eastAsia="宋体"/>
          <w:sz w:val="24"/>
        </w:rPr>
        <w:t>21、根据《高耗能特种设备节能监督管理办法》的规定，（      ）特种设备使用单位应当开展节能教育和培训，提高作业人员的节能意识和操作水平，确保特种设备安全、经济运行。</w:t>
      </w:r>
    </w:p>
    <w:p>
      <w:pPr>
        <w:jc w:val="left"/>
      </w:pPr>
      <w:r>
        <w:rPr>
          <w:rFonts w:ascii="宋体" w:hAnsi="宋体" w:eastAsia="宋体"/>
          <w:sz w:val="24"/>
        </w:rPr>
        <w:t>A、高耗能</w:t>
      </w:r>
    </w:p>
    <w:p>
      <w:pPr>
        <w:jc w:val="left"/>
      </w:pPr>
      <w:r>
        <w:rPr>
          <w:rFonts w:ascii="宋体" w:hAnsi="宋体" w:eastAsia="宋体"/>
          <w:sz w:val="24"/>
        </w:rPr>
        <w:t>B、压力管道</w:t>
      </w:r>
    </w:p>
    <w:p>
      <w:pPr>
        <w:jc w:val="left"/>
      </w:pPr>
      <w:r>
        <w:rPr>
          <w:rFonts w:ascii="宋体" w:hAnsi="宋体" w:eastAsia="宋体"/>
          <w:sz w:val="24"/>
        </w:rPr>
        <w:t>C、电梯</w:t>
      </w:r>
    </w:p>
    <w:p>
      <w:pPr>
        <w:jc w:val="left"/>
      </w:pPr>
      <w:r>
        <w:rPr>
          <w:rFonts w:ascii="宋体" w:hAnsi="宋体" w:eastAsia="宋体"/>
          <w:sz w:val="24"/>
        </w:rPr>
        <w:t>D、起重机械</w:t>
      </w:r>
    </w:p>
    <w:p>
      <w:pPr>
        <w:jc w:val="left"/>
      </w:pPr>
      <w:r>
        <w:rPr>
          <w:rFonts w:ascii="宋体" w:hAnsi="宋体" w:eastAsia="宋体"/>
          <w:sz w:val="24"/>
        </w:rPr>
        <w:t>【来源】《高耗能特种设备节能监督管理办法》第二十一条 对特种设备作业人员进行考核时，应当按照有关特种设备安全技术规范的规定，将节能管理知识和节能操作技能纳入高耗能特种设备的作业人员考核内容。</w:t>
      </w:r>
    </w:p>
    <w:p>
      <w:pPr>
        <w:jc w:val="left"/>
      </w:pPr>
      <w:r>
        <w:rPr>
          <w:rFonts w:ascii="宋体" w:hAnsi="宋体" w:eastAsia="宋体"/>
          <w:sz w:val="24"/>
        </w:rPr>
        <w:t>高耗能特种设备使用单位应当开展节能教育和培训，提高作业人员的节能意识和操作水平，确保特种设备安全、经济运行。高耗能特种设备的作业人员应当严格执行操作规程和节能管理制度。</w:t>
      </w:r>
    </w:p>
    <w:p>
      <w:pPr>
        <w:jc w:val="left"/>
      </w:pPr>
      <w:r>
        <w:rPr>
          <w:rFonts w:ascii="宋体" w:hAnsi="宋体" w:eastAsia="宋体"/>
          <w:sz w:val="24"/>
        </w:rPr>
        <w:t>22、根据《特种设备使用单位落实使用安全主体责任监督管理规定》的规定，锅炉使用单位应当根据本单位锅炉的数量、用途、使用环境等情况，配备锅炉安全总监和足够数量的锅炉安全员，并（      ）明确负责的锅炉安全员。</w:t>
      </w:r>
    </w:p>
    <w:p>
      <w:pPr>
        <w:jc w:val="left"/>
      </w:pPr>
      <w:r>
        <w:rPr>
          <w:rFonts w:ascii="宋体" w:hAnsi="宋体" w:eastAsia="宋体"/>
          <w:sz w:val="24"/>
        </w:rPr>
        <w:t>A、视情况</w:t>
      </w:r>
    </w:p>
    <w:p>
      <w:pPr>
        <w:jc w:val="left"/>
      </w:pPr>
      <w:r>
        <w:rPr>
          <w:rFonts w:ascii="宋体" w:hAnsi="宋体" w:eastAsia="宋体"/>
          <w:sz w:val="24"/>
        </w:rPr>
        <w:t>B、自行</w:t>
      </w:r>
    </w:p>
    <w:p>
      <w:pPr>
        <w:jc w:val="left"/>
      </w:pPr>
      <w:r>
        <w:rPr>
          <w:rFonts w:ascii="宋体" w:hAnsi="宋体" w:eastAsia="宋体"/>
          <w:sz w:val="24"/>
        </w:rPr>
        <w:t>C、逐台</w:t>
      </w:r>
    </w:p>
    <w:p>
      <w:pPr>
        <w:jc w:val="left"/>
      </w:pPr>
      <w:r>
        <w:rPr>
          <w:rFonts w:ascii="宋体" w:hAnsi="宋体" w:eastAsia="宋体"/>
          <w:sz w:val="24"/>
        </w:rPr>
        <w:t>D、立即</w:t>
      </w:r>
    </w:p>
    <w:p>
      <w:pPr>
        <w:jc w:val="left"/>
      </w:pPr>
      <w:r>
        <w:rPr>
          <w:rFonts w:ascii="宋体" w:hAnsi="宋体" w:eastAsia="宋体"/>
          <w:sz w:val="24"/>
        </w:rPr>
        <w:t>【来源】《特种设备使用单位落实使用安全主体责任监督管理规定》第六条 锅炉使用单位应当根据本单位锅炉的数量、用途、使用环境等情况，配备锅炉安全总监和足够数量的锅炉安全员，并逐台明确负责的锅炉安全员。</w:t>
      </w:r>
    </w:p>
    <w:p>
      <w:pPr>
        <w:jc w:val="left"/>
      </w:pPr>
      <w:r>
        <w:rPr>
          <w:rFonts w:ascii="宋体" w:hAnsi="宋体" w:eastAsia="宋体"/>
          <w:sz w:val="24"/>
        </w:rPr>
        <w:t>23、根据《特种设备使用单位落实使用安全主体责任监督管理规定》的规定，锅炉使用单位应当建立基于锅炉（      ）防控的动态管理机制，结合本单位实际，落实自查要求，制定锅炉安全风险管控清单，建立健全日管控、周排查、月调度工作制度和机制。</w:t>
      </w:r>
    </w:p>
    <w:p>
      <w:pPr>
        <w:jc w:val="left"/>
      </w:pPr>
      <w:r>
        <w:rPr>
          <w:rFonts w:ascii="宋体" w:hAnsi="宋体" w:eastAsia="宋体"/>
          <w:sz w:val="24"/>
        </w:rPr>
        <w:t>A、安全隐患</w:t>
      </w:r>
    </w:p>
    <w:p>
      <w:pPr>
        <w:jc w:val="left"/>
      </w:pPr>
      <w:r>
        <w:rPr>
          <w:rFonts w:ascii="宋体" w:hAnsi="宋体" w:eastAsia="宋体"/>
          <w:sz w:val="24"/>
        </w:rPr>
        <w:t>B、风险隐患</w:t>
      </w:r>
    </w:p>
    <w:p>
      <w:pPr>
        <w:jc w:val="left"/>
      </w:pPr>
      <w:r>
        <w:rPr>
          <w:rFonts w:ascii="宋体" w:hAnsi="宋体" w:eastAsia="宋体"/>
          <w:sz w:val="24"/>
        </w:rPr>
        <w:t>C、安全风险</w:t>
      </w:r>
    </w:p>
    <w:p>
      <w:pPr>
        <w:jc w:val="left"/>
      </w:pPr>
      <w:r>
        <w:rPr>
          <w:rFonts w:ascii="宋体" w:hAnsi="宋体" w:eastAsia="宋体"/>
          <w:sz w:val="24"/>
        </w:rPr>
        <w:t>D、安全管理</w:t>
      </w:r>
    </w:p>
    <w:p>
      <w:pPr>
        <w:jc w:val="left"/>
      </w:pPr>
      <w:r>
        <w:rPr>
          <w:rFonts w:ascii="宋体" w:hAnsi="宋体" w:eastAsia="宋体"/>
          <w:sz w:val="24"/>
        </w:rPr>
        <w:t>【来源】《特种设备使用单位落实使用安全主体责任监督管理规定》第十条 锅炉使用单位应当建立基于锅炉安全风险防控的动态管理机制，结合本单位实际，落实自查要求，制定锅炉安全风险管控清单，建立健全日管控、周排查、月调度工作制度和机制。锅炉停（备）用期间，使用单位应当做好锅炉及水处理设备的防腐蚀等停炉保养工作。</w:t>
      </w:r>
    </w:p>
    <w:p>
      <w:pPr>
        <w:jc w:val="left"/>
      </w:pPr>
      <w:r>
        <w:rPr>
          <w:rFonts w:ascii="宋体" w:hAnsi="宋体" w:eastAsia="宋体"/>
          <w:sz w:val="24"/>
        </w:rPr>
        <w:t>24、根据《特种设备使用单位落实使用安全主体责任监督管理规定》的规定，锅炉安全总监要每（      ）至少组织一次风险隐患排查，分析研判锅炉使用安全管理情况，研究解决日管控中发现的问题，形成每周锅炉安全排查治理报告。</w:t>
      </w:r>
    </w:p>
    <w:p>
      <w:pPr>
        <w:jc w:val="left"/>
      </w:pPr>
      <w:r>
        <w:rPr>
          <w:rFonts w:ascii="宋体" w:hAnsi="宋体" w:eastAsia="宋体"/>
          <w:sz w:val="24"/>
        </w:rPr>
        <w:t>A、日</w:t>
      </w:r>
    </w:p>
    <w:p>
      <w:pPr>
        <w:jc w:val="left"/>
      </w:pPr>
      <w:r>
        <w:rPr>
          <w:rFonts w:ascii="宋体" w:hAnsi="宋体" w:eastAsia="宋体"/>
          <w:sz w:val="24"/>
        </w:rPr>
        <w:t>B、周</w:t>
      </w:r>
    </w:p>
    <w:p>
      <w:pPr>
        <w:jc w:val="left"/>
      </w:pPr>
      <w:r>
        <w:rPr>
          <w:rFonts w:ascii="宋体" w:hAnsi="宋体" w:eastAsia="宋体"/>
          <w:sz w:val="24"/>
        </w:rPr>
        <w:t>C、月</w:t>
      </w:r>
    </w:p>
    <w:p>
      <w:pPr>
        <w:jc w:val="left"/>
      </w:pPr>
      <w:r>
        <w:rPr>
          <w:rFonts w:ascii="宋体" w:hAnsi="宋体" w:eastAsia="宋体"/>
          <w:sz w:val="24"/>
        </w:rPr>
        <w:t>D、年</w:t>
      </w:r>
    </w:p>
    <w:p>
      <w:pPr>
        <w:jc w:val="left"/>
      </w:pPr>
      <w:r>
        <w:rPr>
          <w:rFonts w:ascii="宋体" w:hAnsi="宋体" w:eastAsia="宋体"/>
          <w:sz w:val="24"/>
        </w:rPr>
        <w:t>【来源】《特种设备使用单位落实使用安全主体责任监督管理规定》第十二条 锅炉使用单位应当建立锅炉安全周排查制度。锅炉安全总监要每周至少组织一次风险隐患排查，分析研判锅炉使用安全管理情况，研究解决日管控中发现的问题，形成每周锅炉安全排查治理报告。</w:t>
      </w:r>
    </w:p>
    <w:p>
      <w:pPr>
        <w:jc w:val="left"/>
      </w:pPr>
      <w:r>
        <w:rPr>
          <w:rFonts w:ascii="宋体" w:hAnsi="宋体" w:eastAsia="宋体"/>
          <w:sz w:val="24"/>
        </w:rPr>
        <w:t>25、根据《特种设备使用单位落实使用安全主体责任监督管理规定》的规定，锅炉使用单位主要负责人要每（      ）至少听取一次锅炉安全总监管理工作情况汇报，对当月锅炉安全日常管理、风险隐患排查治理等情况进行总结，对下个月重点工作作出调度安排，形成每月锅炉安全调度会议纪要。</w:t>
      </w:r>
    </w:p>
    <w:p>
      <w:pPr>
        <w:jc w:val="left"/>
      </w:pPr>
      <w:r>
        <w:rPr>
          <w:rFonts w:ascii="宋体" w:hAnsi="宋体" w:eastAsia="宋体"/>
          <w:sz w:val="24"/>
        </w:rPr>
        <w:t>A、日</w:t>
      </w:r>
    </w:p>
    <w:p>
      <w:pPr>
        <w:jc w:val="left"/>
      </w:pPr>
      <w:r>
        <w:rPr>
          <w:rFonts w:ascii="宋体" w:hAnsi="宋体" w:eastAsia="宋体"/>
          <w:sz w:val="24"/>
        </w:rPr>
        <w:t>B、周</w:t>
      </w:r>
    </w:p>
    <w:p>
      <w:pPr>
        <w:jc w:val="left"/>
      </w:pPr>
      <w:r>
        <w:rPr>
          <w:rFonts w:ascii="宋体" w:hAnsi="宋体" w:eastAsia="宋体"/>
          <w:sz w:val="24"/>
        </w:rPr>
        <w:t>C、月</w:t>
      </w:r>
    </w:p>
    <w:p>
      <w:pPr>
        <w:jc w:val="left"/>
      </w:pPr>
      <w:r>
        <w:rPr>
          <w:rFonts w:ascii="宋体" w:hAnsi="宋体" w:eastAsia="宋体"/>
          <w:sz w:val="24"/>
        </w:rPr>
        <w:t>D、年</w:t>
      </w:r>
    </w:p>
    <w:p>
      <w:pPr>
        <w:jc w:val="left"/>
      </w:pPr>
      <w:r>
        <w:rPr>
          <w:rFonts w:ascii="宋体" w:hAnsi="宋体" w:eastAsia="宋体"/>
          <w:sz w:val="24"/>
        </w:rPr>
        <w:t>【来源】《特种设备使用单位落实使用安全主体责任监督管理规定》第十三条 锅炉使用单位应当建立锅炉安全月调度制度。锅炉使用单位主要负责人要每月至少听取一次锅炉安全总监管理工作情况汇报，对当月锅炉安全日常管理、风险隐患排查治理等情况进行总结，对下个月重点工作作出调度安排，形成每月锅炉安全调度会议纪要。</w:t>
      </w:r>
    </w:p>
    <w:p>
      <w:pPr>
        <w:jc w:val="left"/>
      </w:pPr>
      <w:r>
        <w:rPr>
          <w:rFonts w:ascii="宋体" w:hAnsi="宋体" w:eastAsia="宋体"/>
          <w:sz w:val="24"/>
        </w:rPr>
        <w:t>26、根据《特种设备使用单位落实使用安全主体责任监督管理规定》的规定，锅炉使用单位及其主要负责人无正当理由未采纳锅炉安全总监和锅炉安全员依照本规定第五条提出的意见或者建议的，应当认为锅炉安全总监和锅炉安全员已经（      ），不予处罚。</w:t>
      </w:r>
    </w:p>
    <w:p>
      <w:pPr>
        <w:jc w:val="left"/>
      </w:pPr>
      <w:r>
        <w:rPr>
          <w:rFonts w:ascii="宋体" w:hAnsi="宋体" w:eastAsia="宋体"/>
          <w:sz w:val="24"/>
        </w:rPr>
        <w:t>A、开展工作</w:t>
      </w:r>
    </w:p>
    <w:p>
      <w:pPr>
        <w:jc w:val="left"/>
      </w:pPr>
      <w:r>
        <w:rPr>
          <w:rFonts w:ascii="宋体" w:hAnsi="宋体" w:eastAsia="宋体"/>
          <w:sz w:val="24"/>
        </w:rPr>
        <w:t>B、努力工作</w:t>
      </w:r>
    </w:p>
    <w:p>
      <w:pPr>
        <w:jc w:val="left"/>
      </w:pPr>
      <w:r>
        <w:rPr>
          <w:rFonts w:ascii="宋体" w:hAnsi="宋体" w:eastAsia="宋体"/>
          <w:sz w:val="24"/>
        </w:rPr>
        <w:t>C、依法履职尽责</w:t>
      </w:r>
    </w:p>
    <w:p>
      <w:pPr>
        <w:jc w:val="left"/>
      </w:pPr>
      <w:r>
        <w:rPr>
          <w:rFonts w:ascii="宋体" w:hAnsi="宋体" w:eastAsia="宋体"/>
          <w:sz w:val="24"/>
        </w:rPr>
        <w:t>D、尽心尽力</w:t>
      </w:r>
    </w:p>
    <w:p>
      <w:pPr>
        <w:jc w:val="left"/>
      </w:pPr>
      <w:r>
        <w:rPr>
          <w:rFonts w:ascii="宋体" w:hAnsi="宋体" w:eastAsia="宋体"/>
          <w:sz w:val="24"/>
        </w:rPr>
        <w:t>【来源】《特种设备使用单位落实使用安全主体责任监督管理规定》锅炉使用单位及其主要负责人无正当理由未采纳锅炉安全总监和锅炉安全员依照本规定第五条提出的意见或者建议的，应当认为锅炉安全总监和锅炉安全员已经依法履职尽责，不予处罚。</w:t>
      </w:r>
    </w:p>
    <w:p>
      <w:pPr>
        <w:jc w:val="left"/>
      </w:pPr>
      <w:r>
        <w:rPr>
          <w:rFonts w:ascii="宋体" w:hAnsi="宋体" w:eastAsia="宋体"/>
          <w:sz w:val="24"/>
        </w:rPr>
        <w:t>27、根据《锅炉安全技术规程》（TSG 11-2020）的规定，电站锅炉整套启动时，以下（      ）热工设备和保护装置应当经过调试，并且投入运行。</w:t>
      </w:r>
    </w:p>
    <w:p>
      <w:pPr>
        <w:jc w:val="left"/>
      </w:pPr>
      <w:r>
        <w:rPr>
          <w:rFonts w:ascii="宋体" w:hAnsi="宋体" w:eastAsia="宋体"/>
          <w:sz w:val="24"/>
        </w:rPr>
        <w:t>A、数据采集系统</w:t>
      </w:r>
    </w:p>
    <w:p>
      <w:pPr>
        <w:jc w:val="left"/>
      </w:pPr>
      <w:r>
        <w:rPr>
          <w:rFonts w:ascii="宋体" w:hAnsi="宋体" w:eastAsia="宋体"/>
          <w:sz w:val="24"/>
        </w:rPr>
        <w:t>B、有关辅机的子功能组和联锁</w:t>
      </w:r>
    </w:p>
    <w:p>
      <w:pPr>
        <w:jc w:val="left"/>
      </w:pPr>
      <w:r>
        <w:rPr>
          <w:rFonts w:ascii="宋体" w:hAnsi="宋体" w:eastAsia="宋体"/>
          <w:sz w:val="24"/>
        </w:rPr>
        <w:t>C、全部远程操作系统</w:t>
      </w:r>
    </w:p>
    <w:p>
      <w:pPr>
        <w:jc w:val="left"/>
      </w:pPr>
      <w:r>
        <w:rPr>
          <w:rFonts w:ascii="宋体" w:hAnsi="宋体" w:eastAsia="宋体"/>
          <w:sz w:val="24"/>
        </w:rPr>
        <w:t>D、以上都是</w:t>
      </w:r>
    </w:p>
    <w:p>
      <w:pPr>
        <w:jc w:val="left"/>
      </w:pPr>
      <w:r>
        <w:rPr>
          <w:rFonts w:ascii="宋体" w:hAnsi="宋体" w:eastAsia="宋体"/>
          <w:sz w:val="24"/>
        </w:rPr>
        <w:t>【来源】《锅炉安全技术规程》（TSG 11-2020）电站锅炉整套启动时，以下热工设备和保护装置应当经过调试，并且投入运行：</w:t>
      </w:r>
    </w:p>
    <w:p>
      <w:pPr>
        <w:jc w:val="left"/>
      </w:pPr>
      <w:r>
        <w:rPr>
          <w:rFonts w:ascii="宋体" w:hAnsi="宋体" w:eastAsia="宋体"/>
          <w:sz w:val="24"/>
        </w:rPr>
        <w:t>(1)数据采集系统；</w:t>
      </w:r>
    </w:p>
    <w:p>
      <w:pPr>
        <w:jc w:val="left"/>
      </w:pPr>
      <w:r>
        <w:rPr>
          <w:rFonts w:ascii="宋体" w:hAnsi="宋体" w:eastAsia="宋体"/>
          <w:sz w:val="24"/>
        </w:rPr>
        <w:t>(2)炉膛安全监控系统；</w:t>
      </w:r>
    </w:p>
    <w:p>
      <w:pPr>
        <w:jc w:val="left"/>
      </w:pPr>
      <w:r>
        <w:rPr>
          <w:rFonts w:ascii="宋体" w:hAnsi="宋体" w:eastAsia="宋体"/>
          <w:sz w:val="24"/>
        </w:rPr>
        <w:t>(3)有关辅机的子功能组和联锁；</w:t>
      </w:r>
    </w:p>
    <w:p>
      <w:pPr>
        <w:jc w:val="left"/>
      </w:pPr>
      <w:r>
        <w:rPr>
          <w:rFonts w:ascii="宋体" w:hAnsi="宋体" w:eastAsia="宋体"/>
          <w:sz w:val="24"/>
        </w:rPr>
        <w:t>(4)全部远程操作系统。</w:t>
      </w:r>
    </w:p>
    <w:p>
      <w:pPr>
        <w:jc w:val="left"/>
      </w:pPr>
      <w:r>
        <w:rPr>
          <w:rFonts w:ascii="宋体" w:hAnsi="宋体" w:eastAsia="宋体"/>
          <w:sz w:val="24"/>
        </w:rPr>
        <w:t>28、根据《锅炉安全技术规程》（TSG 11-2020）的规定，300MW及以上机组电站锅炉经过（      ）整套连续满负荷试运行，各项安全指 标均达到相关标准。</w:t>
      </w:r>
    </w:p>
    <w:p>
      <w:pPr>
        <w:jc w:val="left"/>
      </w:pPr>
      <w:r>
        <w:rPr>
          <w:rFonts w:ascii="宋体" w:hAnsi="宋体" w:eastAsia="宋体"/>
          <w:sz w:val="24"/>
        </w:rPr>
        <w:t>A、24</w:t>
      </w:r>
    </w:p>
    <w:p>
      <w:pPr>
        <w:jc w:val="left"/>
      </w:pPr>
      <w:r>
        <w:rPr>
          <w:rFonts w:ascii="宋体" w:hAnsi="宋体" w:eastAsia="宋体"/>
          <w:sz w:val="24"/>
        </w:rPr>
        <w:t>B、72</w:t>
      </w:r>
    </w:p>
    <w:p>
      <w:pPr>
        <w:jc w:val="left"/>
      </w:pPr>
      <w:r>
        <w:rPr>
          <w:rFonts w:ascii="宋体" w:hAnsi="宋体" w:eastAsia="宋体"/>
          <w:sz w:val="24"/>
        </w:rPr>
        <w:t>C、168</w:t>
      </w:r>
    </w:p>
    <w:p>
      <w:pPr>
        <w:jc w:val="left"/>
      </w:pPr>
      <w:r>
        <w:rPr>
          <w:rFonts w:ascii="宋体" w:hAnsi="宋体" w:eastAsia="宋体"/>
          <w:sz w:val="24"/>
        </w:rPr>
        <w:t>D、500</w:t>
      </w:r>
    </w:p>
    <w:p>
      <w:pPr>
        <w:jc w:val="left"/>
      </w:pPr>
      <w:r>
        <w:rPr>
          <w:rFonts w:ascii="宋体" w:hAnsi="宋体" w:eastAsia="宋体"/>
          <w:sz w:val="24"/>
        </w:rPr>
        <w:t>【来源】《锅炉安全技术规程》（TSG 11-2020）锅炉安装完成后，由锅炉使用单位负责组织验收，并且符合以下要求：</w:t>
      </w:r>
    </w:p>
    <w:p>
      <w:pPr>
        <w:jc w:val="left"/>
      </w:pPr>
      <w:r>
        <w:rPr>
          <w:rFonts w:ascii="宋体" w:hAnsi="宋体" w:eastAsia="宋体"/>
          <w:sz w:val="24"/>
        </w:rPr>
        <w:t>(1)300MW及以上机组电站锅炉经过168h整套连续满负荷试运行，各项安全指标均达到相关标准；</w:t>
      </w:r>
    </w:p>
    <w:p>
      <w:pPr>
        <w:jc w:val="left"/>
      </w:pPr>
      <w:r>
        <w:rPr>
          <w:rFonts w:ascii="宋体" w:hAnsi="宋体" w:eastAsia="宋体"/>
          <w:sz w:val="24"/>
        </w:rPr>
        <w:t>(2)300MW以下机组电站锅炉经过72h整套连续满负荷试运行后，对各项设备做一次全面检查，缺陷处理合格后再次启动，经过24h整套连续满负荷试运行无缺陷，并且水汽质量符合相关标准。</w:t>
      </w:r>
    </w:p>
    <w:p>
      <w:pPr>
        <w:jc w:val="left"/>
      </w:pPr>
      <w:r>
        <w:rPr>
          <w:rFonts w:ascii="宋体" w:hAnsi="宋体" w:eastAsia="宋体"/>
          <w:sz w:val="24"/>
        </w:rPr>
        <w:t>29、根据《锅炉安全技术规程》（TSG 11-2020）的规定，锅炉安装单位在总体验收合格后（      ）技术资料可不移交给使用单位存入锅炉安全技术档案。</w:t>
      </w:r>
    </w:p>
    <w:p>
      <w:pPr>
        <w:jc w:val="left"/>
      </w:pPr>
      <w:r>
        <w:rPr>
          <w:rFonts w:ascii="宋体" w:hAnsi="宋体" w:eastAsia="宋体"/>
          <w:sz w:val="24"/>
        </w:rPr>
        <w:t>A、主蒸汽管道</w:t>
      </w:r>
    </w:p>
    <w:p>
      <w:pPr>
        <w:jc w:val="left"/>
      </w:pPr>
      <w:r>
        <w:rPr>
          <w:rFonts w:ascii="宋体" w:hAnsi="宋体" w:eastAsia="宋体"/>
          <w:sz w:val="24"/>
        </w:rPr>
        <w:t>B、排污管道</w:t>
      </w:r>
    </w:p>
    <w:p>
      <w:pPr>
        <w:jc w:val="left"/>
      </w:pPr>
      <w:r>
        <w:rPr>
          <w:rFonts w:ascii="宋体" w:hAnsi="宋体" w:eastAsia="宋体"/>
          <w:sz w:val="24"/>
        </w:rPr>
        <w:t>C、主给水管道</w:t>
      </w:r>
    </w:p>
    <w:p>
      <w:pPr>
        <w:jc w:val="left"/>
      </w:pPr>
      <w:r>
        <w:rPr>
          <w:rFonts w:ascii="宋体" w:hAnsi="宋体" w:eastAsia="宋体"/>
          <w:sz w:val="24"/>
        </w:rPr>
        <w:t>D、再热蒸汽管道</w:t>
      </w:r>
    </w:p>
    <w:p>
      <w:pPr>
        <w:jc w:val="left"/>
      </w:pPr>
      <w:r>
        <w:rPr>
          <w:rFonts w:ascii="宋体" w:hAnsi="宋体" w:eastAsia="宋体"/>
          <w:sz w:val="24"/>
        </w:rPr>
        <w:t>【来源】《锅炉安全技术规程》（TSG 11-2020）锅炉安装单位在总体验收合格后应当及时将锅炉和主蒸汽管道、主给水管道、 再热蒸汽管道及其支吊架和焊缝位置等技术资料移交给使用单位存入锅炉安全技术档案。使用单位应当做好锅炉、管道和阀门的有关运行、检验、改造、修理以及事故等记录。</w:t>
      </w:r>
    </w:p>
    <w:p>
      <w:pPr>
        <w:jc w:val="left"/>
      </w:pPr>
      <w:r>
        <w:rPr>
          <w:rFonts w:ascii="宋体" w:hAnsi="宋体" w:eastAsia="宋体"/>
          <w:sz w:val="24"/>
        </w:rPr>
        <w:t>30、根据《锅炉安全技术规程》（TSG 11-2020）的规定，电站锅炉使用单位应当加强燃料管理，燃料入炉前应当进行（      ），根据分析结果进行燃烧控制与调整。</w:t>
      </w:r>
    </w:p>
    <w:p>
      <w:pPr>
        <w:jc w:val="left"/>
      </w:pPr>
      <w:r>
        <w:rPr>
          <w:rFonts w:ascii="宋体" w:hAnsi="宋体" w:eastAsia="宋体"/>
          <w:sz w:val="24"/>
        </w:rPr>
        <w:t>A、能效测试</w:t>
      </w:r>
    </w:p>
    <w:p>
      <w:pPr>
        <w:jc w:val="left"/>
      </w:pPr>
      <w:r>
        <w:rPr>
          <w:rFonts w:ascii="宋体" w:hAnsi="宋体" w:eastAsia="宋体"/>
          <w:sz w:val="24"/>
        </w:rPr>
        <w:t>B、燃烧试验</w:t>
      </w:r>
    </w:p>
    <w:p>
      <w:pPr>
        <w:jc w:val="left"/>
      </w:pPr>
      <w:r>
        <w:rPr>
          <w:rFonts w:ascii="宋体" w:hAnsi="宋体" w:eastAsia="宋体"/>
          <w:sz w:val="24"/>
        </w:rPr>
        <w:t>C、脱硫脱硝</w:t>
      </w:r>
    </w:p>
    <w:p>
      <w:pPr>
        <w:jc w:val="left"/>
      </w:pPr>
      <w:r>
        <w:rPr>
          <w:rFonts w:ascii="宋体" w:hAnsi="宋体" w:eastAsia="宋体"/>
          <w:sz w:val="24"/>
        </w:rPr>
        <w:t>D、燃料分析</w:t>
      </w:r>
    </w:p>
    <w:p>
      <w:pPr>
        <w:jc w:val="left"/>
      </w:pPr>
      <w:r>
        <w:rPr>
          <w:rFonts w:ascii="宋体" w:hAnsi="宋体" w:eastAsia="宋体"/>
          <w:sz w:val="24"/>
        </w:rPr>
        <w:t>【来源】《锅炉安全技术规程》（TSG 11-2020）电站锅炉使用单位应当加强燃料管理，燃料入炉前应当进行燃料分析，根据分析结果进行燃烧控制与调整。燃用与设计偏差较大煤质时，应当进行燃烧调整试验。</w:t>
      </w:r>
    </w:p>
    <w:p>
      <w:pPr>
        <w:jc w:val="left"/>
      </w:pPr>
    </w:p>
    <w:sectPr>
      <w:pgSz w:w="12240" w:h="15840"/>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auto"/>
    <w:pitch w:val="default"/>
    <w:sig w:usb0="00000000" w:usb1="00000000" w:usb2="00000000" w:usb3="00000000" w:csb0="0000019F" w:csb1="00000000"/>
  </w:font>
  <w:font w:name="ＭＳ 明朝">
    <w:altName w:val="汉仪仿宋S"/>
    <w:panose1 w:val="00000000000000000000"/>
    <w:charset w:val="80"/>
    <w:family w:val="roman"/>
    <w:pitch w:val="default"/>
    <w:sig w:usb0="00000000" w:usb1="00000000" w:usb2="00000010" w:usb3="00000000" w:csb0="00020000" w:csb1="00000000"/>
  </w:font>
  <w:font w:name="ＭＳ 明朝">
    <w:altName w:val="汉仪仿宋S"/>
    <w:panose1 w:val="00000000000000000000"/>
    <w:charset w:val="86"/>
    <w:family w:val="auto"/>
    <w:pitch w:val="default"/>
    <w:sig w:usb0="00000000" w:usb1="00000000" w:usb2="00000000" w:usb3="00000000" w:csb0="00000000" w:csb1="00000000"/>
  </w:font>
  <w:font w:name="ＭＳ ゴシック">
    <w:altName w:val="汉仪仿宋S"/>
    <w:panose1 w:val="00000000000000000000"/>
    <w:charset w:val="80"/>
    <w:family w:val="modern"/>
    <w:pitch w:val="default"/>
    <w:sig w:usb0="00000000" w:usb1="00000000" w:usb2="00000010" w:usb3="00000000" w:csb0="00020000" w:csb1="00000000"/>
  </w:font>
  <w:font w:name="Courier">
    <w:altName w:val="Noto Sans Lao"/>
    <w:panose1 w:val="02000500000000000000"/>
    <w:charset w:val="00"/>
    <w:family w:val="auto"/>
    <w:pitch w:val="default"/>
    <w:sig w:usb0="00000000" w:usb1="00000000" w:usb2="00000000" w:usb3="00000000" w:csb0="00000001" w:csb1="00000000"/>
  </w:font>
  <w:font w:name="FZShuTi">
    <w:altName w:val="汉仪仿宋S"/>
    <w:panose1 w:val="00000000000000000000"/>
    <w:charset w:val="00"/>
    <w:family w:val="auto"/>
    <w:pitch w:val="default"/>
    <w:sig w:usb0="00000000" w:usb1="00000000" w:usb2="00000000" w:usb3="00000000" w:csb0="00000000" w:csb1="00000000"/>
  </w:font>
  <w:font w:name="SimHei">
    <w:panose1 w:val="02010609060101010101"/>
    <w:charset w:val="86"/>
    <w:family w:val="auto"/>
    <w:pitch w:val="default"/>
    <w:sig w:usb0="800002BF" w:usb1="38CF7CFA" w:usb2="00000016" w:usb3="00000000" w:csb0="00040001" w:csb1="00000000"/>
  </w:font>
  <w:font w:name="ＭＳ 明朝">
    <w:altName w:val="汉仪仿宋S"/>
    <w:panose1 w:val="00000000000000000000"/>
    <w:charset w:val="00"/>
    <w:family w:val="auto"/>
    <w:pitch w:val="default"/>
    <w:sig w:usb0="00000000" w:usb1="00000000" w:usb2="00000000" w:usb3="00000000" w:csb0="00000000" w:csb1="00000000"/>
  </w:font>
  <w:font w:name="汉仪仿宋S">
    <w:panose1 w:val="00020600040101000101"/>
    <w:charset w:val="86"/>
    <w:family w:val="auto"/>
    <w:pitch w:val="default"/>
    <w:sig w:usb0="A00002BF" w:usb1="38CF7CFA" w:usb2="00000016" w:usb3="00000000" w:csb0="0004009F" w:csb1="00000000"/>
  </w:font>
  <w:font w:name="FreeSerif">
    <w:panose1 w:val="02020603050405020304"/>
    <w:charset w:val="00"/>
    <w:family w:val="auto"/>
    <w:pitch w:val="default"/>
    <w:sig w:usb0="E59FAFFF" w:usb1="C200FDFF" w:usb2="43501B29" w:usb3="04000043" w:csb0="600101FF" w:csb1="FFFF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Lao">
    <w:panose1 w:val="02000500000000000000"/>
    <w:charset w:val="00"/>
    <w:family w:val="auto"/>
    <w:pitch w:val="default"/>
    <w:sig w:usb0="02000000" w:usb1="00000000" w:usb2="00000000" w:usb3="00000000" w:csb0="20000111" w:csb1="41000000"/>
  </w:font>
  <w:font w:name="方正宋体S-超大字符集">
    <w:panose1 w:val="02000000000000000000"/>
    <w:charset w:val="86"/>
    <w:family w:val="auto"/>
    <w:pitch w:val="default"/>
    <w:sig w:usb0="00000001" w:usb1="08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20"/>
      <w:lvlText w:val="%1."/>
      <w:lvlJc w:val="left"/>
      <w:pPr>
        <w:tabs>
          <w:tab w:val="left" w:pos="1080"/>
        </w:tabs>
        <w:ind w:left="1080" w:hanging="360"/>
      </w:pPr>
    </w:lvl>
  </w:abstractNum>
  <w:abstractNum w:abstractNumId="1">
    <w:nsid w:val="FFFFFF7F"/>
    <w:multiLevelType w:val="singleLevel"/>
    <w:tmpl w:val="FFFFFF7F"/>
    <w:lvl w:ilvl="0" w:tentative="0">
      <w:start w:val="1"/>
      <w:numFmt w:val="decimal"/>
      <w:pStyle w:val="13"/>
      <w:lvlText w:val="%1."/>
      <w:lvlJc w:val="left"/>
      <w:pPr>
        <w:tabs>
          <w:tab w:val="left" w:pos="720"/>
        </w:tabs>
        <w:ind w:left="720" w:hanging="360"/>
      </w:pPr>
    </w:lvl>
  </w:abstractNum>
  <w:abstractNum w:abstractNumId="2">
    <w:nsid w:val="FFFFFF82"/>
    <w:multiLevelType w:val="singleLevel"/>
    <w:tmpl w:val="FFFFFF82"/>
    <w:lvl w:ilvl="0" w:tentative="0">
      <w:start w:val="1"/>
      <w:numFmt w:val="bullet"/>
      <w:pStyle w:val="18"/>
      <w:lvlText w:val=""/>
      <w:lvlJc w:val="left"/>
      <w:pPr>
        <w:tabs>
          <w:tab w:val="left" w:pos="1080"/>
        </w:tabs>
        <w:ind w:left="1080" w:hanging="360"/>
      </w:pPr>
      <w:rPr>
        <w:rFonts w:hint="default" w:ascii="Symbol" w:hAnsi="Symbol"/>
      </w:rPr>
    </w:lvl>
  </w:abstractNum>
  <w:abstractNum w:abstractNumId="3">
    <w:nsid w:val="FFFFFF83"/>
    <w:multiLevelType w:val="singleLevel"/>
    <w:tmpl w:val="FFFFFF83"/>
    <w:lvl w:ilvl="0" w:tentative="0">
      <w:start w:val="1"/>
      <w:numFmt w:val="bullet"/>
      <w:pStyle w:val="23"/>
      <w:lvlText w:val=""/>
      <w:lvlJc w:val="left"/>
      <w:pPr>
        <w:tabs>
          <w:tab w:val="left" w:pos="720"/>
        </w:tabs>
        <w:ind w:left="720" w:hanging="360"/>
      </w:pPr>
      <w:rPr>
        <w:rFonts w:hint="default" w:ascii="Symbol" w:hAnsi="Symbol"/>
      </w:rPr>
    </w:lvl>
  </w:abstractNum>
  <w:abstractNum w:abstractNumId="4">
    <w:nsid w:val="FFFFFF88"/>
    <w:multiLevelType w:val="singleLevel"/>
    <w:tmpl w:val="FFFFFF88"/>
    <w:lvl w:ilvl="0" w:tentative="0">
      <w:start w:val="1"/>
      <w:numFmt w:val="decimal"/>
      <w:pStyle w:val="14"/>
      <w:lvlText w:val="%1."/>
      <w:lvlJc w:val="left"/>
      <w:pPr>
        <w:tabs>
          <w:tab w:val="left" w:pos="360"/>
        </w:tabs>
        <w:ind w:left="360" w:hanging="360"/>
      </w:pPr>
    </w:lvl>
  </w:abstractNum>
  <w:abstractNum w:abstractNumId="5">
    <w:nsid w:val="FFFFFF89"/>
    <w:multiLevelType w:val="singleLevel"/>
    <w:tmpl w:val="FFFFFF89"/>
    <w:lvl w:ilvl="0" w:tentative="0">
      <w:start w:val="1"/>
      <w:numFmt w:val="bullet"/>
      <w:pStyle w:val="16"/>
      <w:lvlText w:val=""/>
      <w:lvlJc w:val="left"/>
      <w:pPr>
        <w:tabs>
          <w:tab w:val="left" w:pos="360"/>
        </w:tabs>
        <w:ind w:left="360" w:hanging="360"/>
      </w:pPr>
      <w:rPr>
        <w:rFonts w:hint="default" w:ascii="Symbol" w:hAnsi="Symbol"/>
      </w:rPr>
    </w:lvl>
  </w:abstractNum>
  <w:num w:numId="1">
    <w:abstractNumId w:val="1"/>
  </w:num>
  <w:num w:numId="2">
    <w:abstractNumId w:val="4"/>
  </w:num>
  <w:num w:numId="3">
    <w:abstractNumId w:val="5"/>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 w:val="6FFA2B4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ja-JP"/>
  <w:clrSchemeMapping w:bg1="light1" w:t1="dark1" w:bg2="light2" w:t2="dark2" w:accent1="accent1" w:accent2="accent2" w:accent3="accent3" w:accent4="accent4" w:accent5="accent5" w:accent6="accent6" w:hyperlink="hyperlink" w:followedHyperlink="followedHyperlink"/>
  <w14:defaultImageDpi w14:val="30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qFormat="1" w:uiPriority="99" w:semiHidden="0" w:name="macro"/>
    <w:lsdException w:uiPriority="99" w:name="toa heading"/>
    <w:lsdException w:qFormat="1" w:uiPriority="99" w:semiHidden="0" w:name="List"/>
    <w:lsdException w:qFormat="1" w:uiPriority="99" w:semiHidden="0" w:name="List Bullet"/>
    <w:lsdException w:qFormat="1" w:uiPriority="99" w:semiHidden="0" w:name="List Number"/>
    <w:lsdException w:qFormat="1" w:uiPriority="99" w:semiHidden="0" w:name="List 2"/>
    <w:lsdException w:qFormat="1" w:uiPriority="99" w:semiHidden="0" w:name="List 3"/>
    <w:lsdException w:uiPriority="99" w:name="List 4"/>
    <w:lsdException w:uiPriority="99" w:name="List 5"/>
    <w:lsdException w:qFormat="1" w:uiPriority="99" w:semiHidden="0" w:name="List Bullet 2"/>
    <w:lsdException w:qFormat="1" w:uiPriority="99" w:semiHidden="0" w:name="List Bullet 3"/>
    <w:lsdException w:uiPriority="99" w:name="List Bullet 4"/>
    <w:lsdException w:uiPriority="99" w:name="List Bullet 5"/>
    <w:lsdException w:qFormat="1" w:uiPriority="99" w:semiHidden="0" w:name="List Number 2"/>
    <w:lsdException w:qFormat="1" w:uiPriority="99"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qFormat="1" w:uiPriority="99" w:semiHidden="0" w:name="List Continue"/>
    <w:lsdException w:qFormat="1" w:uiPriority="99" w:semiHidden="0" w:name="List Continue 2"/>
    <w:lsdException w:qFormat="1" w:uiPriority="99" w:semiHidden="0"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semiHidden="0" w:name="Body Text 2"/>
    <w:lsdException w:qFormat="1" w:uiPriority="99"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60" w:semiHidden="0" w:name="Light Shading"/>
    <w:lsdException w:qFormat="1" w:unhideWhenUsed="0" w:uiPriority="61" w:semiHidden="0" w:name="Light List"/>
    <w:lsdException w:qFormat="1" w:unhideWhenUsed="0" w:uiPriority="62" w:semiHidden="0" w:name="Light Grid"/>
    <w:lsdException w:qFormat="1" w:unhideWhenUsed="0" w:uiPriority="63" w:semiHidden="0" w:name="Medium Shading 1"/>
    <w:lsdException w:qFormat="1" w:unhideWhenUsed="0" w:uiPriority="64" w:semiHidden="0" w:name="Medium Shading 2"/>
    <w:lsdException w:qFormat="1" w:unhideWhenUsed="0" w:uiPriority="65" w:semiHidden="0" w:name="Medium List 1"/>
    <w:lsdException w:qFormat="1" w:unhideWhenUsed="0" w:uiPriority="66" w:semiHidden="0" w:name="Medium List 2"/>
    <w:lsdException w:qFormat="1" w:unhideWhenUsed="0" w:uiPriority="67" w:semiHidden="0" w:name="Medium Grid 1"/>
    <w:lsdException w:qFormat="1" w:unhideWhenUsed="0" w:uiPriority="68" w:semiHidden="0" w:name="Medium Grid 2"/>
    <w:lsdException w:qFormat="1" w:unhideWhenUsed="0" w:uiPriority="69" w:semiHidden="0" w:name="Medium Grid 3"/>
    <w:lsdException w:qFormat="1" w:unhideWhenUsed="0" w:uiPriority="70" w:semiHidden="0" w:name="Dark List"/>
    <w:lsdException w:qFormat="1" w:unhideWhenUsed="0" w:uiPriority="71" w:semiHidden="0" w:name="Colorful Shading"/>
    <w:lsdException w:qFormat="1" w:unhideWhenUsed="0" w:uiPriority="72" w:semiHidden="0" w:name="Colorful List"/>
    <w:lsdException w:qFormat="1" w:unhideWhenUsed="0" w:uiPriority="73" w:semiHidden="0" w:name="Colorful Grid"/>
    <w:lsdException w:qFormat="1" w:unhideWhenUsed="0" w:uiPriority="60" w:semiHidden="0" w:name="Light Shading Accent 1"/>
    <w:lsdException w:qFormat="1" w:unhideWhenUsed="0" w:uiPriority="61" w:semiHidden="0" w:name="Light List Accent 1"/>
    <w:lsdException w:qFormat="1" w:unhideWhenUsed="0" w:uiPriority="62" w:semiHidden="0" w:name="Light Grid Accent 1"/>
    <w:lsdException w:qFormat="1" w:unhideWhenUsed="0" w:uiPriority="63" w:semiHidden="0" w:name="Medium Shading 1 Accent 1"/>
    <w:lsdException w:qFormat="1" w:unhideWhenUsed="0" w:uiPriority="64" w:semiHidden="0" w:name="Medium Shading 2 Accent 1"/>
    <w:lsdException w:qFormat="1"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qFormat="1" w:unhideWhenUsed="0" w:uiPriority="66" w:semiHidden="0" w:name="Medium List 2 Accent 1"/>
    <w:lsdException w:qFormat="1" w:unhideWhenUsed="0" w:uiPriority="67" w:semiHidden="0" w:name="Medium Grid 1 Accent 1"/>
    <w:lsdException w:qFormat="1" w:unhideWhenUsed="0" w:uiPriority="68" w:semiHidden="0" w:name="Medium Grid 2 Accent 1"/>
    <w:lsdException w:qFormat="1" w:unhideWhenUsed="0" w:uiPriority="69" w:semiHidden="0" w:name="Medium Grid 3 Accent 1"/>
    <w:lsdException w:qFormat="1" w:unhideWhenUsed="0" w:uiPriority="70" w:semiHidden="0" w:name="Dark List Accent 1"/>
    <w:lsdException w:qFormat="1" w:unhideWhenUsed="0" w:uiPriority="71" w:semiHidden="0" w:name="Colorful Shading Accent 1"/>
    <w:lsdException w:qFormat="1" w:unhideWhenUsed="0" w:uiPriority="72" w:semiHidden="0" w:name="Colorful List Accent 1"/>
    <w:lsdException w:qFormat="1" w:unhideWhenUsed="0" w:uiPriority="73" w:semiHidden="0" w:name="Colorful Grid Accent 1"/>
    <w:lsdException w:qFormat="1" w:unhideWhenUsed="0" w:uiPriority="60" w:semiHidden="0" w:name="Light Shading Accent 2"/>
    <w:lsdException w:qFormat="1" w:unhideWhenUsed="0" w:uiPriority="61" w:semiHidden="0" w:name="Light List Accent 2"/>
    <w:lsdException w:qFormat="1" w:unhideWhenUsed="0" w:uiPriority="62" w:semiHidden="0" w:name="Light Grid Accent 2"/>
    <w:lsdException w:qFormat="1" w:unhideWhenUsed="0" w:uiPriority="63" w:semiHidden="0" w:name="Medium Shading 1 Accent 2"/>
    <w:lsdException w:qFormat="1" w:unhideWhenUsed="0" w:uiPriority="64" w:semiHidden="0" w:name="Medium Shading 2 Accent 2"/>
    <w:lsdException w:qFormat="1" w:unhideWhenUsed="0" w:uiPriority="65" w:semiHidden="0" w:name="Medium List 1 Accent 2"/>
    <w:lsdException w:qFormat="1" w:unhideWhenUsed="0" w:uiPriority="66" w:semiHidden="0" w:name="Medium List 2 Accent 2"/>
    <w:lsdException w:qFormat="1" w:unhideWhenUsed="0" w:uiPriority="67" w:semiHidden="0" w:name="Medium Grid 1 Accent 2"/>
    <w:lsdException w:qFormat="1" w:unhideWhenUsed="0" w:uiPriority="68" w:semiHidden="0" w:name="Medium Grid 2 Accent 2"/>
    <w:lsdException w:qFormat="1" w:unhideWhenUsed="0" w:uiPriority="69" w:semiHidden="0" w:name="Medium Grid 3 Accent 2"/>
    <w:lsdException w:qFormat="1" w:unhideWhenUsed="0" w:uiPriority="70" w:semiHidden="0" w:name="Dark List Accent 2"/>
    <w:lsdException w:qFormat="1" w:unhideWhenUsed="0" w:uiPriority="71" w:semiHidden="0" w:name="Colorful Shading Accent 2"/>
    <w:lsdException w:qFormat="1" w:unhideWhenUsed="0" w:uiPriority="72" w:semiHidden="0" w:name="Colorful List Accent 2"/>
    <w:lsdException w:qFormat="1" w:unhideWhenUsed="0" w:uiPriority="73" w:semiHidden="0" w:name="Colorful Grid Accent 2"/>
    <w:lsdException w:qFormat="1" w:unhideWhenUsed="0" w:uiPriority="60" w:semiHidden="0" w:name="Light Shading Accent 3"/>
    <w:lsdException w:qFormat="1" w:unhideWhenUsed="0" w:uiPriority="61" w:semiHidden="0" w:name="Light List Accent 3"/>
    <w:lsdException w:qFormat="1" w:unhideWhenUsed="0" w:uiPriority="62" w:semiHidden="0" w:name="Light Grid Accent 3"/>
    <w:lsdException w:qFormat="1" w:unhideWhenUsed="0" w:uiPriority="63" w:semiHidden="0" w:name="Medium Shading 1 Accent 3"/>
    <w:lsdException w:qFormat="1" w:unhideWhenUsed="0" w:uiPriority="64" w:semiHidden="0" w:name="Medium Shading 2 Accent 3"/>
    <w:lsdException w:qFormat="1" w:unhideWhenUsed="0" w:uiPriority="65" w:semiHidden="0" w:name="Medium List 1 Accent 3"/>
    <w:lsdException w:qFormat="1" w:unhideWhenUsed="0" w:uiPriority="66" w:semiHidden="0" w:name="Medium List 2 Accent 3"/>
    <w:lsdException w:qFormat="1" w:unhideWhenUsed="0" w:uiPriority="67" w:semiHidden="0" w:name="Medium Grid 1 Accent 3"/>
    <w:lsdException w:qFormat="1" w:unhideWhenUsed="0" w:uiPriority="68" w:semiHidden="0" w:name="Medium Grid 2 Accent 3"/>
    <w:lsdException w:qFormat="1" w:unhideWhenUsed="0" w:uiPriority="69" w:semiHidden="0" w:name="Medium Grid 3 Accent 3"/>
    <w:lsdException w:qFormat="1" w:unhideWhenUsed="0" w:uiPriority="70" w:semiHidden="0" w:name="Dark List Accent 3"/>
    <w:lsdException w:qFormat="1" w:unhideWhenUsed="0" w:uiPriority="71" w:semiHidden="0" w:name="Colorful Shading Accent 3"/>
    <w:lsdException w:qFormat="1" w:unhideWhenUsed="0" w:uiPriority="72" w:semiHidden="0" w:name="Colorful List Accent 3"/>
    <w:lsdException w:qFormat="1" w:unhideWhenUsed="0" w:uiPriority="73" w:semiHidden="0" w:name="Colorful Grid Accent 3"/>
    <w:lsdException w:qFormat="1" w:unhideWhenUsed="0" w:uiPriority="60" w:semiHidden="0" w:name="Light Shading Accent 4"/>
    <w:lsdException w:qFormat="1" w:unhideWhenUsed="0" w:uiPriority="61" w:semiHidden="0" w:name="Light List Accent 4"/>
    <w:lsdException w:qFormat="1" w:unhideWhenUsed="0" w:uiPriority="62" w:semiHidden="0" w:name="Light Grid Accent 4"/>
    <w:lsdException w:qFormat="1" w:unhideWhenUsed="0" w:uiPriority="63" w:semiHidden="0" w:name="Medium Shading 1 Accent 4"/>
    <w:lsdException w:qFormat="1" w:unhideWhenUsed="0" w:uiPriority="64" w:semiHidden="0" w:name="Medium Shading 2 Accent 4"/>
    <w:lsdException w:qFormat="1" w:unhideWhenUsed="0" w:uiPriority="65" w:semiHidden="0" w:name="Medium List 1 Accent 4"/>
    <w:lsdException w:qFormat="1" w:unhideWhenUsed="0" w:uiPriority="66" w:semiHidden="0" w:name="Medium List 2 Accent 4"/>
    <w:lsdException w:qFormat="1" w:unhideWhenUsed="0" w:uiPriority="67" w:semiHidden="0" w:name="Medium Grid 1 Accent 4"/>
    <w:lsdException w:qFormat="1" w:unhideWhenUsed="0" w:uiPriority="68" w:semiHidden="0" w:name="Medium Grid 2 Accent 4"/>
    <w:lsdException w:qFormat="1" w:unhideWhenUsed="0" w:uiPriority="69" w:semiHidden="0" w:name="Medium Grid 3 Accent 4"/>
    <w:lsdException w:qFormat="1" w:unhideWhenUsed="0" w:uiPriority="70" w:semiHidden="0" w:name="Dark List Accent 4"/>
    <w:lsdException w:qFormat="1" w:unhideWhenUsed="0" w:uiPriority="71" w:semiHidden="0" w:name="Colorful Shading Accent 4"/>
    <w:lsdException w:qFormat="1" w:unhideWhenUsed="0" w:uiPriority="72" w:semiHidden="0" w:name="Colorful List Accent 4"/>
    <w:lsdException w:qFormat="1" w:unhideWhenUsed="0" w:uiPriority="73" w:semiHidden="0" w:name="Colorful Grid Accent 4"/>
    <w:lsdException w:qFormat="1" w:unhideWhenUsed="0" w:uiPriority="60" w:semiHidden="0" w:name="Light Shading Accent 5"/>
    <w:lsdException w:qFormat="1" w:unhideWhenUsed="0" w:uiPriority="61" w:semiHidden="0" w:name="Light List Accent 5"/>
    <w:lsdException w:qFormat="1" w:unhideWhenUsed="0" w:uiPriority="62" w:semiHidden="0" w:name="Light Grid Accent 5"/>
    <w:lsdException w:qFormat="1" w:unhideWhenUsed="0" w:uiPriority="63" w:semiHidden="0" w:name="Medium Shading 1 Accent 5"/>
    <w:lsdException w:qFormat="1" w:unhideWhenUsed="0" w:uiPriority="64" w:semiHidden="0" w:name="Medium Shading 2 Accent 5"/>
    <w:lsdException w:qFormat="1" w:unhideWhenUsed="0" w:uiPriority="65" w:semiHidden="0" w:name="Medium List 1 Accent 5"/>
    <w:lsdException w:qFormat="1" w:unhideWhenUsed="0" w:uiPriority="66" w:semiHidden="0" w:name="Medium List 2 Accent 5"/>
    <w:lsdException w:qFormat="1" w:unhideWhenUsed="0" w:uiPriority="67" w:semiHidden="0" w:name="Medium Grid 1 Accent 5"/>
    <w:lsdException w:qFormat="1" w:unhideWhenUsed="0" w:uiPriority="68" w:semiHidden="0" w:name="Medium Grid 2 Accent 5"/>
    <w:lsdException w:qFormat="1" w:unhideWhenUsed="0" w:uiPriority="69" w:semiHidden="0" w:name="Medium Grid 3 Accent 5"/>
    <w:lsdException w:qFormat="1" w:unhideWhenUsed="0" w:uiPriority="70" w:semiHidden="0" w:name="Dark List Accent 5"/>
    <w:lsdException w:qFormat="1" w:unhideWhenUsed="0" w:uiPriority="71" w:semiHidden="0" w:name="Colorful Shading Accent 5"/>
    <w:lsdException w:qFormat="1" w:unhideWhenUsed="0" w:uiPriority="72" w:semiHidden="0" w:name="Colorful List Accent 5"/>
    <w:lsdException w:qFormat="1" w:unhideWhenUsed="0" w:uiPriority="73" w:semiHidden="0" w:name="Colorful Grid Accent 5"/>
    <w:lsdException w:qFormat="1" w:unhideWhenUsed="0" w:uiPriority="60" w:semiHidden="0" w:name="Light Shading Accent 6"/>
    <w:lsdException w:qFormat="1" w:unhideWhenUsed="0" w:uiPriority="61" w:semiHidden="0" w:name="Light List Accent 6"/>
    <w:lsdException w:qFormat="1" w:unhideWhenUsed="0" w:uiPriority="62" w:semiHidden="0" w:name="Light Grid Accent 6"/>
    <w:lsdException w:qFormat="1" w:unhideWhenUsed="0" w:uiPriority="63" w:semiHidden="0" w:name="Medium Shading 1 Accent 6"/>
    <w:lsdException w:qFormat="1" w:unhideWhenUsed="0" w:uiPriority="64" w:semiHidden="0" w:name="Medium Shading 2 Accent 6"/>
    <w:lsdException w:qFormat="1" w:unhideWhenUsed="0" w:uiPriority="65" w:semiHidden="0" w:name="Medium List 1 Accent 6"/>
    <w:lsdException w:qFormat="1" w:unhideWhenUsed="0" w:uiPriority="66" w:semiHidden="0" w:name="Medium List 2 Accent 6"/>
    <w:lsdException w:qFormat="1" w:unhideWhenUsed="0" w:uiPriority="67" w:semiHidden="0" w:name="Medium Grid 1 Accent 6"/>
    <w:lsdException w:qFormat="1" w:unhideWhenUsed="0" w:uiPriority="68" w:semiHidden="0" w:name="Medium Grid 2 Accent 6"/>
    <w:lsdException w:qFormat="1" w:unhideWhenUsed="0" w:uiPriority="69" w:semiHidden="0" w:name="Medium Grid 3 Accent 6"/>
    <w:lsdException w:qFormat="1" w:unhideWhenUsed="0" w:uiPriority="70" w:semiHidden="0" w:name="Dark List Accent 6"/>
    <w:lsdException w:qFormat="1" w:unhideWhenUsed="0" w:uiPriority="71" w:semiHidden="0" w:name="Colorful Shading Accent 6"/>
    <w:lsdException w:qFormat="1" w:unhideWhenUsed="0" w:uiPriority="72" w:semiHidden="0" w:name="Colorful List Accent 6"/>
    <w:lsdException w:qFormat="1"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styleId="3">
    <w:name w:val="heading 1"/>
    <w:basedOn w:val="1"/>
    <w:next w:val="1"/>
    <w:link w:val="138"/>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paragraph" w:styleId="4">
    <w:name w:val="heading 2"/>
    <w:basedOn w:val="1"/>
    <w:next w:val="1"/>
    <w:link w:val="139"/>
    <w:unhideWhenUsed/>
    <w:qFormat/>
    <w:uiPriority w:val="9"/>
    <w:pPr>
      <w:keepNext/>
      <w:keepLines/>
      <w:spacing w:before="200" w:after="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paragraph" w:styleId="5">
    <w:name w:val="heading 3"/>
    <w:basedOn w:val="1"/>
    <w:next w:val="1"/>
    <w:link w:val="140"/>
    <w:unhideWhenUsed/>
    <w:qFormat/>
    <w:uiPriority w:val="9"/>
    <w:pPr>
      <w:keepNext/>
      <w:keepLines/>
      <w:spacing w:before="200" w:after="0"/>
      <w:outlineLvl w:val="2"/>
    </w:pPr>
    <w:rPr>
      <w:rFonts w:asciiTheme="majorHAnsi" w:hAnsiTheme="majorHAnsi" w:eastAsiaTheme="majorEastAsia" w:cstheme="majorBidi"/>
      <w:b/>
      <w:bCs/>
      <w:color w:val="4F81BD" w:themeColor="accent1"/>
      <w14:textFill>
        <w14:solidFill>
          <w14:schemeClr w14:val="accent1"/>
        </w14:solidFill>
      </w14:textFill>
    </w:rPr>
  </w:style>
  <w:style w:type="paragraph" w:styleId="6">
    <w:name w:val="heading 4"/>
    <w:basedOn w:val="1"/>
    <w:next w:val="1"/>
    <w:link w:val="150"/>
    <w:semiHidden/>
    <w:unhideWhenUsed/>
    <w:qFormat/>
    <w:uiPriority w:val="9"/>
    <w:pPr>
      <w:keepNext/>
      <w:keepLines/>
      <w:spacing w:before="200" w:after="0"/>
      <w:outlineLvl w:val="3"/>
    </w:pPr>
    <w:rPr>
      <w:rFonts w:asciiTheme="majorHAnsi" w:hAnsiTheme="majorHAnsi" w:eastAsiaTheme="majorEastAsia" w:cstheme="majorBidi"/>
      <w:b/>
      <w:bCs/>
      <w:i/>
      <w:iCs/>
      <w:color w:val="4F81BD" w:themeColor="accent1"/>
      <w14:textFill>
        <w14:solidFill>
          <w14:schemeClr w14:val="accent1"/>
        </w14:solidFill>
      </w14:textFill>
    </w:rPr>
  </w:style>
  <w:style w:type="paragraph" w:styleId="7">
    <w:name w:val="heading 5"/>
    <w:basedOn w:val="1"/>
    <w:next w:val="1"/>
    <w:link w:val="151"/>
    <w:semiHidden/>
    <w:unhideWhenUsed/>
    <w:qFormat/>
    <w:uiPriority w:val="9"/>
    <w:pPr>
      <w:keepNext/>
      <w:keepLines/>
      <w:spacing w:before="200" w:after="0"/>
      <w:outlineLvl w:val="4"/>
    </w:pPr>
    <w:rPr>
      <w:rFonts w:asciiTheme="majorHAnsi" w:hAnsiTheme="majorHAnsi" w:eastAsiaTheme="majorEastAsia" w:cstheme="majorBidi"/>
      <w:color w:val="254061" w:themeColor="accent1" w:themeShade="80"/>
    </w:rPr>
  </w:style>
  <w:style w:type="paragraph" w:styleId="8">
    <w:name w:val="heading 6"/>
    <w:basedOn w:val="1"/>
    <w:next w:val="1"/>
    <w:link w:val="152"/>
    <w:semiHidden/>
    <w:unhideWhenUsed/>
    <w:qFormat/>
    <w:uiPriority w:val="9"/>
    <w:pPr>
      <w:keepNext/>
      <w:keepLines/>
      <w:spacing w:before="200" w:after="0"/>
      <w:outlineLvl w:val="5"/>
    </w:pPr>
    <w:rPr>
      <w:rFonts w:asciiTheme="majorHAnsi" w:hAnsiTheme="majorHAnsi" w:eastAsiaTheme="majorEastAsia" w:cstheme="majorBidi"/>
      <w:i/>
      <w:iCs/>
      <w:color w:val="254061" w:themeColor="accent1" w:themeShade="80"/>
    </w:rPr>
  </w:style>
  <w:style w:type="paragraph" w:styleId="9">
    <w:name w:val="heading 7"/>
    <w:basedOn w:val="1"/>
    <w:next w:val="1"/>
    <w:link w:val="153"/>
    <w:semiHidden/>
    <w:unhideWhenUsed/>
    <w:qFormat/>
    <w:uiPriority w:val="9"/>
    <w:pPr>
      <w:keepNext/>
      <w:keepLines/>
      <w:spacing w:before="200" w:after="0"/>
      <w:outlineLvl w:val="6"/>
    </w:pPr>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paragraph" w:styleId="10">
    <w:name w:val="heading 8"/>
    <w:basedOn w:val="1"/>
    <w:next w:val="1"/>
    <w:link w:val="154"/>
    <w:semiHidden/>
    <w:unhideWhenUsed/>
    <w:qFormat/>
    <w:uiPriority w:val="9"/>
    <w:pPr>
      <w:keepNext/>
      <w:keepLines/>
      <w:spacing w:before="200" w:after="0"/>
      <w:outlineLvl w:val="7"/>
    </w:pPr>
    <w:rPr>
      <w:rFonts w:asciiTheme="majorHAnsi" w:hAnsiTheme="majorHAnsi" w:eastAsiaTheme="majorEastAsia" w:cstheme="majorBidi"/>
      <w:color w:val="4F81BD" w:themeColor="accent1"/>
      <w:sz w:val="20"/>
      <w:szCs w:val="20"/>
      <w14:textFill>
        <w14:solidFill>
          <w14:schemeClr w14:val="accent1"/>
        </w14:solidFill>
      </w14:textFill>
    </w:rPr>
  </w:style>
  <w:style w:type="paragraph" w:styleId="11">
    <w:name w:val="heading 9"/>
    <w:basedOn w:val="1"/>
    <w:next w:val="1"/>
    <w:link w:val="155"/>
    <w:semiHidden/>
    <w:unhideWhenUsed/>
    <w:qFormat/>
    <w:uiPriority w:val="9"/>
    <w:pPr>
      <w:keepNext/>
      <w:keepLines/>
      <w:spacing w:before="200" w:after="0"/>
      <w:outlineLvl w:val="8"/>
    </w:pPr>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character" w:default="1" w:styleId="132">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2">
    <w:name w:val="macro"/>
    <w:link w:val="147"/>
    <w:unhideWhenUsed/>
    <w:qFormat/>
    <w:uiPriority w:val="99"/>
    <w:pPr>
      <w:tabs>
        <w:tab w:val="left" w:pos="576"/>
        <w:tab w:val="left" w:pos="1152"/>
        <w:tab w:val="left" w:pos="1728"/>
        <w:tab w:val="left" w:pos="2304"/>
        <w:tab w:val="left" w:pos="2880"/>
        <w:tab w:val="left" w:pos="3456"/>
        <w:tab w:val="left" w:pos="4032"/>
      </w:tabs>
      <w:spacing w:after="200" w:line="276" w:lineRule="auto"/>
    </w:pPr>
    <w:rPr>
      <w:rFonts w:ascii="Courier" w:hAnsi="Courier" w:eastAsiaTheme="minorEastAsia" w:cstheme="minorBidi"/>
      <w:sz w:val="20"/>
      <w:szCs w:val="20"/>
      <w:lang w:val="en-US" w:eastAsia="en-US" w:bidi="ar-SA"/>
    </w:rPr>
  </w:style>
  <w:style w:type="paragraph" w:styleId="12">
    <w:name w:val="List 3"/>
    <w:basedOn w:val="1"/>
    <w:unhideWhenUsed/>
    <w:qFormat/>
    <w:uiPriority w:val="99"/>
    <w:pPr>
      <w:ind w:left="1080" w:hanging="360"/>
      <w:contextualSpacing/>
    </w:pPr>
  </w:style>
  <w:style w:type="paragraph" w:styleId="13">
    <w:name w:val="List Number 2"/>
    <w:basedOn w:val="1"/>
    <w:unhideWhenUsed/>
    <w:qFormat/>
    <w:uiPriority w:val="99"/>
    <w:pPr>
      <w:numPr>
        <w:ilvl w:val="0"/>
        <w:numId w:val="1"/>
      </w:numPr>
      <w:contextualSpacing/>
    </w:pPr>
  </w:style>
  <w:style w:type="paragraph" w:styleId="14">
    <w:name w:val="List Number"/>
    <w:basedOn w:val="1"/>
    <w:unhideWhenUsed/>
    <w:qFormat/>
    <w:uiPriority w:val="99"/>
    <w:pPr>
      <w:numPr>
        <w:ilvl w:val="0"/>
        <w:numId w:val="2"/>
      </w:numPr>
      <w:contextualSpacing/>
    </w:pPr>
  </w:style>
  <w:style w:type="paragraph" w:styleId="15">
    <w:name w:val="caption"/>
    <w:basedOn w:val="1"/>
    <w:next w:val="1"/>
    <w:semiHidden/>
    <w:unhideWhenUsed/>
    <w:qFormat/>
    <w:uiPriority w:val="35"/>
    <w:pPr>
      <w:spacing w:line="240" w:lineRule="auto"/>
    </w:pPr>
    <w:rPr>
      <w:b/>
      <w:bCs/>
      <w:color w:val="4F81BD" w:themeColor="accent1"/>
      <w:sz w:val="18"/>
      <w:szCs w:val="18"/>
      <w14:textFill>
        <w14:solidFill>
          <w14:schemeClr w14:val="accent1"/>
        </w14:solidFill>
      </w14:textFill>
    </w:rPr>
  </w:style>
  <w:style w:type="paragraph" w:styleId="16">
    <w:name w:val="List Bullet"/>
    <w:basedOn w:val="1"/>
    <w:unhideWhenUsed/>
    <w:qFormat/>
    <w:uiPriority w:val="99"/>
    <w:pPr>
      <w:numPr>
        <w:ilvl w:val="0"/>
        <w:numId w:val="3"/>
      </w:numPr>
      <w:contextualSpacing/>
    </w:pPr>
  </w:style>
  <w:style w:type="paragraph" w:styleId="17">
    <w:name w:val="Body Text 3"/>
    <w:basedOn w:val="1"/>
    <w:link w:val="146"/>
    <w:unhideWhenUsed/>
    <w:qFormat/>
    <w:uiPriority w:val="99"/>
    <w:pPr>
      <w:spacing w:after="120"/>
    </w:pPr>
    <w:rPr>
      <w:sz w:val="16"/>
      <w:szCs w:val="16"/>
    </w:rPr>
  </w:style>
  <w:style w:type="paragraph" w:styleId="18">
    <w:name w:val="List Bullet 3"/>
    <w:basedOn w:val="1"/>
    <w:unhideWhenUsed/>
    <w:qFormat/>
    <w:uiPriority w:val="99"/>
    <w:pPr>
      <w:numPr>
        <w:ilvl w:val="0"/>
        <w:numId w:val="4"/>
      </w:numPr>
      <w:contextualSpacing/>
    </w:pPr>
  </w:style>
  <w:style w:type="paragraph" w:styleId="19">
    <w:name w:val="Body Text"/>
    <w:basedOn w:val="1"/>
    <w:link w:val="144"/>
    <w:unhideWhenUsed/>
    <w:qFormat/>
    <w:uiPriority w:val="99"/>
    <w:pPr>
      <w:spacing w:after="120"/>
    </w:pPr>
  </w:style>
  <w:style w:type="paragraph" w:styleId="20">
    <w:name w:val="List Number 3"/>
    <w:basedOn w:val="1"/>
    <w:unhideWhenUsed/>
    <w:qFormat/>
    <w:uiPriority w:val="99"/>
    <w:pPr>
      <w:numPr>
        <w:ilvl w:val="0"/>
        <w:numId w:val="5"/>
      </w:numPr>
      <w:contextualSpacing/>
    </w:pPr>
  </w:style>
  <w:style w:type="paragraph" w:styleId="21">
    <w:name w:val="List 2"/>
    <w:basedOn w:val="1"/>
    <w:unhideWhenUsed/>
    <w:qFormat/>
    <w:uiPriority w:val="99"/>
    <w:pPr>
      <w:ind w:left="720" w:hanging="360"/>
      <w:contextualSpacing/>
    </w:pPr>
  </w:style>
  <w:style w:type="paragraph" w:styleId="22">
    <w:name w:val="List Continue"/>
    <w:basedOn w:val="1"/>
    <w:unhideWhenUsed/>
    <w:qFormat/>
    <w:uiPriority w:val="99"/>
    <w:pPr>
      <w:spacing w:after="120"/>
      <w:ind w:left="360"/>
      <w:contextualSpacing/>
    </w:pPr>
  </w:style>
  <w:style w:type="paragraph" w:styleId="23">
    <w:name w:val="List Bullet 2"/>
    <w:basedOn w:val="1"/>
    <w:unhideWhenUsed/>
    <w:qFormat/>
    <w:uiPriority w:val="99"/>
    <w:pPr>
      <w:numPr>
        <w:ilvl w:val="0"/>
        <w:numId w:val="6"/>
      </w:numPr>
      <w:contextualSpacing/>
    </w:pPr>
  </w:style>
  <w:style w:type="paragraph" w:styleId="24">
    <w:name w:val="footer"/>
    <w:basedOn w:val="1"/>
    <w:link w:val="136"/>
    <w:unhideWhenUsed/>
    <w:qFormat/>
    <w:uiPriority w:val="99"/>
    <w:pPr>
      <w:tabs>
        <w:tab w:val="center" w:pos="4680"/>
        <w:tab w:val="right" w:pos="9360"/>
      </w:tabs>
      <w:spacing w:after="0" w:line="240" w:lineRule="auto"/>
    </w:pPr>
  </w:style>
  <w:style w:type="paragraph" w:styleId="25">
    <w:name w:val="header"/>
    <w:basedOn w:val="1"/>
    <w:link w:val="135"/>
    <w:unhideWhenUsed/>
    <w:qFormat/>
    <w:uiPriority w:val="99"/>
    <w:pPr>
      <w:tabs>
        <w:tab w:val="center" w:pos="4680"/>
        <w:tab w:val="right" w:pos="9360"/>
      </w:tabs>
      <w:spacing w:after="0" w:line="240" w:lineRule="auto"/>
    </w:pPr>
  </w:style>
  <w:style w:type="paragraph" w:styleId="26">
    <w:name w:val="Subtitle"/>
    <w:basedOn w:val="1"/>
    <w:next w:val="1"/>
    <w:link w:val="142"/>
    <w:qFormat/>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27">
    <w:name w:val="List"/>
    <w:basedOn w:val="1"/>
    <w:unhideWhenUsed/>
    <w:qFormat/>
    <w:uiPriority w:val="99"/>
    <w:pPr>
      <w:ind w:left="360" w:hanging="360"/>
      <w:contextualSpacing/>
    </w:pPr>
  </w:style>
  <w:style w:type="paragraph" w:styleId="28">
    <w:name w:val="Body Text 2"/>
    <w:basedOn w:val="1"/>
    <w:link w:val="145"/>
    <w:unhideWhenUsed/>
    <w:qFormat/>
    <w:uiPriority w:val="99"/>
    <w:pPr>
      <w:spacing w:after="120" w:line="480" w:lineRule="auto"/>
    </w:pPr>
  </w:style>
  <w:style w:type="paragraph" w:styleId="29">
    <w:name w:val="List Continue 2"/>
    <w:basedOn w:val="1"/>
    <w:unhideWhenUsed/>
    <w:qFormat/>
    <w:uiPriority w:val="99"/>
    <w:pPr>
      <w:spacing w:after="120"/>
      <w:ind w:left="720"/>
      <w:contextualSpacing/>
    </w:pPr>
  </w:style>
  <w:style w:type="paragraph" w:styleId="30">
    <w:name w:val="List Continue 3"/>
    <w:basedOn w:val="1"/>
    <w:unhideWhenUsed/>
    <w:qFormat/>
    <w:uiPriority w:val="99"/>
    <w:pPr>
      <w:spacing w:after="120"/>
      <w:ind w:left="1080"/>
      <w:contextualSpacing/>
    </w:pPr>
  </w:style>
  <w:style w:type="paragraph" w:styleId="31">
    <w:name w:val="Title"/>
    <w:basedOn w:val="1"/>
    <w:next w:val="1"/>
    <w:link w:val="141"/>
    <w:qFormat/>
    <w:uiPriority w:val="10"/>
    <w:pPr>
      <w:pBdr>
        <w:bottom w:val="single" w:color="4F81BD" w:themeColor="accent1" w:sz="8" w:space="4"/>
      </w:pBdr>
      <w:spacing w:after="300" w:line="240" w:lineRule="auto"/>
      <w:contextualSpacing/>
    </w:pPr>
    <w:rPr>
      <w:rFonts w:asciiTheme="majorHAnsi" w:hAnsiTheme="majorHAnsi" w:eastAsiaTheme="majorEastAsia" w:cstheme="majorBidi"/>
      <w:color w:val="17375E" w:themeColor="text2" w:themeShade="BF"/>
      <w:spacing w:val="5"/>
      <w:kern w:val="28"/>
      <w:sz w:val="52"/>
      <w:szCs w:val="52"/>
    </w:rPr>
  </w:style>
  <w:style w:type="table" w:styleId="33">
    <w:name w:val="Table Grid"/>
    <w:basedOn w:val="32"/>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34">
    <w:name w:val="Light Shading"/>
    <w:basedOn w:val="32"/>
    <w:qFormat/>
    <w:uiPriority w:val="60"/>
    <w:pPr>
      <w:spacing w:after="0" w:line="240" w:lineRule="auto"/>
    </w:pPr>
    <w:rPr>
      <w:color w:val="000000" w:themeColor="text1" w:themeShade="BF"/>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left w:val="nil"/>
          <w:right w:val="nil"/>
          <w:insideH w:val="nil"/>
          <w:insideV w:val="nil"/>
        </w:tcBorders>
        <w:shd w:val="clear" w:color="auto" w:fill="BFBFBF" w:themeFill="text1" w:themeFillTint="3F"/>
      </w:tcPr>
    </w:tblStylePr>
  </w:style>
  <w:style w:type="table" w:styleId="35">
    <w:name w:val="Light Shading Accent 1"/>
    <w:basedOn w:val="32"/>
    <w:qFormat/>
    <w:uiPriority w:val="60"/>
    <w:pPr>
      <w:spacing w:after="0" w:line="240" w:lineRule="auto"/>
    </w:pPr>
    <w:rPr>
      <w:color w:val="376092" w:themeColor="accent1" w:themeShade="BF"/>
    </w:rPr>
    <w:tblPr>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36">
    <w:name w:val="Light Shading Accent 2"/>
    <w:basedOn w:val="32"/>
    <w:qFormat/>
    <w:uiPriority w:val="60"/>
    <w:pPr>
      <w:spacing w:after="0" w:line="240" w:lineRule="auto"/>
    </w:pPr>
    <w:rPr>
      <w:color w:val="953735" w:themeColor="accent2" w:themeShade="BF"/>
    </w:rPr>
    <w:tblPr>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left w:val="nil"/>
          <w:right w:val="nil"/>
          <w:insideH w:val="nil"/>
          <w:insideV w:val="nil"/>
        </w:tcBorders>
        <w:shd w:val="clear" w:color="auto" w:fill="EFD3D3" w:themeFill="accent2" w:themeFillTint="3F"/>
      </w:tcPr>
    </w:tblStylePr>
  </w:style>
  <w:style w:type="table" w:styleId="37">
    <w:name w:val="Light Shading Accent 3"/>
    <w:basedOn w:val="32"/>
    <w:qFormat/>
    <w:uiPriority w:val="60"/>
    <w:pPr>
      <w:spacing w:after="0" w:line="240" w:lineRule="auto"/>
    </w:pPr>
    <w:rPr>
      <w:color w:val="77933C" w:themeColor="accent3" w:themeShade="BF"/>
    </w:rPr>
    <w:tblPr>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38">
    <w:name w:val="Light Shading Accent 4"/>
    <w:basedOn w:val="32"/>
    <w:qFormat/>
    <w:uiPriority w:val="60"/>
    <w:pPr>
      <w:spacing w:after="0" w:line="240" w:lineRule="auto"/>
    </w:pPr>
    <w:rPr>
      <w:color w:val="604A7B" w:themeColor="accent4" w:themeShade="BF"/>
    </w:rPr>
    <w:tblPr>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39">
    <w:name w:val="Light Shading Accent 5"/>
    <w:basedOn w:val="32"/>
    <w:qFormat/>
    <w:uiPriority w:val="60"/>
    <w:pPr>
      <w:spacing w:after="0" w:line="240" w:lineRule="auto"/>
    </w:pPr>
    <w:rPr>
      <w:color w:val="31859C" w:themeColor="accent5" w:themeShade="BF"/>
    </w:rPr>
    <w:tblPr>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0" w:themeFill="accent5" w:themeFillTint="3F"/>
      </w:tcPr>
    </w:tblStylePr>
    <w:tblStylePr w:type="band1Horz">
      <w:tblPr/>
      <w:tcPr>
        <w:tcBorders>
          <w:left w:val="nil"/>
          <w:right w:val="nil"/>
          <w:insideH w:val="nil"/>
          <w:insideV w:val="nil"/>
        </w:tcBorders>
        <w:shd w:val="clear" w:color="auto" w:fill="D2EAF0" w:themeFill="accent5" w:themeFillTint="3F"/>
      </w:tcPr>
    </w:tblStylePr>
  </w:style>
  <w:style w:type="table" w:styleId="40">
    <w:name w:val="Light Shading Accent 6"/>
    <w:basedOn w:val="32"/>
    <w:qFormat/>
    <w:uiPriority w:val="60"/>
    <w:pPr>
      <w:spacing w:after="0" w:line="240" w:lineRule="auto"/>
    </w:pPr>
    <w:rPr>
      <w:color w:val="E46C0A" w:themeColor="accent6" w:themeShade="BF"/>
    </w:rPr>
    <w:tblPr>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5D1" w:themeFill="accent6" w:themeFillTint="3F"/>
      </w:tcPr>
    </w:tblStylePr>
    <w:tblStylePr w:type="band1Horz">
      <w:tblPr/>
      <w:tcPr>
        <w:tcBorders>
          <w:left w:val="nil"/>
          <w:right w:val="nil"/>
          <w:insideH w:val="nil"/>
          <w:insideV w:val="nil"/>
        </w:tcBorders>
        <w:shd w:val="clear" w:color="auto" w:fill="FDE5D1" w:themeFill="accent6" w:themeFillTint="3F"/>
      </w:tcPr>
    </w:tblStylePr>
  </w:style>
  <w:style w:type="table" w:styleId="41">
    <w:name w:val="Light List"/>
    <w:basedOn w:val="32"/>
    <w:qFormat/>
    <w:uiPriority w:val="61"/>
    <w:pPr>
      <w:spacing w:after="0" w:line="240" w:lineRule="auto"/>
    </w:p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42">
    <w:name w:val="Light List Accent 1"/>
    <w:basedOn w:val="32"/>
    <w:qFormat/>
    <w:uiPriority w:val="61"/>
    <w:pPr>
      <w:spacing w:after="0" w:line="240" w:lineRule="auto"/>
    </w:p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43">
    <w:name w:val="Light List Accent 2"/>
    <w:basedOn w:val="32"/>
    <w:qFormat/>
    <w:uiPriority w:val="61"/>
    <w:pPr>
      <w:spacing w:after="0" w:line="240" w:lineRule="auto"/>
    </w:pPr>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StylePr>
    <w:tblStylePr w:type="lastCol">
      <w:rPr>
        <w:b/>
        <w:bCs/>
      </w:r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44">
    <w:name w:val="Light List Accent 3"/>
    <w:basedOn w:val="32"/>
    <w:qFormat/>
    <w:uiPriority w:val="61"/>
    <w:pPr>
      <w:spacing w:after="0" w:line="240" w:lineRule="auto"/>
    </w:p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45">
    <w:name w:val="Light List Accent 4"/>
    <w:basedOn w:val="32"/>
    <w:qFormat/>
    <w:uiPriority w:val="61"/>
    <w:pPr>
      <w:spacing w:after="0" w:line="240" w:lineRule="auto"/>
    </w:pPr>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StylePr>
    <w:tblStylePr w:type="lastCol">
      <w:rPr>
        <w:b/>
        <w:bCs/>
      </w:r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46">
    <w:name w:val="Light List Accent 5"/>
    <w:basedOn w:val="32"/>
    <w:qFormat/>
    <w:uiPriority w:val="61"/>
    <w:pPr>
      <w:spacing w:after="0" w:line="240" w:lineRule="auto"/>
    </w:pPr>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StylePr>
    <w:tblStylePr w:type="lastCol">
      <w:rPr>
        <w:b/>
        <w:bCs/>
      </w:r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47">
    <w:name w:val="Light List Accent 6"/>
    <w:basedOn w:val="32"/>
    <w:qFormat/>
    <w:uiPriority w:val="61"/>
    <w:pPr>
      <w:spacing w:after="0" w:line="240" w:lineRule="auto"/>
    </w:pPr>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StylePr>
    <w:tblStylePr w:type="lastCol">
      <w:rPr>
        <w:b/>
        <w:bCs/>
      </w:r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48">
    <w:name w:val="Light Grid"/>
    <w:basedOn w:val="32"/>
    <w:qFormat/>
    <w:uiPriority w:val="62"/>
    <w:pPr>
      <w:spacing w:after="0" w:line="240" w:lineRule="auto"/>
    </w:p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BFBFBF"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shd w:val="clear" w:color="auto" w:fill="BFBFBF"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tcPr>
    </w:tblStylePr>
  </w:style>
  <w:style w:type="table" w:styleId="49">
    <w:name w:val="Light Grid Accent 1"/>
    <w:basedOn w:val="32"/>
    <w:qFormat/>
    <w:uiPriority w:val="62"/>
    <w:pPr>
      <w:spacing w:after="0" w:line="240" w:lineRule="auto"/>
    </w:pPr>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tcPr>
    </w:tblStylePr>
  </w:style>
  <w:style w:type="table" w:styleId="50">
    <w:name w:val="Light Grid Accent 2"/>
    <w:basedOn w:val="32"/>
    <w:qFormat/>
    <w:uiPriority w:val="62"/>
    <w:pPr>
      <w:spacing w:after="0" w:line="240" w:lineRule="auto"/>
    </w:pPr>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3"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shd w:val="clear" w:color="auto" w:fill="EFD3D3"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tcPr>
    </w:tblStylePr>
  </w:style>
  <w:style w:type="table" w:styleId="51">
    <w:name w:val="Light Grid Accent 3"/>
    <w:basedOn w:val="32"/>
    <w:qFormat/>
    <w:uiPriority w:val="62"/>
    <w:pPr>
      <w:spacing w:after="0" w:line="240" w:lineRule="auto"/>
    </w:pPr>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tcPr>
    </w:tblStylePr>
  </w:style>
  <w:style w:type="table" w:styleId="52">
    <w:name w:val="Light Grid Accent 4"/>
    <w:basedOn w:val="32"/>
    <w:qFormat/>
    <w:uiPriority w:val="62"/>
    <w:pPr>
      <w:spacing w:after="0" w:line="240" w:lineRule="auto"/>
    </w:pPr>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tcPr>
    </w:tblStylePr>
  </w:style>
  <w:style w:type="table" w:styleId="53">
    <w:name w:val="Light Grid Accent 5"/>
    <w:basedOn w:val="32"/>
    <w:qFormat/>
    <w:uiPriority w:val="62"/>
    <w:pPr>
      <w:spacing w:after="0" w:line="240" w:lineRule="auto"/>
    </w:pPr>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0"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shd w:val="clear" w:color="auto" w:fill="D2EAF0"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tcPr>
    </w:tblStylePr>
  </w:style>
  <w:style w:type="table" w:styleId="54">
    <w:name w:val="Light Grid Accent 6"/>
    <w:basedOn w:val="32"/>
    <w:qFormat/>
    <w:uiPriority w:val="62"/>
    <w:pPr>
      <w:spacing w:after="0" w:line="240" w:lineRule="auto"/>
    </w:pPr>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5D1"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shd w:val="clear" w:color="auto" w:fill="FDE5D1"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tcPr>
    </w:tblStylePr>
  </w:style>
  <w:style w:type="table" w:styleId="55">
    <w:name w:val="Medium Shading 1"/>
    <w:basedOn w:val="32"/>
    <w:qFormat/>
    <w:uiPriority w:val="63"/>
    <w:pPr>
      <w:spacing w:after="0" w:line="240" w:lineRule="auto"/>
    </w:pPr>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3F3F3F" w:themeColor="text1" w:themeTint="BF" w:sz="6" w:space="0"/>
          <w:left w:val="single" w:color="3F3F3F" w:themeColor="text1" w:themeTint="BF" w:sz="8" w:space="0"/>
          <w:bottom w:val="single" w:color="3F3F3F" w:themeColor="text1" w:themeTint="BF" w:sz="8" w:space="0"/>
          <w:right w:val="single" w:color="3F3F3F"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BFBFBF" w:themeFill="text1" w:themeFillTint="3F"/>
      </w:tcPr>
    </w:tblStylePr>
    <w:tblStylePr w:type="band1Horz">
      <w:tblPr/>
      <w:tcPr>
        <w:tcBorders>
          <w:insideH w:val="nil"/>
          <w:insideV w:val="nil"/>
        </w:tcBorders>
        <w:shd w:val="clear" w:color="auto" w:fill="BFBFBF" w:themeFill="text1" w:themeFillTint="3F"/>
      </w:tcPr>
    </w:tblStylePr>
    <w:tblStylePr w:type="band2Horz">
      <w:tblPr/>
      <w:tcPr>
        <w:tcBorders>
          <w:insideH w:val="nil"/>
          <w:insideV w:val="nil"/>
        </w:tcBorders>
      </w:tcPr>
    </w:tblStylePr>
  </w:style>
  <w:style w:type="table" w:styleId="56">
    <w:name w:val="Medium Shading 1 Accent 1"/>
    <w:basedOn w:val="32"/>
    <w:qFormat/>
    <w:uiPriority w:val="63"/>
    <w:pPr>
      <w:spacing w:after="0" w:line="240" w:lineRule="auto"/>
    </w:pPr>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57">
    <w:name w:val="Medium Shading 1 Accent 2"/>
    <w:basedOn w:val="32"/>
    <w:qFormat/>
    <w:uiPriority w:val="63"/>
    <w:pPr>
      <w:spacing w:after="0" w:line="240" w:lineRule="auto"/>
    </w:pPr>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themeTint="BF" w:sz="6"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EFD3D3" w:themeFill="accent2" w:themeFillTint="3F"/>
      </w:tcPr>
    </w:tblStylePr>
    <w:tblStylePr w:type="band1Horz">
      <w:tblPr/>
      <w:tcPr>
        <w:tcBorders>
          <w:insideH w:val="nil"/>
          <w:insideV w:val="nil"/>
        </w:tcBorders>
        <w:shd w:val="clear" w:color="auto" w:fill="EFD3D3" w:themeFill="accent2" w:themeFillTint="3F"/>
      </w:tcPr>
    </w:tblStylePr>
    <w:tblStylePr w:type="band2Horz">
      <w:tblPr/>
      <w:tcPr>
        <w:tcBorders>
          <w:insideH w:val="nil"/>
          <w:insideV w:val="nil"/>
        </w:tcBorders>
      </w:tcPr>
    </w:tblStylePr>
  </w:style>
  <w:style w:type="table" w:styleId="58">
    <w:name w:val="Medium Shading 1 Accent 3"/>
    <w:basedOn w:val="32"/>
    <w:qFormat/>
    <w:uiPriority w:val="63"/>
    <w:pPr>
      <w:spacing w:after="0" w:line="240" w:lineRule="auto"/>
    </w:pPr>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4CC82" w:themeColor="accent3" w:themeTint="BF" w:sz="6"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59">
    <w:name w:val="Medium Shading 1 Accent 4"/>
    <w:basedOn w:val="32"/>
    <w:qFormat/>
    <w:uiPriority w:val="63"/>
    <w:pPr>
      <w:spacing w:after="0" w:line="240" w:lineRule="auto"/>
    </w:pPr>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themeTint="BF" w:sz="6"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60">
    <w:name w:val="Medium Shading 1 Accent 5"/>
    <w:basedOn w:val="32"/>
    <w:qFormat/>
    <w:uiPriority w:val="63"/>
    <w:pPr>
      <w:spacing w:after="0" w:line="240" w:lineRule="auto"/>
    </w:pPr>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themeTint="BF" w:sz="6"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2EAF0" w:themeFill="accent5" w:themeFillTint="3F"/>
      </w:tcPr>
    </w:tblStylePr>
    <w:tblStylePr w:type="band1Horz">
      <w:tblPr/>
      <w:tcPr>
        <w:tcBorders>
          <w:insideH w:val="nil"/>
          <w:insideV w:val="nil"/>
        </w:tcBorders>
        <w:shd w:val="clear" w:color="auto" w:fill="D2EAF0" w:themeFill="accent5" w:themeFillTint="3F"/>
      </w:tcPr>
    </w:tblStylePr>
    <w:tblStylePr w:type="band2Horz">
      <w:tblPr/>
      <w:tcPr>
        <w:tcBorders>
          <w:insideH w:val="nil"/>
          <w:insideV w:val="nil"/>
        </w:tcBorders>
      </w:tcPr>
    </w:tblStylePr>
  </w:style>
  <w:style w:type="table" w:styleId="61">
    <w:name w:val="Medium Shading 1 Accent 6"/>
    <w:basedOn w:val="32"/>
    <w:qFormat/>
    <w:uiPriority w:val="63"/>
    <w:pPr>
      <w:spacing w:after="0" w:line="240" w:lineRule="auto"/>
    </w:pPr>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themeTint="BF" w:sz="6"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DE5D1" w:themeFill="accent6" w:themeFillTint="3F"/>
      </w:tcPr>
    </w:tblStylePr>
    <w:tblStylePr w:type="band1Horz">
      <w:tblPr/>
      <w:tcPr>
        <w:tcBorders>
          <w:insideH w:val="nil"/>
          <w:insideV w:val="nil"/>
        </w:tcBorders>
        <w:shd w:val="clear" w:color="auto" w:fill="FDE5D1" w:themeFill="accent6" w:themeFillTint="3F"/>
      </w:tcPr>
    </w:tblStylePr>
    <w:tblStylePr w:type="band2Horz">
      <w:tblPr/>
      <w:tcPr>
        <w:tcBorders>
          <w:insideH w:val="nil"/>
          <w:insideV w:val="nil"/>
        </w:tcBorders>
      </w:tcPr>
    </w:tblStylePr>
  </w:style>
  <w:style w:type="table" w:styleId="62">
    <w:name w:val="Medium Shading 2"/>
    <w:basedOn w:val="32"/>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3">
    <w:name w:val="Medium Shading 2 Accent 1"/>
    <w:basedOn w:val="32"/>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4">
    <w:name w:val="Medium Shading 2 Accent 2"/>
    <w:basedOn w:val="32"/>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5">
    <w:name w:val="Medium Shading 2 Accent 3"/>
    <w:basedOn w:val="32"/>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6">
    <w:name w:val="Medium Shading 2 Accent 4"/>
    <w:basedOn w:val="32"/>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7">
    <w:name w:val="Medium Shading 2 Accent 5"/>
    <w:basedOn w:val="32"/>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8">
    <w:name w:val="Medium Shading 2 Accent 6"/>
    <w:basedOn w:val="32"/>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9">
    <w:name w:val="Medium List 1"/>
    <w:basedOn w:val="32"/>
    <w:qFormat/>
    <w:uiPriority w:val="65"/>
    <w:pPr>
      <w:spacing w:after="0" w:line="240" w:lineRule="auto"/>
    </w:pPr>
    <w:rPr>
      <w:color w:val="000000" w:themeColor="text1"/>
      <w14:textFill>
        <w14:solidFill>
          <w14:schemeClr w14:val="tx1"/>
        </w14:solidFill>
      </w14:textFill>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14:textFill>
          <w14:solidFill>
            <w14:schemeClr w14:val="tx2"/>
          </w14:solidFill>
        </w14:textFill>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BFBFBF" w:themeFill="text1" w:themeFillTint="3F"/>
      </w:tcPr>
    </w:tblStylePr>
    <w:tblStylePr w:type="band1Horz">
      <w:tblPr/>
      <w:tcPr>
        <w:shd w:val="clear" w:color="auto" w:fill="BFBFBF" w:themeFill="text1" w:themeFillTint="3F"/>
      </w:tcPr>
    </w:tblStylePr>
  </w:style>
  <w:style w:type="table" w:styleId="70">
    <w:name w:val="Medium List 1 Accent 1"/>
    <w:basedOn w:val="32"/>
    <w:qFormat/>
    <w:uiPriority w:val="65"/>
    <w:pPr>
      <w:spacing w:after="0" w:line="240" w:lineRule="auto"/>
    </w:pPr>
    <w:rPr>
      <w:color w:val="000000" w:themeColor="text1"/>
      <w14:textFill>
        <w14:solidFill>
          <w14:schemeClr w14:val="tx1"/>
        </w14:solidFill>
      </w14:textFill>
    </w:rPr>
    <w:tblPr>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14:textFill>
          <w14:solidFill>
            <w14:schemeClr w14:val="tx2"/>
          </w14:solidFill>
        </w14:textFill>
      </w:rPr>
      <w:tblPr/>
      <w:tcPr>
        <w:tcBorders>
          <w:top w:val="single" w:color="4F81BD" w:themeColor="accent1" w:sz="8" w:space="0"/>
          <w:bottom w:val="single" w:color="4F81BD" w:themeColor="accent1" w:sz="8" w:space="0"/>
        </w:tcBorders>
      </w:tcPr>
    </w:tblStylePr>
    <w:tblStylePr w:type="firstCol">
      <w:rPr>
        <w:b/>
        <w:bCs/>
      </w:r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71">
    <w:name w:val="Medium List 1 Accent 2"/>
    <w:basedOn w:val="32"/>
    <w:qFormat/>
    <w:uiPriority w:val="65"/>
    <w:pPr>
      <w:spacing w:after="0" w:line="240" w:lineRule="auto"/>
    </w:pPr>
    <w:rPr>
      <w:color w:val="000000" w:themeColor="text1"/>
      <w14:textFill>
        <w14:solidFill>
          <w14:schemeClr w14:val="tx1"/>
        </w14:solidFill>
      </w14:textFill>
    </w:rPr>
    <w:tblPr>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14:textFill>
          <w14:solidFill>
            <w14:schemeClr w14:val="tx2"/>
          </w14:solidFill>
        </w14:textFill>
      </w:rPr>
      <w:tblPr/>
      <w:tcPr>
        <w:tcBorders>
          <w:top w:val="single" w:color="C0504D" w:themeColor="accent2" w:sz="8" w:space="0"/>
          <w:bottom w:val="single" w:color="C0504D" w:themeColor="accent2" w:sz="8" w:space="0"/>
        </w:tcBorders>
      </w:tcPr>
    </w:tblStylePr>
    <w:tblStylePr w:type="firstCol">
      <w:rPr>
        <w:b/>
        <w:bCs/>
      </w:r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3" w:themeFill="accent2" w:themeFillTint="3F"/>
      </w:tcPr>
    </w:tblStylePr>
    <w:tblStylePr w:type="band1Horz">
      <w:tblPr/>
      <w:tcPr>
        <w:shd w:val="clear" w:color="auto" w:fill="EFD3D3" w:themeFill="accent2" w:themeFillTint="3F"/>
      </w:tcPr>
    </w:tblStylePr>
  </w:style>
  <w:style w:type="table" w:styleId="72">
    <w:name w:val="Medium List 1 Accent 3"/>
    <w:basedOn w:val="32"/>
    <w:qFormat/>
    <w:uiPriority w:val="65"/>
    <w:pPr>
      <w:spacing w:after="0" w:line="240" w:lineRule="auto"/>
    </w:pPr>
    <w:rPr>
      <w:color w:val="000000" w:themeColor="text1"/>
      <w14:textFill>
        <w14:solidFill>
          <w14:schemeClr w14:val="tx1"/>
        </w14:solidFill>
      </w14:textFill>
    </w:rPr>
    <w:tblPr>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14:textFill>
          <w14:solidFill>
            <w14:schemeClr w14:val="tx2"/>
          </w14:solidFill>
        </w14:textFill>
      </w:rPr>
      <w:tblPr/>
      <w:tcPr>
        <w:tcBorders>
          <w:top w:val="single" w:color="9BBB59" w:themeColor="accent3" w:sz="8" w:space="0"/>
          <w:bottom w:val="single" w:color="9BBB59" w:themeColor="accent3" w:sz="8" w:space="0"/>
        </w:tcBorders>
      </w:tcPr>
    </w:tblStylePr>
    <w:tblStylePr w:type="firstCol">
      <w:rPr>
        <w:b/>
        <w:bCs/>
      </w:r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73">
    <w:name w:val="Medium List 1 Accent 4"/>
    <w:basedOn w:val="32"/>
    <w:qFormat/>
    <w:uiPriority w:val="65"/>
    <w:pPr>
      <w:spacing w:after="0" w:line="240" w:lineRule="auto"/>
    </w:pPr>
    <w:rPr>
      <w:color w:val="000000" w:themeColor="text1"/>
      <w14:textFill>
        <w14:solidFill>
          <w14:schemeClr w14:val="tx1"/>
        </w14:solidFill>
      </w14:textFill>
    </w:rPr>
    <w:tblPr>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14:textFill>
          <w14:solidFill>
            <w14:schemeClr w14:val="tx2"/>
          </w14:solidFill>
        </w14:textFill>
      </w:rPr>
      <w:tblPr/>
      <w:tcPr>
        <w:tcBorders>
          <w:top w:val="single" w:color="8064A2" w:themeColor="accent4" w:sz="8" w:space="0"/>
          <w:bottom w:val="single" w:color="8064A2" w:themeColor="accent4" w:sz="8" w:space="0"/>
        </w:tcBorders>
      </w:tcPr>
    </w:tblStylePr>
    <w:tblStylePr w:type="firstCol">
      <w:rPr>
        <w:b/>
        <w:bCs/>
      </w:r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74">
    <w:name w:val="Medium List 1 Accent 5"/>
    <w:basedOn w:val="32"/>
    <w:qFormat/>
    <w:uiPriority w:val="65"/>
    <w:pPr>
      <w:spacing w:after="0" w:line="240" w:lineRule="auto"/>
    </w:pPr>
    <w:rPr>
      <w:color w:val="000000" w:themeColor="text1"/>
      <w14:textFill>
        <w14:solidFill>
          <w14:schemeClr w14:val="tx1"/>
        </w14:solidFill>
      </w14:textFill>
    </w:rPr>
    <w:tblPr>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14:textFill>
          <w14:solidFill>
            <w14:schemeClr w14:val="tx2"/>
          </w14:solidFill>
        </w14:textFill>
      </w:rPr>
      <w:tblPr/>
      <w:tcPr>
        <w:tcBorders>
          <w:top w:val="single" w:color="4BACC6" w:themeColor="accent5" w:sz="8" w:space="0"/>
          <w:bottom w:val="single" w:color="4BACC6" w:themeColor="accent5" w:sz="8" w:space="0"/>
        </w:tcBorders>
      </w:tcPr>
    </w:tblStylePr>
    <w:tblStylePr w:type="firstCol">
      <w:rPr>
        <w:b/>
        <w:bCs/>
      </w:r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0" w:themeFill="accent5" w:themeFillTint="3F"/>
      </w:tcPr>
    </w:tblStylePr>
    <w:tblStylePr w:type="band1Horz">
      <w:tblPr/>
      <w:tcPr>
        <w:shd w:val="clear" w:color="auto" w:fill="D2EAF0" w:themeFill="accent5" w:themeFillTint="3F"/>
      </w:tcPr>
    </w:tblStylePr>
  </w:style>
  <w:style w:type="table" w:styleId="75">
    <w:name w:val="Medium List 1 Accent 6"/>
    <w:basedOn w:val="32"/>
    <w:qFormat/>
    <w:uiPriority w:val="65"/>
    <w:pPr>
      <w:spacing w:after="0" w:line="240" w:lineRule="auto"/>
    </w:pPr>
    <w:rPr>
      <w:color w:val="000000" w:themeColor="text1"/>
      <w14:textFill>
        <w14:solidFill>
          <w14:schemeClr w14:val="tx1"/>
        </w14:solidFill>
      </w14:textFill>
    </w:rPr>
    <w:tblPr>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14:textFill>
          <w14:solidFill>
            <w14:schemeClr w14:val="tx2"/>
          </w14:solidFill>
        </w14:textFill>
      </w:rPr>
      <w:tblPr/>
      <w:tcPr>
        <w:tcBorders>
          <w:top w:val="single" w:color="F79646" w:themeColor="accent6" w:sz="8" w:space="0"/>
          <w:bottom w:val="single" w:color="F79646" w:themeColor="accent6" w:sz="8" w:space="0"/>
        </w:tcBorders>
      </w:tcPr>
    </w:tblStylePr>
    <w:tblStylePr w:type="firstCol">
      <w:rPr>
        <w:b/>
        <w:bCs/>
      </w:r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5D1" w:themeFill="accent6" w:themeFillTint="3F"/>
      </w:tcPr>
    </w:tblStylePr>
    <w:tblStylePr w:type="band1Horz">
      <w:tblPr/>
      <w:tcPr>
        <w:shd w:val="clear" w:color="auto" w:fill="FDE5D1" w:themeFill="accent6" w:themeFillTint="3F"/>
      </w:tcPr>
    </w:tblStylePr>
  </w:style>
  <w:style w:type="table" w:styleId="76">
    <w:name w:val="Medium List 2"/>
    <w:basedOn w:val="32"/>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top w:val="nil"/>
          <w:bottom w:val="nil"/>
          <w:insideH w:val="nil"/>
          <w:insideV w:val="nil"/>
        </w:tcBorders>
        <w:shd w:val="clear" w:color="auto" w:fill="BFBFB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77">
    <w:name w:val="Medium List 2 Accent 1"/>
    <w:basedOn w:val="32"/>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78">
    <w:name w:val="Medium List 2 Accent 2"/>
    <w:basedOn w:val="32"/>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top w:val="nil"/>
          <w:bottom w:val="nil"/>
          <w:insideH w:val="nil"/>
          <w:insideV w:val="nil"/>
        </w:tcBorders>
        <w:shd w:val="clear" w:color="auto" w:fill="EFD3D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79">
    <w:name w:val="Medium List 2 Accent 3"/>
    <w:basedOn w:val="32"/>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80">
    <w:name w:val="Medium List 2 Accent 4"/>
    <w:basedOn w:val="32"/>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81">
    <w:name w:val="Medium List 2 Accent 5"/>
    <w:basedOn w:val="32"/>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0" w:themeFill="accent5" w:themeFillTint="3F"/>
      </w:tcPr>
    </w:tblStylePr>
    <w:tblStylePr w:type="band1Horz">
      <w:tblPr/>
      <w:tcPr>
        <w:tcBorders>
          <w:top w:val="nil"/>
          <w:bottom w:val="nil"/>
          <w:insideH w:val="nil"/>
          <w:insideV w:val="nil"/>
        </w:tcBorders>
        <w:shd w:val="clear" w:color="auto" w:fill="D2EA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82">
    <w:name w:val="Medium List 2 Accent 6"/>
    <w:basedOn w:val="32"/>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5D1" w:themeFill="accent6" w:themeFillTint="3F"/>
      </w:tcPr>
    </w:tblStylePr>
    <w:tblStylePr w:type="band1Horz">
      <w:tblPr/>
      <w:tcPr>
        <w:tcBorders>
          <w:top w:val="nil"/>
          <w:bottom w:val="nil"/>
          <w:insideH w:val="nil"/>
          <w:insideV w:val="nil"/>
        </w:tcBorders>
        <w:shd w:val="clear" w:color="auto" w:fill="FDE5D1"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83">
    <w:name w:val="Medium Grid 1"/>
    <w:basedOn w:val="32"/>
    <w:qFormat/>
    <w:uiPriority w:val="67"/>
    <w:pPr>
      <w:spacing w:after="0" w:line="240" w:lineRule="auto"/>
    </w:pPr>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insideV w:val="single" w:color="3F3F3F" w:themeColor="text1" w:themeTint="BF" w:sz="8" w:space="0"/>
      </w:tblBorders>
      <w:tblCellMar>
        <w:top w:w="0" w:type="dxa"/>
        <w:left w:w="108" w:type="dxa"/>
        <w:bottom w:w="0" w:type="dxa"/>
        <w:right w:w="108" w:type="dxa"/>
      </w:tblCellMar>
    </w:tblPr>
    <w:tcPr>
      <w:shd w:val="clear" w:color="auto" w:fill="BFBFBF" w:themeFill="text1" w:themeFillTint="3F"/>
    </w:tcPr>
    <w:tblStylePr w:type="firstRow">
      <w:rPr>
        <w:b/>
        <w:bCs/>
      </w:rPr>
    </w:tblStylePr>
    <w:tblStylePr w:type="lastRow">
      <w:rPr>
        <w:b/>
        <w:bCs/>
      </w:rPr>
      <w:tblPr/>
      <w:tcPr>
        <w:tcBorders>
          <w:top w:val="single" w:color="3F3F3F" w:themeColor="text1" w:themeTint="BF" w:sz="18" w:space="0"/>
        </w:tcBorders>
      </w:tcPr>
    </w:tblStylePr>
    <w:tblStylePr w:type="firstCol">
      <w:rPr>
        <w:b/>
        <w:bCs/>
      </w:rPr>
    </w:tblStylePr>
    <w:tblStylePr w:type="lastCol">
      <w:rPr>
        <w:b/>
        <w:bCs/>
      </w:r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84">
    <w:name w:val="Medium Grid 1 Accent 1"/>
    <w:basedOn w:val="32"/>
    <w:qFormat/>
    <w:uiPriority w:val="67"/>
    <w:pPr>
      <w:spacing w:after="0" w:line="240" w:lineRule="auto"/>
    </w:pPr>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color="7BA0CD" w:themeColor="accent1" w:themeTint="BF" w:sz="18" w:space="0"/>
        </w:tcBorders>
      </w:tcPr>
    </w:tblStylePr>
    <w:tblStylePr w:type="firstCol">
      <w:rPr>
        <w:b/>
        <w:bCs/>
      </w:rPr>
    </w:tblStylePr>
    <w:tblStylePr w:type="lastCol">
      <w:rPr>
        <w:b/>
        <w:bCs/>
      </w:rPr>
    </w:tblStylePr>
    <w:tblStylePr w:type="band1Vert">
      <w:tblPr/>
      <w:tcPr>
        <w:shd w:val="clear" w:color="auto" w:fill="A7C0DE" w:themeFill="accent1" w:themeFillTint="7F"/>
      </w:tcPr>
    </w:tblStylePr>
    <w:tblStylePr w:type="band1Horz">
      <w:tblPr/>
      <w:tcPr>
        <w:shd w:val="clear" w:color="auto" w:fill="A7C0DE" w:themeFill="accent1" w:themeFillTint="7F"/>
      </w:tcPr>
    </w:tblStylePr>
  </w:style>
  <w:style w:type="table" w:styleId="85">
    <w:name w:val="Medium Grid 1 Accent 2"/>
    <w:basedOn w:val="32"/>
    <w:qFormat/>
    <w:uiPriority w:val="67"/>
    <w:pPr>
      <w:spacing w:after="0" w:line="240" w:lineRule="auto"/>
    </w:pPr>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CellMar>
        <w:top w:w="0" w:type="dxa"/>
        <w:left w:w="108" w:type="dxa"/>
        <w:bottom w:w="0" w:type="dxa"/>
        <w:right w:w="108" w:type="dxa"/>
      </w:tblCellMar>
    </w:tblPr>
    <w:tcPr>
      <w:shd w:val="clear" w:color="auto" w:fill="EFD3D3" w:themeFill="accent2" w:themeFillTint="3F"/>
    </w:tcPr>
    <w:tblStylePr w:type="firstRow">
      <w:rPr>
        <w:b/>
        <w:bCs/>
      </w:rPr>
    </w:tblStylePr>
    <w:tblStylePr w:type="lastRow">
      <w:rPr>
        <w:b/>
        <w:bCs/>
      </w:rPr>
      <w:tblPr/>
      <w:tcPr>
        <w:tcBorders>
          <w:top w:val="single" w:color="CF7B79" w:themeColor="accent2" w:themeTint="BF" w:sz="18" w:space="0"/>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86">
    <w:name w:val="Medium Grid 1 Accent 3"/>
    <w:basedOn w:val="32"/>
    <w:qFormat/>
    <w:uiPriority w:val="67"/>
    <w:pPr>
      <w:spacing w:after="0" w:line="240" w:lineRule="auto"/>
    </w:pPr>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insideV w:val="single" w:color="B4CC82" w:themeColor="accent3" w:themeTint="BF" w:sz="8" w:space="0"/>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color="B4CC82" w:themeColor="accent3" w:themeTint="BF" w:sz="18" w:space="0"/>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87">
    <w:name w:val="Medium Grid 1 Accent 4"/>
    <w:basedOn w:val="32"/>
    <w:qFormat/>
    <w:uiPriority w:val="67"/>
    <w:pPr>
      <w:spacing w:after="0" w:line="240" w:lineRule="auto"/>
    </w:pPr>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color="9F8AB9" w:themeColor="accent4" w:themeTint="BF" w:sz="18" w:space="0"/>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88">
    <w:name w:val="Medium Grid 1 Accent 5"/>
    <w:basedOn w:val="32"/>
    <w:qFormat/>
    <w:uiPriority w:val="67"/>
    <w:pPr>
      <w:spacing w:after="0" w:line="240" w:lineRule="auto"/>
    </w:pPr>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CellMar>
        <w:top w:w="0" w:type="dxa"/>
        <w:left w:w="108" w:type="dxa"/>
        <w:bottom w:w="0" w:type="dxa"/>
        <w:right w:w="108" w:type="dxa"/>
      </w:tblCellMar>
    </w:tblPr>
    <w:tcPr>
      <w:shd w:val="clear" w:color="auto" w:fill="D2EAF0" w:themeFill="accent5" w:themeFillTint="3F"/>
    </w:tcPr>
    <w:tblStylePr w:type="firstRow">
      <w:rPr>
        <w:b/>
        <w:bCs/>
      </w:rPr>
    </w:tblStylePr>
    <w:tblStylePr w:type="lastRow">
      <w:rPr>
        <w:b/>
        <w:bCs/>
      </w:rPr>
      <w:tblPr/>
      <w:tcPr>
        <w:tcBorders>
          <w:top w:val="single" w:color="78C0D4" w:themeColor="accent5" w:themeTint="BF" w:sz="18" w:space="0"/>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89">
    <w:name w:val="Medium Grid 1 Accent 6"/>
    <w:basedOn w:val="32"/>
    <w:qFormat/>
    <w:uiPriority w:val="67"/>
    <w:pPr>
      <w:spacing w:after="0" w:line="240" w:lineRule="auto"/>
    </w:pPr>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CellMar>
        <w:top w:w="0" w:type="dxa"/>
        <w:left w:w="108" w:type="dxa"/>
        <w:bottom w:w="0" w:type="dxa"/>
        <w:right w:w="108" w:type="dxa"/>
      </w:tblCellMar>
    </w:tblPr>
    <w:tcPr>
      <w:shd w:val="clear" w:color="auto" w:fill="FDE5D1" w:themeFill="accent6" w:themeFillTint="3F"/>
    </w:tcPr>
    <w:tblStylePr w:type="firstRow">
      <w:rPr>
        <w:b/>
        <w:bCs/>
      </w:rPr>
    </w:tblStylePr>
    <w:tblStylePr w:type="lastRow">
      <w:rPr>
        <w:b/>
        <w:bCs/>
      </w:rPr>
      <w:tblPr/>
      <w:tcPr>
        <w:tcBorders>
          <w:top w:val="single" w:color="F9B074" w:themeColor="accent6" w:themeTint="BF" w:sz="18" w:space="0"/>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90">
    <w:name w:val="Medium Grid 2"/>
    <w:basedOn w:val="32"/>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cPr>
      <w:shd w:val="clear" w:color="auto" w:fill="BFBFBF" w:themeFill="text1" w:themeFillTint="3F"/>
    </w:tcPr>
    <w:tblStylePr w:type="firstRow">
      <w:rPr>
        <w:b/>
        <w:bCs/>
        <w:color w:val="000000" w:themeColor="text1"/>
        <w14:textFill>
          <w14:solidFill>
            <w14:schemeClr w14:val="tx1"/>
          </w14:solidFill>
        </w14:textFill>
      </w:rPr>
      <w:tblPr/>
      <w:tcPr>
        <w:shd w:val="clear" w:color="auto" w:fill="E5E5E5" w:themeFill="tex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7F7F7F" w:themeFill="text1" w:themeFillTint="7F"/>
      </w:tcPr>
    </w:tblStylePr>
    <w:tblStylePr w:type="band1Horz">
      <w:tblPr/>
      <w:tcPr>
        <w:tcBorders>
          <w:insideH w:val="single" w:sz="6" w:space="0"/>
          <w:insideV w:val="single" w:sz="6" w:space="0"/>
        </w:tcBorders>
        <w:shd w:val="clear" w:color="auto" w:fill="7F7F7F" w:themeFill="text1" w:themeFillTint="7F"/>
      </w:tcPr>
    </w:tblStylePr>
    <w:tblStylePr w:type="nwCell">
      <w:tblPr/>
      <w:tcPr>
        <w:shd w:val="clear" w:color="auto" w:fill="FFFFFF" w:themeFill="background1"/>
      </w:tcPr>
    </w:tblStylePr>
  </w:style>
  <w:style w:type="table" w:styleId="91">
    <w:name w:val="Medium Grid 2 Accent 1"/>
    <w:basedOn w:val="32"/>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14:textFill>
          <w14:solidFill>
            <w14:schemeClr w14:val="tx1"/>
          </w14:solidFill>
        </w14:textFill>
      </w:rPr>
      <w:tblPr/>
      <w:tcPr>
        <w:shd w:val="clear" w:color="auto" w:fill="EDF2F8" w:themeFill="accen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C0DE" w:themeFill="accent1" w:themeFillTint="7F"/>
      </w:tcPr>
    </w:tblStylePr>
    <w:tblStylePr w:type="band1Horz">
      <w:tblPr/>
      <w:tcPr>
        <w:tcBorders>
          <w:insideH w:val="single" w:sz="6" w:space="0"/>
          <w:insideV w:val="single" w:sz="6" w:space="0"/>
        </w:tcBorders>
        <w:shd w:val="clear" w:color="auto" w:fill="A7C0DE" w:themeFill="accent1" w:themeFillTint="7F"/>
      </w:tcPr>
    </w:tblStylePr>
    <w:tblStylePr w:type="nwCell">
      <w:tblPr/>
      <w:tcPr>
        <w:shd w:val="clear" w:color="auto" w:fill="FFFFFF" w:themeFill="background1"/>
      </w:tcPr>
    </w:tblStylePr>
  </w:style>
  <w:style w:type="table" w:styleId="92">
    <w:name w:val="Medium Grid 2 Accent 2"/>
    <w:basedOn w:val="32"/>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cPr>
      <w:shd w:val="clear" w:color="auto" w:fill="EFD3D3" w:themeFill="accent2" w:themeFillTint="3F"/>
    </w:tcPr>
    <w:tblStylePr w:type="firstRow">
      <w:rPr>
        <w:b/>
        <w:bCs/>
        <w:color w:val="000000" w:themeColor="text1"/>
        <w14:textFill>
          <w14:solidFill>
            <w14:schemeClr w14:val="tx1"/>
          </w14:solidFill>
        </w14:textFill>
      </w:rPr>
      <w:tblPr/>
      <w:tcPr>
        <w:shd w:val="clear" w:color="auto" w:fill="F8EDED" w:themeFill="accent2"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insideV w:val="single" w:sz="6" w:space="0"/>
        </w:tcBorders>
        <w:shd w:val="clear" w:color="auto" w:fill="DFA7A6" w:themeFill="accent2" w:themeFillTint="7F"/>
      </w:tcPr>
    </w:tblStylePr>
    <w:tblStylePr w:type="nwCell">
      <w:tblPr/>
      <w:tcPr>
        <w:shd w:val="clear" w:color="auto" w:fill="FFFFFF" w:themeFill="background1"/>
      </w:tcPr>
    </w:tblStylePr>
  </w:style>
  <w:style w:type="table" w:styleId="93">
    <w:name w:val="Medium Grid 2 Accent 3"/>
    <w:basedOn w:val="32"/>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14:textFill>
          <w14:solidFill>
            <w14:schemeClr w14:val="tx1"/>
          </w14:solidFill>
        </w14:textFill>
      </w:rPr>
      <w:tblPr/>
      <w:tcPr>
        <w:shd w:val="clear" w:color="auto" w:fill="F5F8EE" w:themeFill="accent3"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insideV w:val="single" w:sz="6" w:space="0"/>
        </w:tcBorders>
        <w:shd w:val="clear" w:color="auto" w:fill="CDDDAC" w:themeFill="accent3" w:themeFillTint="7F"/>
      </w:tcPr>
    </w:tblStylePr>
    <w:tblStylePr w:type="nwCell">
      <w:tblPr/>
      <w:tcPr>
        <w:shd w:val="clear" w:color="auto" w:fill="FFFFFF" w:themeFill="background1"/>
      </w:tcPr>
    </w:tblStylePr>
  </w:style>
  <w:style w:type="table" w:styleId="94">
    <w:name w:val="Medium Grid 2 Accent 4"/>
    <w:basedOn w:val="32"/>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14:textFill>
          <w14:solidFill>
            <w14:schemeClr w14:val="tx1"/>
          </w14:solidFill>
        </w14:textFill>
      </w:rPr>
      <w:tblPr/>
      <w:tcPr>
        <w:shd w:val="clear" w:color="auto" w:fill="F2EFF5" w:themeFill="accent4"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insideV w:val="single" w:sz="6" w:space="0"/>
        </w:tcBorders>
        <w:shd w:val="clear" w:color="auto" w:fill="BFB1D0" w:themeFill="accent4" w:themeFillTint="7F"/>
      </w:tcPr>
    </w:tblStylePr>
    <w:tblStylePr w:type="nwCell">
      <w:tblPr/>
      <w:tcPr>
        <w:shd w:val="clear" w:color="auto" w:fill="FFFFFF" w:themeFill="background1"/>
      </w:tcPr>
    </w:tblStylePr>
  </w:style>
  <w:style w:type="table" w:styleId="95">
    <w:name w:val="Medium Grid 2 Accent 5"/>
    <w:basedOn w:val="32"/>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cPr>
      <w:shd w:val="clear" w:color="auto" w:fill="D2EAF0" w:themeFill="accent5" w:themeFillTint="3F"/>
    </w:tcPr>
    <w:tblStylePr w:type="firstRow">
      <w:rPr>
        <w:b/>
        <w:bCs/>
        <w:color w:val="000000" w:themeColor="text1"/>
        <w14:textFill>
          <w14:solidFill>
            <w14:schemeClr w14:val="tx1"/>
          </w14:solidFill>
        </w14:textFill>
      </w:rPr>
      <w:tblPr/>
      <w:tcPr>
        <w:shd w:val="clear" w:color="auto" w:fill="EDF6F9" w:themeFill="accent5"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insideV w:val="single" w:sz="6" w:space="0"/>
        </w:tcBorders>
        <w:shd w:val="clear" w:color="auto" w:fill="A5D5E2" w:themeFill="accent5" w:themeFillTint="7F"/>
      </w:tcPr>
    </w:tblStylePr>
    <w:tblStylePr w:type="nwCell">
      <w:tblPr/>
      <w:tcPr>
        <w:shd w:val="clear" w:color="auto" w:fill="FFFFFF" w:themeFill="background1"/>
      </w:tcPr>
    </w:tblStylePr>
  </w:style>
  <w:style w:type="table" w:styleId="96">
    <w:name w:val="Medium Grid 2 Accent 6"/>
    <w:basedOn w:val="32"/>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cPr>
      <w:shd w:val="clear" w:color="auto" w:fill="FDE5D1" w:themeFill="accent6" w:themeFillTint="3F"/>
    </w:tcPr>
    <w:tblStylePr w:type="firstRow">
      <w:rPr>
        <w:b/>
        <w:bCs/>
        <w:color w:val="000000" w:themeColor="text1"/>
        <w14:textFill>
          <w14:solidFill>
            <w14:schemeClr w14:val="tx1"/>
          </w14:solidFill>
        </w14:textFill>
      </w:rPr>
      <w:tblPr/>
      <w:tcPr>
        <w:shd w:val="clear" w:color="auto" w:fill="FEF4EC" w:themeFill="accent6"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insideV w:val="single" w:sz="6" w:space="0"/>
        </w:tcBorders>
        <w:shd w:val="clear" w:color="auto" w:fill="FBCAA2" w:themeFill="accent6" w:themeFillTint="7F"/>
      </w:tcPr>
    </w:tblStylePr>
    <w:tblStylePr w:type="nwCell">
      <w:tblPr/>
      <w:tcPr>
        <w:shd w:val="clear" w:color="auto" w:fill="FFFFFF" w:themeFill="background1"/>
      </w:tcPr>
    </w:tblStylePr>
  </w:style>
  <w:style w:type="table" w:styleId="97">
    <w:name w:val="Medium Grid 3"/>
    <w:basedOn w:val="32"/>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BFBFBF" w:themeFill="tex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000000" w:themeFill="tex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000000" w:themeFill="tex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7F7F7F"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7F7F7F" w:themeFill="text1" w:themeFillTint="7F"/>
      </w:tcPr>
    </w:tblStylePr>
  </w:style>
  <w:style w:type="table" w:styleId="98">
    <w:name w:val="Medium Grid 3 Accent 1"/>
    <w:basedOn w:val="32"/>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F81BD" w:themeFill="accen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F81BD" w:themeFill="accen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C0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7C0DE" w:themeFill="accent1" w:themeFillTint="7F"/>
      </w:tcPr>
    </w:tblStylePr>
  </w:style>
  <w:style w:type="table" w:styleId="99">
    <w:name w:val="Medium Grid 3 Accent 2"/>
    <w:basedOn w:val="32"/>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FD3D3" w:themeFill="accent2"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C0504D" w:themeFill="accent2"/>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C0504D" w:themeFill="accent2"/>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FA7A6" w:themeFill="accent2" w:themeFillTint="7F"/>
      </w:tcPr>
    </w:tblStylePr>
  </w:style>
  <w:style w:type="table" w:styleId="100">
    <w:name w:val="Medium Grid 3 Accent 3"/>
    <w:basedOn w:val="32"/>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9BBB59" w:themeFill="accent3"/>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9BBB59" w:themeFill="accent3"/>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CDDDAC" w:themeFill="accent3" w:themeFillTint="7F"/>
      </w:tcPr>
    </w:tblStylePr>
  </w:style>
  <w:style w:type="table" w:styleId="101">
    <w:name w:val="Medium Grid 3 Accent 4"/>
    <w:basedOn w:val="32"/>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8064A2" w:themeFill="accent4"/>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8064A2" w:themeFill="accent4"/>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BFB1D0" w:themeFill="accent4" w:themeFillTint="7F"/>
      </w:tcPr>
    </w:tblStylePr>
  </w:style>
  <w:style w:type="table" w:styleId="102">
    <w:name w:val="Medium Grid 3 Accent 5"/>
    <w:basedOn w:val="32"/>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2EAF0" w:themeFill="accent5"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BACC6" w:themeFill="accent5"/>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BACC6" w:themeFill="accent5"/>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5D5E2" w:themeFill="accent5" w:themeFillTint="7F"/>
      </w:tcPr>
    </w:tblStylePr>
  </w:style>
  <w:style w:type="table" w:styleId="103">
    <w:name w:val="Medium Grid 3 Accent 6"/>
    <w:basedOn w:val="32"/>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FDE5D1" w:themeFill="accent6"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F79646" w:themeFill="accent6"/>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F79646" w:themeFill="accent6"/>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BCAA2" w:themeFill="accent6" w:themeFillTint="7F"/>
      </w:tcPr>
    </w:tblStylePr>
  </w:style>
  <w:style w:type="table" w:styleId="104">
    <w:name w:val="Dark List"/>
    <w:basedOn w:val="32"/>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05">
    <w:name w:val="Dark List Accent 1"/>
    <w:basedOn w:val="32"/>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1"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60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6091" w:themeFill="accent1" w:themeFillShade="BF"/>
      </w:tcPr>
    </w:tblStylePr>
    <w:tblStylePr w:type="band1Vert">
      <w:tblPr/>
      <w:tcPr>
        <w:tcBorders>
          <w:top w:val="nil"/>
          <w:left w:val="nil"/>
          <w:bottom w:val="nil"/>
          <w:right w:val="nil"/>
          <w:insideH w:val="nil"/>
          <w:insideV w:val="nil"/>
        </w:tcBorders>
        <w:shd w:val="clear" w:color="auto" w:fill="366091" w:themeFill="accent1" w:themeFillShade="BF"/>
      </w:tcPr>
    </w:tblStylePr>
    <w:tblStylePr w:type="band1Horz">
      <w:tblPr/>
      <w:tcPr>
        <w:tcBorders>
          <w:top w:val="nil"/>
          <w:left w:val="nil"/>
          <w:bottom w:val="nil"/>
          <w:right w:val="nil"/>
          <w:insideH w:val="nil"/>
          <w:insideV w:val="nil"/>
        </w:tcBorders>
        <w:shd w:val="clear" w:color="auto" w:fill="366091" w:themeFill="accent1" w:themeFillShade="BF"/>
      </w:tcPr>
    </w:tblStylePr>
  </w:style>
  <w:style w:type="table" w:styleId="106">
    <w:name w:val="Dark List Accent 2"/>
    <w:basedOn w:val="32"/>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7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734" w:themeFill="accent2" w:themeFillShade="BF"/>
      </w:tcPr>
    </w:tblStylePr>
    <w:tblStylePr w:type="band1Vert">
      <w:tblPr/>
      <w:tcPr>
        <w:tcBorders>
          <w:top w:val="nil"/>
          <w:left w:val="nil"/>
          <w:bottom w:val="nil"/>
          <w:right w:val="nil"/>
          <w:insideH w:val="nil"/>
          <w:insideV w:val="nil"/>
        </w:tcBorders>
        <w:shd w:val="clear" w:color="auto" w:fill="943734" w:themeFill="accent2" w:themeFillShade="BF"/>
      </w:tcPr>
    </w:tblStylePr>
    <w:tblStylePr w:type="band1Horz">
      <w:tblPr/>
      <w:tcPr>
        <w:tcBorders>
          <w:top w:val="nil"/>
          <w:left w:val="nil"/>
          <w:bottom w:val="nil"/>
          <w:right w:val="nil"/>
          <w:insideH w:val="nil"/>
          <w:insideV w:val="nil"/>
        </w:tcBorders>
        <w:shd w:val="clear" w:color="auto" w:fill="943734" w:themeFill="accent2" w:themeFillShade="BF"/>
      </w:tcPr>
    </w:tblStylePr>
  </w:style>
  <w:style w:type="table" w:styleId="107">
    <w:name w:val="Dark List Accent 3"/>
    <w:basedOn w:val="32"/>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7"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108">
    <w:name w:val="Dark List Accent 4"/>
    <w:basedOn w:val="32"/>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0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109">
    <w:name w:val="Dark List Accent 5"/>
    <w:basedOn w:val="32"/>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110">
    <w:name w:val="Dark List Accent 6"/>
    <w:basedOn w:val="32"/>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9"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9" w:themeFill="accent6" w:themeFillShade="BF"/>
      </w:tcPr>
    </w:tblStylePr>
    <w:tblStylePr w:type="band1Vert">
      <w:tblPr/>
      <w:tcPr>
        <w:tcBorders>
          <w:top w:val="nil"/>
          <w:left w:val="nil"/>
          <w:bottom w:val="nil"/>
          <w:right w:val="nil"/>
          <w:insideH w:val="nil"/>
          <w:insideV w:val="nil"/>
        </w:tcBorders>
        <w:shd w:val="clear" w:color="auto" w:fill="E36C09" w:themeFill="accent6" w:themeFillShade="BF"/>
      </w:tcPr>
    </w:tblStylePr>
    <w:tblStylePr w:type="band1Horz">
      <w:tblPr/>
      <w:tcPr>
        <w:tcBorders>
          <w:top w:val="nil"/>
          <w:left w:val="nil"/>
          <w:bottom w:val="nil"/>
          <w:right w:val="nil"/>
          <w:insideH w:val="nil"/>
          <w:insideV w:val="nil"/>
        </w:tcBorders>
        <w:shd w:val="clear" w:color="auto" w:fill="E36C09" w:themeFill="accent6" w:themeFillShade="BF"/>
      </w:tcPr>
    </w:tblStylePr>
  </w:style>
  <w:style w:type="table" w:styleId="111">
    <w:name w:val="Colorful Shading"/>
    <w:basedOn w:val="32"/>
    <w:qFormat/>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5E5E5"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000000" w:themeFill="tex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000000" w:themeFill="tex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7F7F7F" w:themeFill="tex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2">
    <w:name w:val="Colorful Shading Accent 1"/>
    <w:basedOn w:val="32"/>
    <w:qFormat/>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B4D74" w:themeFill="accen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B4D74" w:themeFill="accen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B4D74" w:themeFill="accent1" w:themeFillShade="99"/>
      </w:tcPr>
    </w:tblStylePr>
    <w:tblStylePr w:type="band1Vert">
      <w:tblPr/>
      <w:tcPr>
        <w:shd w:val="clear" w:color="auto" w:fill="B8CCE4" w:themeFill="accent1" w:themeFillTint="66"/>
      </w:tcPr>
    </w:tblStylePr>
    <w:tblStylePr w:type="band1Horz">
      <w:tblPr/>
      <w:tcPr>
        <w:shd w:val="clear" w:color="auto" w:fill="A7C0DE" w:themeFill="accen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3">
    <w:name w:val="Colorful Shading Accent 2"/>
    <w:basedOn w:val="32"/>
    <w:qFormat/>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772C2A" w:themeFill="accent2"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772C2A" w:themeFill="accent2"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4">
    <w:name w:val="Colorful Shading Accent 3"/>
    <w:basedOn w:val="32"/>
    <w:qFormat/>
    <w:uiPriority w:val="71"/>
    <w:pPr>
      <w:spacing w:after="0" w:line="240" w:lineRule="auto"/>
    </w:pPr>
    <w:rPr>
      <w:color w:val="000000" w:themeColor="text1"/>
      <w14:textFill>
        <w14:solidFill>
          <w14:schemeClr w14:val="tx1"/>
        </w14:solidFill>
      </w14:textFill>
    </w:rPr>
    <w:tblPr>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5E7530" w:themeFill="accent3"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5E7530" w:themeFill="accent3"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115">
    <w:name w:val="Colorful Shading Accent 4"/>
    <w:basedOn w:val="32"/>
    <w:qFormat/>
    <w:uiPriority w:val="71"/>
    <w:pPr>
      <w:spacing w:after="0" w:line="240" w:lineRule="auto"/>
    </w:pPr>
    <w:rPr>
      <w:color w:val="000000" w:themeColor="text1"/>
      <w14:textFill>
        <w14:solidFill>
          <w14:schemeClr w14:val="tx1"/>
        </w14:solidFill>
      </w14:textFill>
    </w:rPr>
    <w:tblPr>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2EFF5"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4C3A62" w:themeFill="accent4"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4C3A62" w:themeFill="accent4"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4C3A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6">
    <w:name w:val="Colorful Shading Accent 5"/>
    <w:basedOn w:val="32"/>
    <w:qFormat/>
    <w:uiPriority w:val="71"/>
    <w:pPr>
      <w:spacing w:after="0" w:line="240" w:lineRule="auto"/>
    </w:pPr>
    <w:rPr>
      <w:color w:val="000000" w:themeColor="text1"/>
      <w14:textFill>
        <w14:solidFill>
          <w14:schemeClr w14:val="tx1"/>
        </w14:solidFill>
      </w14:textFill>
    </w:rPr>
    <w:tblPr>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76A7C" w:themeFill="accent5"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76A7C" w:themeFill="accent5"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7">
    <w:name w:val="Colorful Shading Accent 6"/>
    <w:basedOn w:val="32"/>
    <w:qFormat/>
    <w:uiPriority w:val="71"/>
    <w:pPr>
      <w:spacing w:after="0" w:line="240" w:lineRule="auto"/>
    </w:pPr>
    <w:rPr>
      <w:color w:val="000000" w:themeColor="text1"/>
      <w14:textFill>
        <w14:solidFill>
          <w14:schemeClr w14:val="tx1"/>
        </w14:solidFill>
      </w14:textFill>
    </w:rPr>
    <w:tblPr>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B65607" w:themeFill="accent6"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B65607" w:themeFill="accent6"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B65607"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8">
    <w:name w:val="Colorful List"/>
    <w:basedOn w:val="32"/>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E5E5E5" w:themeFill="tex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hemeFill="text1" w:themeFillTint="3F"/>
      </w:tcPr>
    </w:tblStylePr>
    <w:tblStylePr w:type="band1Horz">
      <w:tblPr/>
      <w:tcPr>
        <w:shd w:val="clear" w:color="auto" w:fill="CCCCCC" w:themeFill="text1" w:themeFillTint="33"/>
      </w:tcPr>
    </w:tblStylePr>
  </w:style>
  <w:style w:type="table" w:styleId="119">
    <w:name w:val="Colorful List Accent 1"/>
    <w:basedOn w:val="32"/>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120">
    <w:name w:val="Colorful List Accent 2"/>
    <w:basedOn w:val="32"/>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3" w:themeFill="accent2" w:themeFillTint="3F"/>
      </w:tcPr>
    </w:tblStylePr>
    <w:tblStylePr w:type="band1Horz">
      <w:tblPr/>
      <w:tcPr>
        <w:shd w:val="clear" w:color="auto" w:fill="F2DBDB" w:themeFill="accent2" w:themeFillTint="33"/>
      </w:tcPr>
    </w:tblStylePr>
  </w:style>
  <w:style w:type="table" w:styleId="121">
    <w:name w:val="Colorful List Accent 3"/>
    <w:basedOn w:val="32"/>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664E82" w:themeFill="accent4" w:themeFillShade="CC"/>
      </w:tcPr>
    </w:tblStylePr>
    <w:tblStylePr w:type="lastRow">
      <w:rPr>
        <w:b/>
        <w:bCs/>
        <w:color w:val="664F83"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122">
    <w:name w:val="Colorful List Accent 4"/>
    <w:basedOn w:val="32"/>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2EFF5" w:themeFill="accent4"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7E9C40" w:themeFill="accent3" w:themeFillShade="CC"/>
      </w:tcPr>
    </w:tblStylePr>
    <w:tblStylePr w:type="lastRow">
      <w:rPr>
        <w:b/>
        <w:bCs/>
        <w:color w:val="7E9D40"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123">
    <w:name w:val="Colorful List Accent 5"/>
    <w:basedOn w:val="32"/>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F3730A" w:themeFill="accent6" w:themeFillShade="CC"/>
      </w:tcPr>
    </w:tblStylePr>
    <w:tblStylePr w:type="lastRow">
      <w:rPr>
        <w:b/>
        <w:bCs/>
        <w:color w:val="F3740B"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0" w:themeFill="accent5" w:themeFillTint="3F"/>
      </w:tcPr>
    </w:tblStylePr>
    <w:tblStylePr w:type="band1Horz">
      <w:tblPr/>
      <w:tcPr>
        <w:shd w:val="clear" w:color="auto" w:fill="DAEEF3" w:themeFill="accent5" w:themeFillTint="33"/>
      </w:tcPr>
    </w:tblStylePr>
  </w:style>
  <w:style w:type="table" w:styleId="124">
    <w:name w:val="Colorful List Accent 6"/>
    <w:basedOn w:val="32"/>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348DA5" w:themeFill="accent5" w:themeFillShade="CC"/>
      </w:tcPr>
    </w:tblStylePr>
    <w:tblStylePr w:type="lastRow">
      <w:rPr>
        <w:b/>
        <w:bCs/>
        <w:color w:val="358EA6"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5D1" w:themeFill="accent6" w:themeFillTint="3F"/>
      </w:tcPr>
    </w:tblStylePr>
    <w:tblStylePr w:type="band1Horz">
      <w:tblPr/>
      <w:tcPr>
        <w:shd w:val="clear" w:color="auto" w:fill="FDE9D9" w:themeFill="accent6" w:themeFillTint="33"/>
      </w:tcPr>
    </w:tblStylePr>
  </w:style>
  <w:style w:type="table" w:styleId="125">
    <w:name w:val="Colorful Grid"/>
    <w:basedOn w:val="32"/>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14:textFill>
          <w14:solidFill>
            <w14:schemeClr w14:val="tx1"/>
          </w14:solidFill>
        </w14:textFill>
      </w:rPr>
      <w:tblPr/>
      <w:tcPr>
        <w:shd w:val="clear" w:color="auto" w:fill="999999" w:themeFill="text1" w:themeFillTint="66"/>
      </w:tcPr>
    </w:tblStylePr>
    <w:tblStylePr w:type="firstCol">
      <w:rPr>
        <w:color w:val="FFFFFF" w:themeColor="background1"/>
        <w14:textFill>
          <w14:solidFill>
            <w14:schemeClr w14:val="bg1"/>
          </w14:solidFill>
        </w14:textFill>
      </w:rPr>
      <w:tblPr/>
      <w:tcPr>
        <w:shd w:val="clear" w:color="auto" w:fill="000000" w:themeFill="text1" w:themeFillShade="BF"/>
      </w:tcPr>
    </w:tblStylePr>
    <w:tblStylePr w:type="lastCol">
      <w:rPr>
        <w:color w:val="FFFFFF" w:themeColor="background1"/>
        <w14:textFill>
          <w14:solidFill>
            <w14:schemeClr w14:val="bg1"/>
          </w14:solidFill>
        </w14:textFill>
      </w:rPr>
      <w:tblPr/>
      <w:tcPr>
        <w:shd w:val="clear" w:color="auto" w:fill="000000" w:themeFill="text1" w:themeFillShade="BF"/>
      </w:tc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126">
    <w:name w:val="Colorful Grid Accent 1"/>
    <w:basedOn w:val="32"/>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14:textFill>
          <w14:solidFill>
            <w14:schemeClr w14:val="tx1"/>
          </w14:solidFill>
        </w14:textFill>
      </w:rPr>
      <w:tblPr/>
      <w:tcPr>
        <w:shd w:val="clear" w:color="auto" w:fill="B8CCE4" w:themeFill="accent1" w:themeFillTint="66"/>
      </w:tcPr>
    </w:tblStylePr>
    <w:tblStylePr w:type="firstCol">
      <w:rPr>
        <w:color w:val="FFFFFF" w:themeColor="background1"/>
        <w14:textFill>
          <w14:solidFill>
            <w14:schemeClr w14:val="bg1"/>
          </w14:solidFill>
        </w14:textFill>
      </w:rPr>
      <w:tblPr/>
      <w:tcPr>
        <w:shd w:val="clear" w:color="auto" w:fill="366091" w:themeFill="accent1" w:themeFillShade="BF"/>
      </w:tcPr>
    </w:tblStylePr>
    <w:tblStylePr w:type="lastCol">
      <w:rPr>
        <w:color w:val="FFFFFF" w:themeColor="background1"/>
        <w14:textFill>
          <w14:solidFill>
            <w14:schemeClr w14:val="bg1"/>
          </w14:solidFill>
        </w14:textFill>
      </w:rPr>
      <w:tblPr/>
      <w:tcPr>
        <w:shd w:val="clear" w:color="auto" w:fill="366091" w:themeFill="accent1" w:themeFillShade="BF"/>
      </w:tcPr>
    </w:tblStylePr>
    <w:tblStylePr w:type="band1Vert">
      <w:tblPr/>
      <w:tcPr>
        <w:shd w:val="clear" w:color="auto" w:fill="A7C0DE" w:themeFill="accent1" w:themeFillTint="7F"/>
      </w:tcPr>
    </w:tblStylePr>
    <w:tblStylePr w:type="band1Horz">
      <w:tblPr/>
      <w:tcPr>
        <w:shd w:val="clear" w:color="auto" w:fill="A7C0DE" w:themeFill="accent1" w:themeFillTint="7F"/>
      </w:tcPr>
    </w:tblStylePr>
  </w:style>
  <w:style w:type="table" w:styleId="127">
    <w:name w:val="Colorful Grid Accent 2"/>
    <w:basedOn w:val="32"/>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14:textFill>
          <w14:solidFill>
            <w14:schemeClr w14:val="tx1"/>
          </w14:solidFill>
        </w14:textFill>
      </w:rPr>
      <w:tblPr/>
      <w:tcPr>
        <w:shd w:val="clear" w:color="auto" w:fill="E5B8B7" w:themeFill="accent2" w:themeFillTint="66"/>
      </w:tcPr>
    </w:tblStylePr>
    <w:tblStylePr w:type="firstCol">
      <w:rPr>
        <w:color w:val="FFFFFF" w:themeColor="background1"/>
        <w14:textFill>
          <w14:solidFill>
            <w14:schemeClr w14:val="bg1"/>
          </w14:solidFill>
        </w14:textFill>
      </w:rPr>
      <w:tblPr/>
      <w:tcPr>
        <w:shd w:val="clear" w:color="auto" w:fill="943734" w:themeFill="accent2" w:themeFillShade="BF"/>
      </w:tcPr>
    </w:tblStylePr>
    <w:tblStylePr w:type="lastCol">
      <w:rPr>
        <w:color w:val="FFFFFF" w:themeColor="background1"/>
        <w14:textFill>
          <w14:solidFill>
            <w14:schemeClr w14:val="bg1"/>
          </w14:solidFill>
        </w14:textFill>
      </w:rPr>
      <w:tblPr/>
      <w:tcPr>
        <w:shd w:val="clear" w:color="auto" w:fill="9437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28">
    <w:name w:val="Colorful Grid Accent 3"/>
    <w:basedOn w:val="32"/>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14:textFill>
          <w14:solidFill>
            <w14:schemeClr w14:val="tx1"/>
          </w14:solidFill>
        </w14:textFill>
      </w:rPr>
      <w:tblPr/>
      <w:tcPr>
        <w:shd w:val="clear" w:color="auto" w:fill="D6E3BC" w:themeFill="accent3" w:themeFillTint="66"/>
      </w:tcPr>
    </w:tblStylePr>
    <w:tblStylePr w:type="firstCol">
      <w:rPr>
        <w:color w:val="FFFFFF" w:themeColor="background1"/>
        <w14:textFill>
          <w14:solidFill>
            <w14:schemeClr w14:val="bg1"/>
          </w14:solidFill>
        </w14:textFill>
      </w:rPr>
      <w:tblPr/>
      <w:tcPr>
        <w:shd w:val="clear" w:color="auto" w:fill="76923C" w:themeFill="accent3" w:themeFillShade="BF"/>
      </w:tcPr>
    </w:tblStylePr>
    <w:tblStylePr w:type="lastCol">
      <w:rPr>
        <w:color w:val="FFFFFF" w:themeColor="background1"/>
        <w14:textFill>
          <w14:solidFill>
            <w14:schemeClr w14:val="bg1"/>
          </w14:solidFill>
        </w14:textFill>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29">
    <w:name w:val="Colorful Grid Accent 4"/>
    <w:basedOn w:val="32"/>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14:textFill>
          <w14:solidFill>
            <w14:schemeClr w14:val="tx1"/>
          </w14:solidFill>
        </w14:textFill>
      </w:rPr>
      <w:tblPr/>
      <w:tcPr>
        <w:shd w:val="clear" w:color="auto" w:fill="CCC0D9" w:themeFill="accent4" w:themeFillTint="66"/>
      </w:tcPr>
    </w:tblStylePr>
    <w:tblStylePr w:type="firstCol">
      <w:rPr>
        <w:color w:val="FFFFFF" w:themeColor="background1"/>
        <w14:textFill>
          <w14:solidFill>
            <w14:schemeClr w14:val="bg1"/>
          </w14:solidFill>
        </w14:textFill>
      </w:rPr>
      <w:tblPr/>
      <w:tcPr>
        <w:shd w:val="clear" w:color="auto" w:fill="5F497A" w:themeFill="accent4" w:themeFillShade="BF"/>
      </w:tcPr>
    </w:tblStylePr>
    <w:tblStylePr w:type="lastCol">
      <w:rPr>
        <w:color w:val="FFFFFF" w:themeColor="background1"/>
        <w14:textFill>
          <w14:solidFill>
            <w14:schemeClr w14:val="bg1"/>
          </w14:solidFill>
        </w14:textFill>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30">
    <w:name w:val="Colorful Grid Accent 5"/>
    <w:basedOn w:val="32"/>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14:textFill>
          <w14:solidFill>
            <w14:schemeClr w14:val="tx1"/>
          </w14:solidFill>
        </w14:textFill>
      </w:rPr>
      <w:tblPr/>
      <w:tcPr>
        <w:shd w:val="clear" w:color="auto" w:fill="B6DDE8" w:themeFill="accent5" w:themeFillTint="66"/>
      </w:tcPr>
    </w:tblStylePr>
    <w:tblStylePr w:type="firstCol">
      <w:rPr>
        <w:color w:val="FFFFFF" w:themeColor="background1"/>
        <w14:textFill>
          <w14:solidFill>
            <w14:schemeClr w14:val="bg1"/>
          </w14:solidFill>
        </w14:textFill>
      </w:rPr>
      <w:tblPr/>
      <w:tcPr>
        <w:shd w:val="clear" w:color="auto" w:fill="31849B" w:themeFill="accent5" w:themeFillShade="BF"/>
      </w:tcPr>
    </w:tblStylePr>
    <w:tblStylePr w:type="lastCol">
      <w:rPr>
        <w:color w:val="FFFFFF" w:themeColor="background1"/>
        <w14:textFill>
          <w14:solidFill>
            <w14:schemeClr w14:val="bg1"/>
          </w14:solidFill>
        </w14:textFill>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31">
    <w:name w:val="Colorful Grid Accent 6"/>
    <w:basedOn w:val="32"/>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14:textFill>
          <w14:solidFill>
            <w14:schemeClr w14:val="tx1"/>
          </w14:solidFill>
        </w14:textFill>
      </w:rPr>
      <w:tblPr/>
      <w:tcPr>
        <w:shd w:val="clear" w:color="auto" w:fill="FBD4B4" w:themeFill="accent6" w:themeFillTint="66"/>
      </w:tcPr>
    </w:tblStylePr>
    <w:tblStylePr w:type="firstCol">
      <w:rPr>
        <w:color w:val="FFFFFF" w:themeColor="background1"/>
        <w14:textFill>
          <w14:solidFill>
            <w14:schemeClr w14:val="bg1"/>
          </w14:solidFill>
        </w14:textFill>
      </w:rPr>
      <w:tblPr/>
      <w:tcPr>
        <w:shd w:val="clear" w:color="auto" w:fill="E36C09" w:themeFill="accent6" w:themeFillShade="BF"/>
      </w:tcPr>
    </w:tblStylePr>
    <w:tblStylePr w:type="lastCol">
      <w:rPr>
        <w:color w:val="FFFFFF" w:themeColor="background1"/>
        <w14:textFill>
          <w14:solidFill>
            <w14:schemeClr w14:val="bg1"/>
          </w14:solidFill>
        </w14:textFill>
      </w:rPr>
      <w:tblPr/>
      <w:tcPr>
        <w:shd w:val="clear" w:color="auto" w:fill="E36C09"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133">
    <w:name w:val="Strong"/>
    <w:basedOn w:val="132"/>
    <w:qFormat/>
    <w:uiPriority w:val="22"/>
    <w:rPr>
      <w:b/>
      <w:bCs/>
    </w:rPr>
  </w:style>
  <w:style w:type="character" w:styleId="134">
    <w:name w:val="Emphasis"/>
    <w:basedOn w:val="132"/>
    <w:qFormat/>
    <w:uiPriority w:val="20"/>
    <w:rPr>
      <w:i/>
      <w:iCs/>
    </w:rPr>
  </w:style>
  <w:style w:type="character" w:customStyle="1" w:styleId="135">
    <w:name w:val="Header Char"/>
    <w:basedOn w:val="132"/>
    <w:link w:val="25"/>
    <w:qFormat/>
    <w:uiPriority w:val="99"/>
  </w:style>
  <w:style w:type="character" w:customStyle="1" w:styleId="136">
    <w:name w:val="Footer Char"/>
    <w:basedOn w:val="132"/>
    <w:link w:val="24"/>
    <w:qFormat/>
    <w:uiPriority w:val="99"/>
  </w:style>
  <w:style w:type="paragraph" w:styleId="137">
    <w:name w:val="No Spacing"/>
    <w:qFormat/>
    <w:uiPriority w:val="1"/>
    <w:pPr>
      <w:spacing w:after="0" w:line="240" w:lineRule="auto"/>
    </w:pPr>
    <w:rPr>
      <w:rFonts w:asciiTheme="minorHAnsi" w:hAnsiTheme="minorHAnsi" w:eastAsiaTheme="minorEastAsia" w:cstheme="minorBidi"/>
      <w:sz w:val="22"/>
      <w:szCs w:val="22"/>
      <w:lang w:val="en-US" w:eastAsia="en-US" w:bidi="ar-SA"/>
    </w:rPr>
  </w:style>
  <w:style w:type="character" w:customStyle="1" w:styleId="138">
    <w:name w:val="Heading 1 Char"/>
    <w:basedOn w:val="132"/>
    <w:link w:val="3"/>
    <w:qFormat/>
    <w:uiPriority w:val="9"/>
    <w:rPr>
      <w:rFonts w:asciiTheme="majorHAnsi" w:hAnsiTheme="majorHAnsi" w:eastAsiaTheme="majorEastAsia" w:cstheme="majorBidi"/>
      <w:b/>
      <w:bCs/>
      <w:color w:val="376092" w:themeColor="accent1" w:themeShade="BF"/>
      <w:sz w:val="28"/>
      <w:szCs w:val="28"/>
    </w:rPr>
  </w:style>
  <w:style w:type="character" w:customStyle="1" w:styleId="139">
    <w:name w:val="Heading 2 Char"/>
    <w:basedOn w:val="132"/>
    <w:link w:val="4"/>
    <w:qFormat/>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customStyle="1" w:styleId="140">
    <w:name w:val="Heading 3 Char"/>
    <w:basedOn w:val="132"/>
    <w:link w:val="5"/>
    <w:qFormat/>
    <w:uiPriority w:val="9"/>
    <w:rPr>
      <w:rFonts w:asciiTheme="majorHAnsi" w:hAnsiTheme="majorHAnsi" w:eastAsiaTheme="majorEastAsia" w:cstheme="majorBidi"/>
      <w:b/>
      <w:bCs/>
      <w:color w:val="4F81BD" w:themeColor="accent1"/>
      <w14:textFill>
        <w14:solidFill>
          <w14:schemeClr w14:val="accent1"/>
        </w14:solidFill>
      </w14:textFill>
    </w:rPr>
  </w:style>
  <w:style w:type="character" w:customStyle="1" w:styleId="141">
    <w:name w:val="Title Char"/>
    <w:basedOn w:val="132"/>
    <w:link w:val="31"/>
    <w:qFormat/>
    <w:uiPriority w:val="10"/>
    <w:rPr>
      <w:rFonts w:asciiTheme="majorHAnsi" w:hAnsiTheme="majorHAnsi" w:eastAsiaTheme="majorEastAsia" w:cstheme="majorBidi"/>
      <w:color w:val="17375E" w:themeColor="text2" w:themeShade="BF"/>
      <w:spacing w:val="5"/>
      <w:kern w:val="28"/>
      <w:sz w:val="52"/>
      <w:szCs w:val="52"/>
    </w:rPr>
  </w:style>
  <w:style w:type="character" w:customStyle="1" w:styleId="142">
    <w:name w:val="Subtitle Char"/>
    <w:basedOn w:val="132"/>
    <w:link w:val="26"/>
    <w:qFormat/>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143">
    <w:name w:val="List Paragraph"/>
    <w:basedOn w:val="1"/>
    <w:qFormat/>
    <w:uiPriority w:val="34"/>
    <w:pPr>
      <w:ind w:left="720"/>
      <w:contextualSpacing/>
    </w:pPr>
  </w:style>
  <w:style w:type="character" w:customStyle="1" w:styleId="144">
    <w:name w:val="Body Text Char"/>
    <w:basedOn w:val="132"/>
    <w:link w:val="19"/>
    <w:qFormat/>
    <w:uiPriority w:val="99"/>
  </w:style>
  <w:style w:type="character" w:customStyle="1" w:styleId="145">
    <w:name w:val="Body Text 2 Char"/>
    <w:basedOn w:val="132"/>
    <w:link w:val="28"/>
    <w:qFormat/>
    <w:uiPriority w:val="99"/>
  </w:style>
  <w:style w:type="character" w:customStyle="1" w:styleId="146">
    <w:name w:val="Body Text 3 Char"/>
    <w:basedOn w:val="132"/>
    <w:link w:val="17"/>
    <w:qFormat/>
    <w:uiPriority w:val="99"/>
    <w:rPr>
      <w:sz w:val="16"/>
      <w:szCs w:val="16"/>
    </w:rPr>
  </w:style>
  <w:style w:type="character" w:customStyle="1" w:styleId="147">
    <w:name w:val="Macro Text Char"/>
    <w:basedOn w:val="132"/>
    <w:link w:val="2"/>
    <w:qFormat/>
    <w:uiPriority w:val="99"/>
    <w:rPr>
      <w:rFonts w:ascii="Courier" w:hAnsi="Courier"/>
      <w:sz w:val="20"/>
      <w:szCs w:val="20"/>
    </w:rPr>
  </w:style>
  <w:style w:type="paragraph" w:styleId="148">
    <w:name w:val="Quote"/>
    <w:basedOn w:val="1"/>
    <w:next w:val="1"/>
    <w:link w:val="149"/>
    <w:qFormat/>
    <w:uiPriority w:val="29"/>
    <w:rPr>
      <w:i/>
      <w:iCs/>
      <w:color w:val="000000" w:themeColor="text1"/>
      <w14:textFill>
        <w14:solidFill>
          <w14:schemeClr w14:val="tx1"/>
        </w14:solidFill>
      </w14:textFill>
    </w:rPr>
  </w:style>
  <w:style w:type="character" w:customStyle="1" w:styleId="149">
    <w:name w:val="Quote Char"/>
    <w:basedOn w:val="132"/>
    <w:link w:val="148"/>
    <w:qFormat/>
    <w:uiPriority w:val="29"/>
    <w:rPr>
      <w:i/>
      <w:iCs/>
      <w:color w:val="000000" w:themeColor="text1"/>
      <w14:textFill>
        <w14:solidFill>
          <w14:schemeClr w14:val="tx1"/>
        </w14:solidFill>
      </w14:textFill>
    </w:rPr>
  </w:style>
  <w:style w:type="character" w:customStyle="1" w:styleId="150">
    <w:name w:val="Heading 4 Char"/>
    <w:basedOn w:val="132"/>
    <w:link w:val="6"/>
    <w:semiHidden/>
    <w:qFormat/>
    <w:uiPriority w:val="9"/>
    <w:rPr>
      <w:rFonts w:asciiTheme="majorHAnsi" w:hAnsiTheme="majorHAnsi" w:eastAsiaTheme="majorEastAsia" w:cstheme="majorBidi"/>
      <w:b/>
      <w:bCs/>
      <w:i/>
      <w:iCs/>
      <w:color w:val="4F81BD" w:themeColor="accent1"/>
      <w14:textFill>
        <w14:solidFill>
          <w14:schemeClr w14:val="accent1"/>
        </w14:solidFill>
      </w14:textFill>
    </w:rPr>
  </w:style>
  <w:style w:type="character" w:customStyle="1" w:styleId="151">
    <w:name w:val="Heading 5 Char"/>
    <w:basedOn w:val="132"/>
    <w:link w:val="7"/>
    <w:semiHidden/>
    <w:qFormat/>
    <w:uiPriority w:val="9"/>
    <w:rPr>
      <w:rFonts w:asciiTheme="majorHAnsi" w:hAnsiTheme="majorHAnsi" w:eastAsiaTheme="majorEastAsia" w:cstheme="majorBidi"/>
      <w:color w:val="254061" w:themeColor="accent1" w:themeShade="80"/>
    </w:rPr>
  </w:style>
  <w:style w:type="character" w:customStyle="1" w:styleId="152">
    <w:name w:val="Heading 6 Char"/>
    <w:basedOn w:val="132"/>
    <w:link w:val="8"/>
    <w:semiHidden/>
    <w:qFormat/>
    <w:uiPriority w:val="9"/>
    <w:rPr>
      <w:rFonts w:asciiTheme="majorHAnsi" w:hAnsiTheme="majorHAnsi" w:eastAsiaTheme="majorEastAsia" w:cstheme="majorBidi"/>
      <w:i/>
      <w:iCs/>
      <w:color w:val="254061" w:themeColor="accent1" w:themeShade="80"/>
    </w:rPr>
  </w:style>
  <w:style w:type="character" w:customStyle="1" w:styleId="153">
    <w:name w:val="Heading 7 Char"/>
    <w:basedOn w:val="132"/>
    <w:link w:val="9"/>
    <w:semiHidden/>
    <w:qFormat/>
    <w:uiPriority w:val="9"/>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character" w:customStyle="1" w:styleId="154">
    <w:name w:val="Heading 8 Char"/>
    <w:basedOn w:val="132"/>
    <w:link w:val="10"/>
    <w:semiHidden/>
    <w:qFormat/>
    <w:uiPriority w:val="9"/>
    <w:rPr>
      <w:rFonts w:asciiTheme="majorHAnsi" w:hAnsiTheme="majorHAnsi" w:eastAsiaTheme="majorEastAsia" w:cstheme="majorBidi"/>
      <w:color w:val="4F81BD" w:themeColor="accent1"/>
      <w:sz w:val="20"/>
      <w:szCs w:val="20"/>
      <w14:textFill>
        <w14:solidFill>
          <w14:schemeClr w14:val="accent1"/>
        </w14:solidFill>
      </w14:textFill>
    </w:rPr>
  </w:style>
  <w:style w:type="character" w:customStyle="1" w:styleId="155">
    <w:name w:val="Heading 9 Char"/>
    <w:basedOn w:val="132"/>
    <w:link w:val="11"/>
    <w:semiHidden/>
    <w:qFormat/>
    <w:uiPriority w:val="9"/>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paragraph" w:styleId="156">
    <w:name w:val="Intense Quote"/>
    <w:basedOn w:val="1"/>
    <w:next w:val="1"/>
    <w:link w:val="157"/>
    <w:qFormat/>
    <w:uiPriority w:val="30"/>
    <w:pPr>
      <w:pBdr>
        <w:bottom w:val="single" w:color="4F81BD" w:themeColor="accent1" w:sz="4" w:space="4"/>
      </w:pBdr>
      <w:spacing w:before="200" w:after="280"/>
      <w:ind w:left="936" w:right="936"/>
    </w:pPr>
    <w:rPr>
      <w:b/>
      <w:bCs/>
      <w:i/>
      <w:iCs/>
      <w:color w:val="4F81BD" w:themeColor="accent1"/>
      <w14:textFill>
        <w14:solidFill>
          <w14:schemeClr w14:val="accent1"/>
        </w14:solidFill>
      </w14:textFill>
    </w:rPr>
  </w:style>
  <w:style w:type="character" w:customStyle="1" w:styleId="157">
    <w:name w:val="Intense Quote Char"/>
    <w:basedOn w:val="132"/>
    <w:link w:val="156"/>
    <w:qFormat/>
    <w:uiPriority w:val="30"/>
    <w:rPr>
      <w:b/>
      <w:bCs/>
      <w:i/>
      <w:iCs/>
      <w:color w:val="4F81BD" w:themeColor="accent1"/>
      <w14:textFill>
        <w14:solidFill>
          <w14:schemeClr w14:val="accent1"/>
        </w14:solidFill>
      </w14:textFill>
    </w:rPr>
  </w:style>
  <w:style w:type="character" w:customStyle="1" w:styleId="158">
    <w:name w:val="Subtle Emphasis"/>
    <w:basedOn w:val="132"/>
    <w:qFormat/>
    <w:uiPriority w:val="19"/>
    <w:rPr>
      <w:i/>
      <w:iCs/>
      <w:color w:val="808080" w:themeColor="text1" w:themeTint="80"/>
      <w14:textFill>
        <w14:solidFill>
          <w14:schemeClr w14:val="tx1">
            <w14:lumMod w14:val="50000"/>
            <w14:lumOff w14:val="50000"/>
          </w14:schemeClr>
        </w14:solidFill>
      </w14:textFill>
    </w:rPr>
  </w:style>
  <w:style w:type="character" w:customStyle="1" w:styleId="159">
    <w:name w:val="Intense Emphasis"/>
    <w:basedOn w:val="132"/>
    <w:qFormat/>
    <w:uiPriority w:val="21"/>
    <w:rPr>
      <w:b/>
      <w:bCs/>
      <w:i/>
      <w:iCs/>
      <w:color w:val="4F81BD" w:themeColor="accent1"/>
      <w14:textFill>
        <w14:solidFill>
          <w14:schemeClr w14:val="accent1"/>
        </w14:solidFill>
      </w14:textFill>
    </w:rPr>
  </w:style>
  <w:style w:type="character" w:customStyle="1" w:styleId="160">
    <w:name w:val="Subtle Reference"/>
    <w:basedOn w:val="132"/>
    <w:qFormat/>
    <w:uiPriority w:val="31"/>
    <w:rPr>
      <w:smallCaps/>
      <w:color w:val="C0504D" w:themeColor="accent2"/>
      <w:u w:val="single"/>
      <w14:textFill>
        <w14:solidFill>
          <w14:schemeClr w14:val="accent2"/>
        </w14:solidFill>
      </w14:textFill>
    </w:rPr>
  </w:style>
  <w:style w:type="character" w:customStyle="1" w:styleId="161">
    <w:name w:val="Intense Reference"/>
    <w:basedOn w:val="132"/>
    <w:qFormat/>
    <w:uiPriority w:val="32"/>
    <w:rPr>
      <w:b/>
      <w:bCs/>
      <w:smallCaps/>
      <w:color w:val="C0504D" w:themeColor="accent2"/>
      <w:spacing w:val="5"/>
      <w:u w:val="single"/>
      <w14:textFill>
        <w14:solidFill>
          <w14:schemeClr w14:val="accent2"/>
        </w14:solidFill>
      </w14:textFill>
    </w:rPr>
  </w:style>
  <w:style w:type="character" w:customStyle="1" w:styleId="162">
    <w:name w:val="Book Title"/>
    <w:basedOn w:val="132"/>
    <w:qFormat/>
    <w:uiPriority w:val="33"/>
    <w:rPr>
      <w:b/>
      <w:bCs/>
      <w:smallCaps/>
      <w:spacing w:val="5"/>
    </w:rPr>
  </w:style>
  <w:style w:type="paragraph" w:customStyle="1" w:styleId="163">
    <w:name w:val="TOC Heading"/>
    <w:basedOn w:val="3"/>
    <w:next w:val="1"/>
    <w:semiHidden/>
    <w:unhideWhenUsed/>
    <w:qFormat/>
    <w:uiPriority w:val="39"/>
    <w:pPr>
      <w:outlineLvl w:val="9"/>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tint val="100000"/>
                <a:shade val="100000"/>
                <a:satMod val="130000"/>
              </a:schemeClr>
            </a:gs>
            <a:gs pos="100000">
              <a:schemeClr val="phClr">
                <a:tint val="50000"/>
                <a:shade val="100000"/>
                <a:satMod val="350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2013-12-24T07:15:00Z</dcterms:created>
  <dc:creator>python-docx</dc:creator>
  <dc:description>generated by python-docx</dc:description>
  <cp:lastModifiedBy>scjuser</cp:lastModifiedBy>
  <dcterms:modified xsi:type="dcterms:W3CDTF">2024-08-14T15:22:50Z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