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1D44">
      <w:pPr>
        <w:widowControl/>
        <w:spacing w:after="240" w:line="594" w:lineRule="exact"/>
        <w:jc w:val="center"/>
        <w:rPr>
          <w:rFonts w:hint="eastAsia" w:ascii="黑体" w:hAnsi="黑体" w:eastAsia="黑体" w:cs="Arial"/>
          <w:bCs/>
          <w:kern w:val="0"/>
          <w:sz w:val="36"/>
          <w:szCs w:val="36"/>
          <w:lang w:val="en-GB" w:bidi="ar-AE"/>
        </w:rPr>
      </w:pPr>
      <w:r>
        <w:rPr>
          <w:rFonts w:ascii="黑体" w:hAnsi="黑体" w:eastAsia="黑体" w:cs="Arial"/>
          <w:bCs/>
          <w:kern w:val="0"/>
          <w:sz w:val="36"/>
          <w:szCs w:val="36"/>
          <w:lang w:val="en-GB" w:bidi="ar-AE"/>
        </w:rPr>
        <w:t>经营者集中简易案件公示表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530"/>
        <w:gridCol w:w="5798"/>
      </w:tblGrid>
      <w:tr w14:paraId="06AC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006" w:type="pct"/>
            <w:shd w:val="clear" w:color="auto" w:fill="D9D9D9"/>
            <w:vAlign w:val="center"/>
          </w:tcPr>
          <w:p w14:paraId="50F2C598">
            <w:pPr>
              <w:pStyle w:val="11"/>
              <w:adjustRightInd w:val="0"/>
              <w:snapToGrid w:val="0"/>
              <w:spacing w:after="0"/>
              <w:rPr>
                <w:rFonts w:hint="eastAsia" w:ascii="宋体" w:hAnsi="宋体" w:cs="Arial"/>
                <w:bCs/>
                <w:color w:val="000000"/>
                <w:lang w:val="en-US"/>
              </w:rPr>
            </w:pPr>
            <w:r>
              <w:rPr>
                <w:rFonts w:ascii="宋体" w:hAnsi="宋体" w:cs="Arial"/>
                <w:bCs/>
                <w:color w:val="000000"/>
              </w:rPr>
              <w:t>案件名称</w:t>
            </w:r>
          </w:p>
        </w:tc>
        <w:tc>
          <w:tcPr>
            <w:tcW w:w="3994" w:type="pct"/>
            <w:gridSpan w:val="2"/>
            <w:vAlign w:val="center"/>
          </w:tcPr>
          <w:p w14:paraId="0C9336DB">
            <w:pPr>
              <w:widowControl/>
              <w:snapToGrid w:val="0"/>
              <w:rPr>
                <w:rFonts w:hint="eastAsia" w:ascii="宋体" w:hAnsi="宋体" w:cs="Arial"/>
                <w:bCs/>
                <w:color w:val="000000"/>
                <w:kern w:val="0"/>
                <w:sz w:val="24"/>
                <w:lang w:bidi="ar-AE"/>
              </w:rPr>
            </w:pPr>
            <w:r>
              <w:rPr>
                <w:rFonts w:hint="eastAsia" w:ascii="宋体" w:hAnsi="宋体" w:cs="Arial"/>
                <w:color w:val="000000"/>
                <w:sz w:val="24"/>
              </w:rPr>
              <w:t>山东港口陆海国际物流集团发展有限公司与北汽福田汽车股份有限公司新设合营企业案</w:t>
            </w:r>
          </w:p>
        </w:tc>
      </w:tr>
      <w:tr w14:paraId="773A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006" w:type="pct"/>
            <w:shd w:val="clear" w:color="auto" w:fill="D9D9D9"/>
            <w:vAlign w:val="center"/>
          </w:tcPr>
          <w:p w14:paraId="172766A8">
            <w:pPr>
              <w:pStyle w:val="11"/>
              <w:adjustRightInd w:val="0"/>
              <w:snapToGrid w:val="0"/>
              <w:spacing w:after="0"/>
              <w:rPr>
                <w:rFonts w:hint="eastAsia" w:ascii="宋体" w:hAnsi="宋体" w:cs="Arial"/>
                <w:bCs/>
                <w:color w:val="000000"/>
                <w:lang w:val="en-US" w:eastAsia="zh-CN"/>
              </w:rPr>
            </w:pPr>
            <w:r>
              <w:rPr>
                <w:rFonts w:ascii="宋体" w:hAnsi="宋体" w:cs="Arial"/>
                <w:bCs/>
                <w:color w:val="000000"/>
                <w:lang w:eastAsia="zh-CN"/>
              </w:rPr>
              <w:t>交易概况（限200字内）</w:t>
            </w:r>
          </w:p>
        </w:tc>
        <w:tc>
          <w:tcPr>
            <w:tcW w:w="3994" w:type="pct"/>
            <w:gridSpan w:val="2"/>
            <w:vAlign w:val="center"/>
          </w:tcPr>
          <w:p w14:paraId="5D99FADE">
            <w:pPr>
              <w:widowControl/>
              <w:snapToGrid w:val="0"/>
              <w:rPr>
                <w:rFonts w:hint="eastAsia" w:ascii="宋体" w:hAnsi="宋体" w:cs="Arial"/>
                <w:color w:val="000000"/>
                <w:sz w:val="24"/>
              </w:rPr>
            </w:pPr>
            <w:r>
              <w:rPr>
                <w:rFonts w:hint="eastAsia" w:ascii="宋体" w:hAnsi="宋体" w:cs="Arial"/>
                <w:color w:val="000000"/>
                <w:sz w:val="24"/>
              </w:rPr>
              <w:t>山东港口陆海国际物流集团发展有限公司</w:t>
            </w:r>
            <w:r>
              <w:rPr>
                <w:rFonts w:ascii="宋体" w:hAnsi="宋体" w:cs="Arial"/>
                <w:color w:val="000000"/>
                <w:sz w:val="24"/>
              </w:rPr>
              <w:t>（“</w:t>
            </w:r>
            <w:r>
              <w:rPr>
                <w:rFonts w:hint="eastAsia" w:ascii="宋体" w:hAnsi="宋体" w:cs="Arial"/>
                <w:b/>
                <w:bCs/>
                <w:color w:val="000000"/>
                <w:sz w:val="24"/>
              </w:rPr>
              <w:t>物流发展</w:t>
            </w:r>
            <w:r>
              <w:rPr>
                <w:rFonts w:ascii="宋体" w:hAnsi="宋体" w:cs="Arial"/>
                <w:color w:val="000000"/>
                <w:sz w:val="24"/>
              </w:rPr>
              <w:t>”）与</w:t>
            </w:r>
            <w:r>
              <w:rPr>
                <w:rFonts w:hint="eastAsia" w:ascii="宋体" w:hAnsi="宋体" w:cs="Arial"/>
                <w:color w:val="000000"/>
                <w:sz w:val="24"/>
              </w:rPr>
              <w:t>北汽福田汽车股份有限公司</w:t>
            </w:r>
            <w:r>
              <w:rPr>
                <w:rFonts w:ascii="宋体" w:hAnsi="宋体" w:cs="Arial"/>
                <w:color w:val="000000"/>
                <w:sz w:val="24"/>
              </w:rPr>
              <w:t>（“</w:t>
            </w:r>
            <w:r>
              <w:rPr>
                <w:rFonts w:hint="eastAsia" w:ascii="宋体" w:hAnsi="宋体" w:cs="Arial"/>
                <w:b/>
                <w:bCs/>
                <w:color w:val="000000"/>
                <w:sz w:val="24"/>
              </w:rPr>
              <w:t>北汽福田</w:t>
            </w:r>
            <w:r>
              <w:rPr>
                <w:rFonts w:ascii="宋体" w:hAnsi="宋体" w:cs="Arial"/>
                <w:color w:val="000000"/>
                <w:sz w:val="24"/>
              </w:rPr>
              <w:t>”）签署</w:t>
            </w:r>
            <w:r>
              <w:rPr>
                <w:rFonts w:hint="eastAsia" w:ascii="Arial" w:hAnsi="Arial" w:cs="Arial"/>
                <w:color w:val="000000"/>
                <w:sz w:val="24"/>
              </w:rPr>
              <w:t>交易文件</w:t>
            </w:r>
            <w:r>
              <w:rPr>
                <w:rFonts w:ascii="宋体" w:hAnsi="宋体" w:cs="Arial"/>
                <w:color w:val="000000"/>
                <w:sz w:val="24"/>
              </w:rPr>
              <w:t>，双方拟共同设立合营企业。合营企业主要</w:t>
            </w:r>
            <w:r>
              <w:rPr>
                <w:rFonts w:hint="eastAsia" w:ascii="宋体" w:hAnsi="宋体" w:cs="Arial"/>
                <w:color w:val="000000"/>
                <w:sz w:val="24"/>
              </w:rPr>
              <w:t>从事商用车整车物流和汽车零配件物流业务</w:t>
            </w:r>
            <w:r>
              <w:rPr>
                <w:rFonts w:ascii="宋体" w:hAnsi="宋体" w:cs="Arial"/>
                <w:color w:val="000000"/>
                <w:sz w:val="24"/>
              </w:rPr>
              <w:t>。交易后，</w:t>
            </w:r>
            <w:r>
              <w:rPr>
                <w:rFonts w:hint="eastAsia" w:ascii="宋体" w:hAnsi="宋体" w:cs="Arial"/>
                <w:color w:val="000000"/>
                <w:sz w:val="24"/>
              </w:rPr>
              <w:t>物流发展</w:t>
            </w:r>
            <w:r>
              <w:rPr>
                <w:rFonts w:ascii="宋体" w:hAnsi="宋体" w:cs="Arial"/>
                <w:color w:val="000000"/>
                <w:sz w:val="24"/>
              </w:rPr>
              <w:t>与</w:t>
            </w:r>
            <w:r>
              <w:rPr>
                <w:rFonts w:hint="eastAsia" w:ascii="宋体" w:hAnsi="宋体" w:cs="Arial"/>
                <w:color w:val="000000"/>
                <w:sz w:val="24"/>
              </w:rPr>
              <w:t>北汽福田</w:t>
            </w:r>
            <w:r>
              <w:rPr>
                <w:rFonts w:ascii="宋体" w:hAnsi="宋体" w:cs="Arial"/>
                <w:color w:val="000000"/>
                <w:sz w:val="24"/>
              </w:rPr>
              <w:t>将分别持有合营企业</w:t>
            </w:r>
            <w:r>
              <w:rPr>
                <w:rFonts w:hint="eastAsia" w:ascii="宋体" w:hAnsi="宋体" w:cs="Arial"/>
                <w:color w:val="000000"/>
                <w:sz w:val="24"/>
              </w:rPr>
              <w:t>60</w:t>
            </w:r>
            <w:r>
              <w:rPr>
                <w:rFonts w:ascii="宋体" w:hAnsi="宋体" w:cs="Arial"/>
                <w:color w:val="000000"/>
                <w:sz w:val="24"/>
              </w:rPr>
              <w:t>%和4</w:t>
            </w:r>
            <w:r>
              <w:rPr>
                <w:rFonts w:hint="eastAsia" w:ascii="宋体" w:hAnsi="宋体" w:cs="Arial"/>
                <w:color w:val="000000"/>
                <w:sz w:val="24"/>
              </w:rPr>
              <w:t>0</w:t>
            </w:r>
            <w:r>
              <w:rPr>
                <w:rFonts w:ascii="宋体" w:hAnsi="宋体" w:cs="Arial"/>
                <w:color w:val="000000"/>
                <w:sz w:val="24"/>
              </w:rPr>
              <w:t>%的</w:t>
            </w:r>
            <w:r>
              <w:rPr>
                <w:rFonts w:hint="eastAsia" w:ascii="宋体" w:hAnsi="宋体" w:cs="Arial"/>
                <w:color w:val="000000"/>
                <w:sz w:val="24"/>
              </w:rPr>
              <w:t>股权</w:t>
            </w:r>
            <w:r>
              <w:rPr>
                <w:rFonts w:ascii="宋体" w:hAnsi="宋体" w:cs="Arial"/>
                <w:color w:val="000000"/>
                <w:sz w:val="24"/>
              </w:rPr>
              <w:t>，共同控制合营企业。</w:t>
            </w:r>
          </w:p>
        </w:tc>
      </w:tr>
      <w:tr w14:paraId="3E27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06" w:type="pct"/>
            <w:vMerge w:val="restart"/>
            <w:shd w:val="clear" w:color="auto" w:fill="D9D9D9"/>
            <w:vAlign w:val="center"/>
          </w:tcPr>
          <w:p w14:paraId="09270AE8">
            <w:pPr>
              <w:pStyle w:val="11"/>
              <w:adjustRightInd w:val="0"/>
              <w:snapToGrid w:val="0"/>
              <w:spacing w:after="0"/>
              <w:rPr>
                <w:rFonts w:hint="eastAsia" w:ascii="宋体" w:hAnsi="宋体" w:cs="Arial"/>
                <w:bCs/>
                <w:color w:val="000000"/>
                <w:lang w:val="en-US" w:eastAsia="zh-CN"/>
              </w:rPr>
            </w:pPr>
            <w:r>
              <w:rPr>
                <w:rFonts w:ascii="宋体" w:hAnsi="宋体" w:cs="Arial"/>
                <w:bCs/>
                <w:color w:val="000000"/>
                <w:lang w:eastAsia="zh-CN"/>
              </w:rPr>
              <w:t>参与集中的经营者简介（每个限</w:t>
            </w:r>
            <w:r>
              <w:rPr>
                <w:rFonts w:ascii="宋体" w:hAnsi="宋体" w:cs="Arial"/>
                <w:bCs/>
                <w:color w:val="000000"/>
                <w:lang w:val="en-US" w:eastAsia="zh-CN"/>
              </w:rPr>
              <w:t>100字以内</w:t>
            </w:r>
            <w:r>
              <w:rPr>
                <w:rFonts w:ascii="宋体" w:hAnsi="宋体" w:cs="Arial"/>
                <w:bCs/>
                <w:color w:val="000000"/>
                <w:lang w:eastAsia="zh-CN"/>
              </w:rPr>
              <w:t>）</w:t>
            </w:r>
          </w:p>
        </w:tc>
        <w:tc>
          <w:tcPr>
            <w:tcW w:w="834" w:type="pct"/>
            <w:vAlign w:val="center"/>
          </w:tcPr>
          <w:p w14:paraId="39DA25BF">
            <w:pPr>
              <w:snapToGrid w:val="0"/>
              <w:rPr>
                <w:rFonts w:hint="eastAsia" w:ascii="宋体" w:hAnsi="宋体" w:cs="Arial"/>
                <w:color w:val="000000"/>
                <w:sz w:val="24"/>
              </w:rPr>
            </w:pPr>
            <w:r>
              <w:rPr>
                <w:rFonts w:ascii="宋体" w:hAnsi="宋体" w:cs="Arial"/>
                <w:color w:val="000000"/>
                <w:sz w:val="24"/>
              </w:rPr>
              <w:t xml:space="preserve">1. </w:t>
            </w:r>
            <w:r>
              <w:rPr>
                <w:rFonts w:hint="eastAsia" w:ascii="宋体" w:hAnsi="宋体" w:cs="Arial"/>
                <w:color w:val="000000"/>
                <w:sz w:val="24"/>
              </w:rPr>
              <w:t>山东港口陆海国际物流集团发展有限公司</w:t>
            </w:r>
          </w:p>
        </w:tc>
        <w:tc>
          <w:tcPr>
            <w:tcW w:w="3160" w:type="pct"/>
          </w:tcPr>
          <w:p w14:paraId="00E6E476">
            <w:pPr>
              <w:widowControl/>
              <w:snapToGrid w:val="0"/>
              <w:rPr>
                <w:rFonts w:hint="eastAsia" w:ascii="宋体" w:hAnsi="宋体" w:cs="Arial"/>
                <w:color w:val="000000"/>
                <w:sz w:val="24"/>
              </w:rPr>
            </w:pPr>
            <w:r>
              <w:rPr>
                <w:rFonts w:hint="eastAsia" w:ascii="宋体" w:hAnsi="宋体" w:cs="Arial"/>
                <w:color w:val="000000"/>
                <w:sz w:val="24"/>
              </w:rPr>
              <w:t>物流发展</w:t>
            </w:r>
            <w:r>
              <w:rPr>
                <w:rFonts w:ascii="宋体" w:hAnsi="宋体" w:cs="Arial"/>
                <w:color w:val="000000"/>
                <w:sz w:val="24"/>
              </w:rPr>
              <w:t>于20</w:t>
            </w:r>
            <w:r>
              <w:rPr>
                <w:rFonts w:hint="eastAsia" w:ascii="宋体" w:hAnsi="宋体" w:cs="Arial"/>
                <w:color w:val="000000"/>
                <w:sz w:val="24"/>
              </w:rPr>
              <w:t>22</w:t>
            </w:r>
            <w:r>
              <w:rPr>
                <w:rFonts w:ascii="宋体" w:hAnsi="宋体" w:cs="Arial"/>
                <w:color w:val="000000"/>
                <w:sz w:val="24"/>
              </w:rPr>
              <w:t>年</w:t>
            </w:r>
            <w:r>
              <w:rPr>
                <w:rFonts w:hint="eastAsia" w:ascii="宋体" w:hAnsi="宋体" w:cs="Arial"/>
                <w:color w:val="000000"/>
                <w:sz w:val="24"/>
              </w:rPr>
              <w:t>7</w:t>
            </w:r>
            <w:r>
              <w:rPr>
                <w:rFonts w:ascii="宋体" w:hAnsi="宋体" w:cs="Arial"/>
                <w:color w:val="000000"/>
                <w:sz w:val="24"/>
              </w:rPr>
              <w:t>月</w:t>
            </w:r>
            <w:r>
              <w:rPr>
                <w:rFonts w:hint="eastAsia" w:ascii="宋体" w:hAnsi="宋体" w:cs="Arial"/>
                <w:color w:val="000000"/>
                <w:sz w:val="24"/>
              </w:rPr>
              <w:t>13</w:t>
            </w:r>
            <w:r>
              <w:rPr>
                <w:rFonts w:ascii="宋体" w:hAnsi="宋体" w:cs="Arial"/>
                <w:color w:val="000000"/>
                <w:sz w:val="24"/>
              </w:rPr>
              <w:t>日成立于</w:t>
            </w:r>
            <w:r>
              <w:rPr>
                <w:rFonts w:hint="eastAsia" w:ascii="宋体" w:hAnsi="宋体" w:cs="Arial"/>
                <w:color w:val="000000"/>
                <w:sz w:val="24"/>
              </w:rPr>
              <w:t>山东</w:t>
            </w:r>
            <w:r>
              <w:rPr>
                <w:rFonts w:ascii="宋体" w:hAnsi="宋体" w:cs="Arial"/>
                <w:color w:val="000000"/>
                <w:sz w:val="24"/>
              </w:rPr>
              <w:t>省</w:t>
            </w:r>
            <w:r>
              <w:rPr>
                <w:rFonts w:hint="eastAsia" w:ascii="宋体" w:hAnsi="宋体" w:cs="Arial"/>
                <w:color w:val="000000"/>
                <w:sz w:val="24"/>
              </w:rPr>
              <w:t>济南</w:t>
            </w:r>
            <w:r>
              <w:rPr>
                <w:rFonts w:ascii="宋体" w:hAnsi="宋体" w:cs="Arial"/>
                <w:color w:val="000000"/>
                <w:sz w:val="24"/>
              </w:rPr>
              <w:t>市，主要业务</w:t>
            </w:r>
            <w:r>
              <w:rPr>
                <w:rFonts w:hint="eastAsia" w:ascii="宋体" w:hAnsi="宋体" w:cs="Arial"/>
                <w:color w:val="000000"/>
                <w:sz w:val="24"/>
              </w:rPr>
              <w:t>涵盖场站、仓储、运输、货代、船代等</w:t>
            </w:r>
            <w:r>
              <w:rPr>
                <w:rFonts w:ascii="宋体" w:hAnsi="宋体" w:cs="Arial"/>
                <w:color w:val="000000"/>
                <w:sz w:val="24"/>
              </w:rPr>
              <w:t>。</w:t>
            </w:r>
          </w:p>
          <w:p w14:paraId="34D72EB4">
            <w:pPr>
              <w:widowControl/>
              <w:snapToGrid w:val="0"/>
              <w:rPr>
                <w:rFonts w:hint="eastAsia" w:ascii="宋体" w:hAnsi="宋体" w:cs="Arial"/>
                <w:color w:val="000000"/>
                <w:sz w:val="24"/>
              </w:rPr>
            </w:pPr>
            <w:r>
              <w:rPr>
                <w:rFonts w:hint="eastAsia" w:ascii="宋体" w:hAnsi="宋体" w:cs="Arial"/>
                <w:color w:val="000000"/>
                <w:sz w:val="24"/>
              </w:rPr>
              <w:t>物流发展</w:t>
            </w:r>
            <w:r>
              <w:rPr>
                <w:rFonts w:ascii="宋体" w:hAnsi="宋体" w:cs="Arial"/>
                <w:color w:val="000000"/>
                <w:sz w:val="24"/>
              </w:rPr>
              <w:t>的最终控制人为</w:t>
            </w:r>
            <w:r>
              <w:rPr>
                <w:rFonts w:hint="eastAsia" w:ascii="宋体" w:hAnsi="宋体" w:cs="Arial"/>
                <w:color w:val="000000"/>
                <w:sz w:val="24"/>
              </w:rPr>
              <w:t>山东港口集团有限公司，主要从事投控、港湾建设、物流、航运、邮轮文旅、装备、贸易、科技、海外发展、职教、医养、服务发展等业务。</w:t>
            </w:r>
          </w:p>
        </w:tc>
      </w:tr>
      <w:tr w14:paraId="3D89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06" w:type="pct"/>
            <w:vMerge w:val="continue"/>
            <w:shd w:val="clear" w:color="auto" w:fill="D9D9D9"/>
            <w:vAlign w:val="center"/>
          </w:tcPr>
          <w:p w14:paraId="09870AA0">
            <w:pPr>
              <w:pStyle w:val="11"/>
              <w:adjustRightInd w:val="0"/>
              <w:snapToGrid w:val="0"/>
              <w:spacing w:after="0"/>
              <w:rPr>
                <w:rFonts w:hint="eastAsia" w:ascii="宋体" w:hAnsi="宋体" w:cs="Arial"/>
                <w:bCs/>
                <w:color w:val="000000"/>
                <w:lang w:val="en-US" w:eastAsia="zh-CN"/>
              </w:rPr>
            </w:pPr>
          </w:p>
        </w:tc>
        <w:tc>
          <w:tcPr>
            <w:tcW w:w="834" w:type="pct"/>
            <w:vAlign w:val="center"/>
          </w:tcPr>
          <w:p w14:paraId="1CAF52D3">
            <w:pPr>
              <w:snapToGrid w:val="0"/>
              <w:rPr>
                <w:rFonts w:hint="eastAsia" w:ascii="宋体" w:hAnsi="宋体" w:cs="Arial"/>
                <w:color w:val="000000"/>
                <w:sz w:val="24"/>
              </w:rPr>
            </w:pPr>
            <w:r>
              <w:rPr>
                <w:rFonts w:ascii="宋体" w:hAnsi="宋体" w:cs="Arial"/>
                <w:color w:val="000000"/>
                <w:sz w:val="24"/>
              </w:rPr>
              <w:t xml:space="preserve">2. </w:t>
            </w:r>
            <w:r>
              <w:rPr>
                <w:rFonts w:hint="eastAsia" w:ascii="宋体" w:hAnsi="宋体" w:cs="Arial"/>
                <w:color w:val="000000"/>
                <w:sz w:val="24"/>
              </w:rPr>
              <w:t>北汽福田汽车股份有限公司</w:t>
            </w:r>
          </w:p>
        </w:tc>
        <w:tc>
          <w:tcPr>
            <w:tcW w:w="3160" w:type="pct"/>
          </w:tcPr>
          <w:p w14:paraId="0D09330F">
            <w:pPr>
              <w:widowControl/>
              <w:snapToGrid w:val="0"/>
              <w:rPr>
                <w:rFonts w:hint="eastAsia" w:ascii="宋体" w:hAnsi="宋体" w:cs="Arial"/>
                <w:color w:val="000000"/>
                <w:sz w:val="24"/>
              </w:rPr>
            </w:pPr>
            <w:r>
              <w:rPr>
                <w:rFonts w:hint="eastAsia" w:ascii="宋体" w:hAnsi="宋体" w:cs="Arial"/>
                <w:color w:val="000000"/>
                <w:sz w:val="24"/>
              </w:rPr>
              <w:t>北汽福田于1996年8月28日</w:t>
            </w:r>
            <w:r>
              <w:rPr>
                <w:rFonts w:hint="eastAsia" w:ascii="Arial" w:hAnsi="Arial" w:cs="Arial"/>
                <w:color w:val="000000"/>
                <w:sz w:val="24"/>
              </w:rPr>
              <w:t>设</w:t>
            </w:r>
            <w:r>
              <w:rPr>
                <w:rFonts w:hint="eastAsia" w:ascii="宋体" w:hAnsi="宋体" w:cs="Arial"/>
                <w:color w:val="000000"/>
                <w:sz w:val="24"/>
              </w:rPr>
              <w:t>立于北京市，为上海证券交易所上市公司，业务体系主要涵盖车辆与移动装备、零部件、数字科技和商业生态四大板块，产品涵盖轻型卡车、中型卡车、重型卡车、轻型客车、大中型客车以及核心零部件发动机、变速箱等。</w:t>
            </w:r>
          </w:p>
          <w:p w14:paraId="34F88816">
            <w:pPr>
              <w:widowControl/>
              <w:snapToGrid w:val="0"/>
              <w:rPr>
                <w:rFonts w:hint="eastAsia" w:ascii="宋体" w:hAnsi="宋体" w:cs="Arial"/>
                <w:color w:val="000000"/>
                <w:sz w:val="24"/>
              </w:rPr>
            </w:pPr>
            <w:r>
              <w:rPr>
                <w:rFonts w:hint="eastAsia" w:ascii="宋体" w:hAnsi="宋体" w:cs="Arial"/>
                <w:color w:val="000000"/>
                <w:sz w:val="24"/>
              </w:rPr>
              <w:t>北汽福田</w:t>
            </w:r>
            <w:r>
              <w:rPr>
                <w:rFonts w:hint="eastAsia" w:ascii="Arial" w:hAnsi="Arial" w:cs="Arial"/>
                <w:color w:val="000000"/>
                <w:sz w:val="24"/>
              </w:rPr>
              <w:t>的最终控制人是北</w:t>
            </w:r>
            <w:r>
              <w:rPr>
                <w:rFonts w:hint="eastAsia" w:ascii="宋体" w:hAnsi="宋体" w:cs="Arial"/>
                <w:color w:val="000000"/>
                <w:sz w:val="24"/>
              </w:rPr>
              <w:t>京国有资本运营管理有限公司，</w:t>
            </w:r>
            <w:r>
              <w:rPr>
                <w:rFonts w:hint="eastAsia" w:ascii="Arial" w:hAnsi="Arial" w:cs="Arial"/>
                <w:color w:val="000000"/>
                <w:sz w:val="24"/>
              </w:rPr>
              <w:t>其主要业务为资本运营、投资管理、基金管理等，其管理的股权投资项目涉及电子、汽车、航空发动机、环保、农业等多个领域</w:t>
            </w:r>
            <w:r>
              <w:rPr>
                <w:rFonts w:hint="eastAsia" w:ascii="宋体" w:hAnsi="宋体" w:cs="Arial"/>
                <w:color w:val="000000"/>
                <w:sz w:val="24"/>
              </w:rPr>
              <w:t>。</w:t>
            </w:r>
          </w:p>
        </w:tc>
      </w:tr>
      <w:tr w14:paraId="291D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006" w:type="pct"/>
            <w:vMerge w:val="restart"/>
            <w:shd w:val="clear" w:color="auto" w:fill="D9D9D9"/>
            <w:vAlign w:val="center"/>
          </w:tcPr>
          <w:p w14:paraId="61BF6E4A">
            <w:pPr>
              <w:pStyle w:val="11"/>
              <w:adjustRightInd w:val="0"/>
              <w:snapToGrid w:val="0"/>
              <w:spacing w:after="0"/>
              <w:rPr>
                <w:rFonts w:hint="eastAsia" w:ascii="宋体" w:hAnsi="宋体" w:cs="Arial"/>
                <w:bCs/>
                <w:color w:val="000000"/>
                <w:lang w:val="en-US" w:eastAsia="zh-CN"/>
              </w:rPr>
            </w:pPr>
            <w:r>
              <w:rPr>
                <w:rFonts w:ascii="宋体" w:hAnsi="宋体" w:cs="Arial"/>
                <w:bCs/>
                <w:color w:val="000000"/>
                <w:lang w:eastAsia="zh-CN"/>
              </w:rPr>
              <w:t>简易案件理由（可以单选，也可以多选）</w:t>
            </w:r>
          </w:p>
        </w:tc>
        <w:tc>
          <w:tcPr>
            <w:tcW w:w="3994" w:type="pct"/>
            <w:gridSpan w:val="2"/>
            <w:vAlign w:val="center"/>
          </w:tcPr>
          <w:p w14:paraId="07F6FB8E">
            <w:pPr>
              <w:pStyle w:val="11"/>
              <w:adjustRightInd w:val="0"/>
              <w:snapToGrid w:val="0"/>
              <w:spacing w:after="0"/>
              <w:rPr>
                <w:rFonts w:hint="eastAsia" w:ascii="宋体" w:hAnsi="宋体" w:cs="Arial"/>
                <w:bCs/>
                <w:color w:val="000000"/>
                <w:lang w:val="en-US" w:eastAsia="zh-CN"/>
              </w:rPr>
            </w:pPr>
            <w:r>
              <w:rPr>
                <w:rFonts w:ascii="宋体" w:hAnsi="宋体" w:cs="Arial"/>
                <w:color w:val="000000"/>
                <w:kern w:val="2"/>
                <w:lang w:val="en-US" w:eastAsia="zh-CN" w:bidi="ar-SA"/>
              </w:rPr>
              <w:sym w:font="Wingdings" w:char="F0FE"/>
            </w:r>
            <w:r>
              <w:rPr>
                <w:rFonts w:ascii="宋体" w:hAnsi="宋体" w:cs="Arial"/>
                <w:bCs/>
                <w:color w:val="000000"/>
                <w:lang w:eastAsia="zh-CN"/>
              </w:rPr>
              <w:t xml:space="preserve"> 1</w:t>
            </w:r>
            <w:r>
              <w:rPr>
                <w:rFonts w:ascii="宋体" w:hAnsi="宋体" w:cs="Arial"/>
                <w:bCs/>
                <w:color w:val="000000"/>
                <w:lang w:val="en-US" w:eastAsia="zh-CN"/>
              </w:rPr>
              <w:t>.</w:t>
            </w:r>
            <w:r>
              <w:rPr>
                <w:rFonts w:ascii="宋体" w:hAnsi="宋体" w:cs="Arial"/>
                <w:bCs/>
                <w:color w:val="000000"/>
                <w:lang w:eastAsia="zh-CN"/>
              </w:rPr>
              <w:t>在同一相关市场，参与集中的经营者所占的市场份额之和小于15%。</w:t>
            </w:r>
          </w:p>
        </w:tc>
      </w:tr>
      <w:tr w14:paraId="3604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06" w:type="pct"/>
            <w:vMerge w:val="continue"/>
            <w:shd w:val="clear" w:color="auto" w:fill="D9D9D9"/>
            <w:vAlign w:val="center"/>
          </w:tcPr>
          <w:p w14:paraId="608446BB">
            <w:pPr>
              <w:pStyle w:val="11"/>
              <w:adjustRightInd w:val="0"/>
              <w:snapToGrid w:val="0"/>
              <w:spacing w:after="0"/>
              <w:rPr>
                <w:rFonts w:hint="eastAsia" w:ascii="宋体" w:hAnsi="宋体" w:cs="Arial"/>
                <w:bCs/>
                <w:color w:val="000000"/>
                <w:lang w:val="en-US" w:eastAsia="zh-CN"/>
              </w:rPr>
            </w:pPr>
          </w:p>
        </w:tc>
        <w:tc>
          <w:tcPr>
            <w:tcW w:w="3994" w:type="pct"/>
            <w:gridSpan w:val="2"/>
            <w:vAlign w:val="center"/>
          </w:tcPr>
          <w:p w14:paraId="4D9A5D95">
            <w:pPr>
              <w:pStyle w:val="11"/>
              <w:adjustRightInd w:val="0"/>
              <w:snapToGrid w:val="0"/>
              <w:spacing w:after="0"/>
              <w:rPr>
                <w:rFonts w:hint="eastAsia" w:ascii="宋体" w:hAnsi="宋体" w:cs="Arial"/>
                <w:bCs/>
                <w:color w:val="000000"/>
                <w:lang w:val="en-US" w:eastAsia="zh-CN"/>
              </w:rPr>
            </w:pPr>
            <w:r>
              <w:rPr>
                <w:rFonts w:ascii="宋体" w:hAnsi="宋体" w:cs="Arial"/>
                <w:color w:val="000000"/>
                <w:kern w:val="2"/>
                <w:lang w:val="en-US" w:eastAsia="zh-CN" w:bidi="ar-SA"/>
              </w:rPr>
              <w:sym w:font="Wingdings" w:char="F0FE"/>
            </w:r>
            <w:r>
              <w:rPr>
                <w:rFonts w:ascii="宋体" w:hAnsi="宋体" w:cs="Arial"/>
                <w:bCs/>
                <w:color w:val="000000"/>
                <w:lang w:eastAsia="zh-CN"/>
              </w:rPr>
              <w:t xml:space="preserve"> 2</w:t>
            </w:r>
            <w:r>
              <w:rPr>
                <w:rFonts w:ascii="宋体" w:hAnsi="宋体" w:cs="Arial"/>
                <w:bCs/>
                <w:color w:val="000000"/>
                <w:lang w:val="en-US" w:eastAsia="zh-CN"/>
              </w:rPr>
              <w:t>.</w:t>
            </w:r>
            <w:r>
              <w:rPr>
                <w:rFonts w:ascii="宋体" w:hAnsi="宋体" w:cs="Arial"/>
                <w:bCs/>
                <w:color w:val="000000"/>
                <w:lang w:eastAsia="zh-CN"/>
              </w:rPr>
              <w:t>在上下游市场，参与集中的经营者所占的市场份额均小于25%。</w:t>
            </w:r>
          </w:p>
        </w:tc>
      </w:tr>
      <w:tr w14:paraId="32E9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6" w:type="pct"/>
            <w:vMerge w:val="continue"/>
            <w:shd w:val="clear" w:color="auto" w:fill="D9D9D9"/>
            <w:vAlign w:val="center"/>
          </w:tcPr>
          <w:p w14:paraId="782A1243">
            <w:pPr>
              <w:pStyle w:val="11"/>
              <w:adjustRightInd w:val="0"/>
              <w:snapToGrid w:val="0"/>
              <w:spacing w:after="0"/>
              <w:rPr>
                <w:rFonts w:hint="eastAsia" w:ascii="宋体" w:hAnsi="宋体" w:cs="Arial"/>
                <w:bCs/>
                <w:color w:val="000000"/>
                <w:lang w:val="en-US" w:eastAsia="zh-CN"/>
              </w:rPr>
            </w:pPr>
          </w:p>
        </w:tc>
        <w:tc>
          <w:tcPr>
            <w:tcW w:w="3994" w:type="pct"/>
            <w:gridSpan w:val="2"/>
            <w:vAlign w:val="center"/>
          </w:tcPr>
          <w:p w14:paraId="010B8B41">
            <w:pPr>
              <w:pStyle w:val="11"/>
              <w:adjustRightInd w:val="0"/>
              <w:snapToGrid w:val="0"/>
              <w:spacing w:after="0"/>
              <w:rPr>
                <w:rFonts w:hint="eastAsia" w:ascii="宋体" w:hAnsi="宋体" w:cs="Arial"/>
                <w:bCs/>
                <w:color w:val="000000"/>
                <w:lang w:val="en-US" w:eastAsia="zh-CN"/>
              </w:rPr>
            </w:pPr>
            <w:r>
              <w:rPr>
                <w:rFonts w:ascii="宋体" w:hAnsi="宋体" w:cs="Arial"/>
                <w:bCs/>
                <w:color w:val="000000"/>
                <w:lang w:eastAsia="zh-CN"/>
              </w:rPr>
              <w:sym w:font="Wingdings" w:char="00A8"/>
            </w:r>
            <w:r>
              <w:rPr>
                <w:rFonts w:ascii="宋体" w:hAnsi="宋体" w:cs="Arial"/>
                <w:bCs/>
                <w:color w:val="000000"/>
                <w:lang w:eastAsia="zh-CN"/>
              </w:rPr>
              <w:t xml:space="preserve"> 3</w:t>
            </w:r>
            <w:r>
              <w:rPr>
                <w:rFonts w:ascii="宋体" w:hAnsi="宋体" w:cs="Arial"/>
                <w:bCs/>
                <w:color w:val="000000"/>
                <w:lang w:val="en-US" w:eastAsia="zh-CN"/>
              </w:rPr>
              <w:t>.</w:t>
            </w:r>
            <w:r>
              <w:rPr>
                <w:rFonts w:ascii="宋体" w:hAnsi="宋体" w:cs="Arial"/>
                <w:bCs/>
                <w:color w:val="000000"/>
                <w:lang w:eastAsia="zh-CN"/>
              </w:rPr>
              <w:t>不在同一相关市场也不存在上下游关系的参与集中的经营者，在与交易有关的每个市场所占的市场份额均小于25%。</w:t>
            </w:r>
          </w:p>
        </w:tc>
      </w:tr>
      <w:tr w14:paraId="5189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06" w:type="pct"/>
            <w:vMerge w:val="continue"/>
            <w:shd w:val="clear" w:color="auto" w:fill="D9D9D9"/>
            <w:vAlign w:val="center"/>
          </w:tcPr>
          <w:p w14:paraId="55336270">
            <w:pPr>
              <w:pStyle w:val="11"/>
              <w:adjustRightInd w:val="0"/>
              <w:snapToGrid w:val="0"/>
              <w:spacing w:after="0"/>
              <w:rPr>
                <w:rFonts w:hint="eastAsia" w:ascii="宋体" w:hAnsi="宋体" w:cs="Arial"/>
                <w:bCs/>
                <w:color w:val="000000"/>
                <w:lang w:val="en-US" w:eastAsia="zh-CN"/>
              </w:rPr>
            </w:pPr>
          </w:p>
        </w:tc>
        <w:tc>
          <w:tcPr>
            <w:tcW w:w="3994" w:type="pct"/>
            <w:gridSpan w:val="2"/>
            <w:vAlign w:val="center"/>
          </w:tcPr>
          <w:p w14:paraId="2F545691">
            <w:pPr>
              <w:pStyle w:val="11"/>
              <w:adjustRightInd w:val="0"/>
              <w:snapToGrid w:val="0"/>
              <w:spacing w:after="0"/>
              <w:rPr>
                <w:rFonts w:hint="eastAsia" w:ascii="宋体" w:hAnsi="宋体" w:cs="Arial"/>
                <w:bCs/>
                <w:color w:val="000000"/>
                <w:lang w:val="en-US" w:eastAsia="zh-CN"/>
              </w:rPr>
            </w:pPr>
            <w:r>
              <w:rPr>
                <w:rFonts w:ascii="宋体" w:hAnsi="宋体" w:cs="Arial"/>
                <w:bCs/>
                <w:color w:val="000000"/>
                <w:lang w:eastAsia="zh-CN"/>
              </w:rPr>
              <w:sym w:font="Wingdings" w:char="00A8"/>
            </w:r>
            <w:r>
              <w:rPr>
                <w:rFonts w:ascii="宋体" w:hAnsi="宋体" w:cs="Arial"/>
                <w:color w:val="000000"/>
                <w:kern w:val="2"/>
                <w:lang w:val="en-US" w:eastAsia="zh-CN" w:bidi="ar-SA"/>
              </w:rPr>
              <w:t xml:space="preserve"> </w:t>
            </w:r>
            <w:r>
              <w:rPr>
                <w:rFonts w:ascii="宋体" w:hAnsi="宋体" w:cs="Arial"/>
                <w:bCs/>
                <w:color w:val="000000"/>
                <w:lang w:eastAsia="zh-CN"/>
              </w:rPr>
              <w:t>4</w:t>
            </w:r>
            <w:r>
              <w:rPr>
                <w:rFonts w:ascii="宋体" w:hAnsi="宋体" w:cs="Arial"/>
                <w:bCs/>
                <w:color w:val="000000"/>
                <w:lang w:val="en-US" w:eastAsia="zh-CN"/>
              </w:rPr>
              <w:t>.</w:t>
            </w:r>
            <w:r>
              <w:rPr>
                <w:rFonts w:ascii="宋体" w:hAnsi="宋体" w:cs="Arial"/>
                <w:bCs/>
                <w:color w:val="000000"/>
                <w:lang w:eastAsia="zh-CN"/>
              </w:rPr>
              <w:t>参与集中的经营者在中国境外设立合营企业，合营企业不在中国境内从事经济活动。</w:t>
            </w:r>
          </w:p>
        </w:tc>
      </w:tr>
      <w:tr w14:paraId="65CE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06" w:type="pct"/>
            <w:vMerge w:val="continue"/>
            <w:shd w:val="clear" w:color="auto" w:fill="D9D9D9"/>
            <w:vAlign w:val="center"/>
          </w:tcPr>
          <w:p w14:paraId="2BF6EAD0">
            <w:pPr>
              <w:pStyle w:val="11"/>
              <w:adjustRightInd w:val="0"/>
              <w:snapToGrid w:val="0"/>
              <w:spacing w:after="0"/>
              <w:rPr>
                <w:rFonts w:hint="eastAsia" w:ascii="宋体" w:hAnsi="宋体" w:cs="Arial"/>
                <w:bCs/>
                <w:color w:val="000000"/>
                <w:lang w:val="en-US" w:eastAsia="zh-CN"/>
              </w:rPr>
            </w:pPr>
          </w:p>
        </w:tc>
        <w:tc>
          <w:tcPr>
            <w:tcW w:w="3994" w:type="pct"/>
            <w:gridSpan w:val="2"/>
            <w:vAlign w:val="center"/>
          </w:tcPr>
          <w:p w14:paraId="3A9AF5A5">
            <w:pPr>
              <w:pStyle w:val="11"/>
              <w:adjustRightInd w:val="0"/>
              <w:snapToGrid w:val="0"/>
              <w:spacing w:after="0"/>
              <w:rPr>
                <w:rFonts w:hint="eastAsia" w:ascii="宋体" w:hAnsi="宋体" w:cs="Arial"/>
                <w:bCs/>
                <w:color w:val="000000"/>
                <w:lang w:val="en-US" w:eastAsia="zh-CN"/>
              </w:rPr>
            </w:pPr>
            <w:r>
              <w:rPr>
                <w:rFonts w:ascii="宋体" w:hAnsi="宋体" w:cs="Arial"/>
                <w:bCs/>
                <w:color w:val="000000"/>
                <w:lang w:eastAsia="zh-CN"/>
              </w:rPr>
              <w:sym w:font="Wingdings" w:char="00A8"/>
            </w:r>
            <w:r>
              <w:rPr>
                <w:rFonts w:ascii="宋体" w:hAnsi="宋体" w:cs="Arial"/>
                <w:bCs/>
                <w:color w:val="000000"/>
                <w:lang w:eastAsia="zh-CN"/>
              </w:rPr>
              <w:t xml:space="preserve"> 5</w:t>
            </w:r>
            <w:r>
              <w:rPr>
                <w:rFonts w:ascii="宋体" w:hAnsi="宋体" w:cs="Arial"/>
                <w:bCs/>
                <w:color w:val="000000"/>
                <w:lang w:val="en-US" w:eastAsia="zh-CN"/>
              </w:rPr>
              <w:t>.</w:t>
            </w:r>
            <w:r>
              <w:rPr>
                <w:rFonts w:ascii="宋体" w:hAnsi="宋体" w:cs="Arial"/>
                <w:bCs/>
                <w:color w:val="000000"/>
                <w:lang w:eastAsia="zh-CN"/>
              </w:rPr>
              <w:t>参与集中的经营者收购境外企业股权或资产的，该境外企业不在中国境内从事经济活动。</w:t>
            </w:r>
          </w:p>
        </w:tc>
      </w:tr>
      <w:tr w14:paraId="7E58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06" w:type="pct"/>
            <w:vMerge w:val="continue"/>
            <w:shd w:val="clear" w:color="auto" w:fill="D9D9D9"/>
            <w:vAlign w:val="center"/>
          </w:tcPr>
          <w:p w14:paraId="3FAD5FA8">
            <w:pPr>
              <w:pStyle w:val="11"/>
              <w:adjustRightInd w:val="0"/>
              <w:snapToGrid w:val="0"/>
              <w:spacing w:after="0"/>
              <w:rPr>
                <w:rFonts w:hint="eastAsia" w:ascii="宋体" w:hAnsi="宋体" w:cs="Arial"/>
                <w:bCs/>
                <w:color w:val="000000"/>
                <w:lang w:val="en-US" w:eastAsia="zh-CN"/>
              </w:rPr>
            </w:pPr>
          </w:p>
        </w:tc>
        <w:tc>
          <w:tcPr>
            <w:tcW w:w="3994" w:type="pct"/>
            <w:gridSpan w:val="2"/>
            <w:vAlign w:val="center"/>
          </w:tcPr>
          <w:p w14:paraId="793B988E">
            <w:pPr>
              <w:pStyle w:val="11"/>
              <w:adjustRightInd w:val="0"/>
              <w:snapToGrid w:val="0"/>
              <w:spacing w:after="0"/>
              <w:rPr>
                <w:rFonts w:hint="eastAsia" w:ascii="宋体" w:hAnsi="宋体" w:cs="Arial"/>
                <w:bCs/>
                <w:color w:val="000000"/>
                <w:lang w:val="en-US" w:eastAsia="zh-CN"/>
              </w:rPr>
            </w:pPr>
            <w:r>
              <w:rPr>
                <w:rFonts w:ascii="宋体" w:hAnsi="宋体" w:cs="Arial"/>
                <w:bCs/>
                <w:color w:val="000000"/>
                <w:lang w:eastAsia="zh-CN"/>
              </w:rPr>
              <w:sym w:font="Wingdings" w:char="00A8"/>
            </w:r>
            <w:r>
              <w:rPr>
                <w:rFonts w:ascii="宋体" w:hAnsi="宋体" w:cs="Arial"/>
                <w:bCs/>
                <w:color w:val="000000"/>
                <w:lang w:eastAsia="zh-CN"/>
              </w:rPr>
              <w:t xml:space="preserve"> 6</w:t>
            </w:r>
            <w:r>
              <w:rPr>
                <w:rFonts w:ascii="宋体" w:hAnsi="宋体" w:cs="Arial"/>
                <w:bCs/>
                <w:color w:val="000000"/>
                <w:lang w:val="en-US" w:eastAsia="zh-CN"/>
              </w:rPr>
              <w:t>.</w:t>
            </w:r>
            <w:r>
              <w:rPr>
                <w:rFonts w:ascii="宋体" w:hAnsi="宋体" w:cs="Arial"/>
                <w:bCs/>
                <w:color w:val="000000"/>
                <w:lang w:eastAsia="zh-CN"/>
              </w:rPr>
              <w:t>由两个以上的经营者共同控制的合营企业，通过集中被其中一个或一个以上经营者控制。</w:t>
            </w:r>
          </w:p>
        </w:tc>
      </w:tr>
      <w:tr w14:paraId="1FCE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06" w:type="pct"/>
            <w:shd w:val="clear" w:color="auto" w:fill="D9D9D9"/>
            <w:vAlign w:val="center"/>
          </w:tcPr>
          <w:p w14:paraId="20A782B0">
            <w:pPr>
              <w:pStyle w:val="11"/>
              <w:adjustRightInd w:val="0"/>
              <w:snapToGrid w:val="0"/>
              <w:spacing w:after="0"/>
              <w:rPr>
                <w:rFonts w:hint="eastAsia" w:ascii="宋体" w:hAnsi="宋体" w:cs="Arial"/>
                <w:bCs/>
                <w:color w:val="000000"/>
                <w:lang w:val="en-US" w:eastAsia="zh-CN"/>
              </w:rPr>
            </w:pPr>
            <w:r>
              <w:rPr>
                <w:rFonts w:ascii="宋体" w:hAnsi="宋体" w:cs="Arial"/>
                <w:bCs/>
                <w:color w:val="000000"/>
                <w:lang w:val="en-US" w:eastAsia="zh-CN"/>
              </w:rPr>
              <w:t>备注</w:t>
            </w:r>
          </w:p>
        </w:tc>
        <w:tc>
          <w:tcPr>
            <w:tcW w:w="3994" w:type="pct"/>
            <w:gridSpan w:val="2"/>
            <w:vAlign w:val="center"/>
          </w:tcPr>
          <w:p w14:paraId="554D4C83">
            <w:pPr>
              <w:widowControl/>
              <w:snapToGrid w:val="0"/>
              <w:rPr>
                <w:rFonts w:hint="eastAsia" w:ascii="宋体" w:hAnsi="宋体"/>
                <w:bCs/>
                <w:color w:val="000000"/>
                <w:kern w:val="0"/>
                <w:sz w:val="24"/>
                <w:lang w:val="en-GB" w:bidi="ar-AE"/>
              </w:rPr>
            </w:pPr>
            <w:r>
              <w:rPr>
                <w:rFonts w:hint="eastAsia" w:ascii="宋体" w:hAnsi="宋体"/>
                <w:b/>
                <w:color w:val="000000"/>
                <w:kern w:val="0"/>
                <w:sz w:val="24"/>
                <w:lang w:val="en-GB" w:bidi="ar-AE"/>
              </w:rPr>
              <w:t>横向重叠</w:t>
            </w:r>
            <w:r>
              <w:rPr>
                <w:rFonts w:hint="eastAsia" w:ascii="宋体" w:hAnsi="宋体"/>
                <w:bCs/>
                <w:color w:val="000000"/>
                <w:kern w:val="0"/>
                <w:sz w:val="24"/>
                <w:lang w:val="en-GB" w:bidi="ar-AE"/>
              </w:rPr>
              <w:t>：</w:t>
            </w:r>
          </w:p>
          <w:p w14:paraId="117D2EBC">
            <w:pPr>
              <w:widowControl/>
              <w:snapToGrid w:val="0"/>
              <w:rPr>
                <w:rFonts w:hint="eastAsia" w:ascii="宋体" w:hAnsi="宋体"/>
                <w:bCs/>
                <w:color w:val="000000"/>
                <w:kern w:val="0"/>
                <w:sz w:val="24"/>
                <w:lang w:val="en-GB" w:bidi="ar-AE"/>
              </w:rPr>
            </w:pPr>
            <w:r>
              <w:rPr>
                <w:rFonts w:hint="eastAsia" w:ascii="宋体" w:hAnsi="宋体"/>
                <w:bCs/>
                <w:color w:val="000000"/>
                <w:kern w:val="0"/>
                <w:sz w:val="24"/>
                <w:lang w:val="en-GB" w:bidi="ar-AE"/>
              </w:rPr>
              <w:t>2024年中国境内商用车整车物流市场：</w:t>
            </w:r>
          </w:p>
          <w:p w14:paraId="0A76A06B">
            <w:pPr>
              <w:widowControl/>
              <w:snapToGrid w:val="0"/>
              <w:rPr>
                <w:rFonts w:hint="eastAsia" w:ascii="宋体" w:hAnsi="宋体"/>
                <w:bCs/>
                <w:color w:val="000000"/>
                <w:kern w:val="0"/>
                <w:sz w:val="24"/>
                <w:lang w:val="en-GB" w:bidi="ar-AE"/>
              </w:rPr>
            </w:pPr>
            <w:r>
              <w:rPr>
                <w:rFonts w:hint="eastAsia" w:ascii="宋体" w:hAnsi="宋体"/>
                <w:bCs/>
                <w:color w:val="000000"/>
                <w:kern w:val="0"/>
                <w:sz w:val="24"/>
                <w:lang w:val="en-GB" w:bidi="ar-AE"/>
              </w:rPr>
              <w:t>物流发展：0-5%，北汽福田：0-5%，各方合计：0-5%</w:t>
            </w:r>
          </w:p>
          <w:p w14:paraId="03F4CC3E">
            <w:pPr>
              <w:widowControl/>
              <w:snapToGrid w:val="0"/>
              <w:rPr>
                <w:rFonts w:hint="eastAsia" w:ascii="宋体" w:hAnsi="宋体"/>
                <w:bCs/>
                <w:color w:val="000000"/>
                <w:kern w:val="0"/>
                <w:sz w:val="24"/>
                <w:lang w:val="en-GB" w:bidi="ar-AE"/>
              </w:rPr>
            </w:pPr>
          </w:p>
          <w:p w14:paraId="614C0FCF">
            <w:pPr>
              <w:widowControl/>
              <w:snapToGrid w:val="0"/>
              <w:rPr>
                <w:rFonts w:hint="eastAsia" w:ascii="宋体" w:hAnsi="宋体"/>
                <w:bCs/>
                <w:color w:val="000000"/>
                <w:kern w:val="0"/>
                <w:sz w:val="24"/>
                <w:lang w:val="en-GB" w:bidi="ar-AE"/>
              </w:rPr>
            </w:pPr>
            <w:r>
              <w:rPr>
                <w:rFonts w:hint="eastAsia" w:ascii="宋体" w:hAnsi="宋体"/>
                <w:b/>
                <w:color w:val="000000"/>
                <w:kern w:val="0"/>
                <w:sz w:val="24"/>
                <w:lang w:val="en-GB" w:bidi="ar-AE"/>
              </w:rPr>
              <w:t>纵向关联</w:t>
            </w:r>
            <w:r>
              <w:rPr>
                <w:rFonts w:hint="eastAsia" w:ascii="宋体" w:hAnsi="宋体"/>
                <w:bCs/>
                <w:color w:val="000000"/>
                <w:kern w:val="0"/>
                <w:sz w:val="24"/>
                <w:lang w:val="en-GB" w:bidi="ar-AE"/>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65"/>
              <w:gridCol w:w="2366"/>
              <w:gridCol w:w="2366"/>
            </w:tblGrid>
            <w:tr w14:paraId="68791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365" w:type="dxa"/>
                  <w:shd w:val="clear" w:color="auto" w:fill="auto"/>
                </w:tcPr>
                <w:p w14:paraId="3E075543">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相关商品市场</w:t>
                  </w:r>
                </w:p>
              </w:tc>
              <w:tc>
                <w:tcPr>
                  <w:tcW w:w="2366" w:type="dxa"/>
                  <w:shd w:val="clear" w:color="auto" w:fill="auto"/>
                </w:tcPr>
                <w:p w14:paraId="3A5EB5BF">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相关地域市场</w:t>
                  </w:r>
                </w:p>
              </w:tc>
              <w:tc>
                <w:tcPr>
                  <w:tcW w:w="2366" w:type="dxa"/>
                  <w:shd w:val="clear" w:color="auto" w:fill="auto"/>
                </w:tcPr>
                <w:p w14:paraId="5E6F2206">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2024年市场份额</w:t>
                  </w:r>
                </w:p>
              </w:tc>
            </w:tr>
            <w:tr w14:paraId="37617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365" w:type="dxa"/>
                  <w:shd w:val="clear" w:color="auto" w:fill="auto"/>
                </w:tcPr>
                <w:p w14:paraId="09947BBB">
                  <w:pPr>
                    <w:widowControl/>
                    <w:snapToGrid w:val="0"/>
                    <w:ind w:left="139" w:leftChars="66"/>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上游：汽车零部件物流市场</w:t>
                  </w:r>
                </w:p>
                <w:p w14:paraId="205B7D3E">
                  <w:pPr>
                    <w:widowControl/>
                    <w:snapToGrid w:val="0"/>
                    <w:ind w:left="139" w:leftChars="66"/>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下游：商用车市场</w:t>
                  </w:r>
                </w:p>
              </w:tc>
              <w:tc>
                <w:tcPr>
                  <w:tcW w:w="2366" w:type="dxa"/>
                  <w:shd w:val="clear" w:color="auto" w:fill="auto"/>
                </w:tcPr>
                <w:p w14:paraId="70E071DC">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上游：中国境内</w:t>
                  </w:r>
                </w:p>
                <w:p w14:paraId="6D7D09EB">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下游：中国境内</w:t>
                  </w:r>
                </w:p>
              </w:tc>
              <w:tc>
                <w:tcPr>
                  <w:tcW w:w="2366" w:type="dxa"/>
                  <w:shd w:val="clear" w:color="auto" w:fill="auto"/>
                </w:tcPr>
                <w:p w14:paraId="70F26618">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上游：中国境内汽车零部件物流市场</w:t>
                  </w:r>
                </w:p>
                <w:p w14:paraId="1E438BF3">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北汽福田：0-5%</w:t>
                  </w:r>
                </w:p>
                <w:p w14:paraId="205CAC0A">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下游：2024年中国境内商用车</w:t>
                  </w:r>
                  <w:bookmarkStart w:id="0" w:name="_GoBack"/>
                  <w:bookmarkEnd w:id="0"/>
                  <w:r>
                    <w:rPr>
                      <w:rFonts w:hint="eastAsia" w:ascii="宋体" w:hAnsi="宋体"/>
                      <w:bCs/>
                      <w:color w:val="000000"/>
                      <w:kern w:val="0"/>
                      <w:sz w:val="24"/>
                      <w:lang w:val="en-GB" w:bidi="ar-AE"/>
                    </w:rPr>
                    <w:t>市场</w:t>
                  </w:r>
                </w:p>
                <w:p w14:paraId="1E40CF68">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北汽福田：</w:t>
                  </w:r>
                  <w:r>
                    <w:rPr>
                      <w:rFonts w:hint="eastAsia" w:ascii="宋体" w:hAnsi="宋体"/>
                      <w:bCs/>
                      <w:color w:val="000000"/>
                      <w:kern w:val="0"/>
                      <w:sz w:val="24"/>
                      <w:lang w:val="en-US" w:eastAsia="zh-CN" w:bidi="ar-AE"/>
                    </w:rPr>
                    <w:t>15</w:t>
                  </w:r>
                  <w:r>
                    <w:rPr>
                      <w:rFonts w:hint="eastAsia" w:ascii="宋体" w:hAnsi="宋体"/>
                      <w:bCs/>
                      <w:color w:val="000000"/>
                      <w:kern w:val="0"/>
                      <w:sz w:val="24"/>
                      <w:lang w:val="en-GB" w:bidi="ar-AE"/>
                    </w:rPr>
                    <w:t>-</w:t>
                  </w:r>
                  <w:r>
                    <w:rPr>
                      <w:rFonts w:hint="eastAsia" w:ascii="宋体" w:hAnsi="宋体"/>
                      <w:bCs/>
                      <w:color w:val="000000"/>
                      <w:kern w:val="0"/>
                      <w:sz w:val="24"/>
                      <w:lang w:val="en-US" w:eastAsia="zh-CN" w:bidi="ar-AE"/>
                    </w:rPr>
                    <w:t>20</w:t>
                  </w:r>
                  <w:r>
                    <w:rPr>
                      <w:rFonts w:hint="eastAsia" w:ascii="宋体" w:hAnsi="宋体"/>
                      <w:bCs/>
                      <w:color w:val="000000"/>
                      <w:kern w:val="0"/>
                      <w:sz w:val="24"/>
                      <w:lang w:val="en-GB" w:bidi="ar-AE"/>
                    </w:rPr>
                    <w:t>%</w:t>
                  </w:r>
                </w:p>
              </w:tc>
            </w:tr>
            <w:tr w14:paraId="27758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365" w:type="dxa"/>
                  <w:shd w:val="clear" w:color="auto" w:fill="auto"/>
                </w:tcPr>
                <w:p w14:paraId="3255FCBC">
                  <w:pPr>
                    <w:widowControl/>
                    <w:snapToGrid w:val="0"/>
                    <w:ind w:left="139" w:leftChars="66"/>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上游：商用车整车物流市场</w:t>
                  </w:r>
                </w:p>
                <w:p w14:paraId="27CD8E8B">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下游：商用车市场</w:t>
                  </w:r>
                </w:p>
              </w:tc>
              <w:tc>
                <w:tcPr>
                  <w:tcW w:w="2366" w:type="dxa"/>
                  <w:shd w:val="clear" w:color="auto" w:fill="auto"/>
                </w:tcPr>
                <w:p w14:paraId="13E22099">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上游：中国境内</w:t>
                  </w:r>
                </w:p>
                <w:p w14:paraId="6509469A">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下游：中国境内</w:t>
                  </w:r>
                </w:p>
              </w:tc>
              <w:tc>
                <w:tcPr>
                  <w:tcW w:w="2366" w:type="dxa"/>
                  <w:shd w:val="clear" w:color="auto" w:fill="auto"/>
                </w:tcPr>
                <w:p w14:paraId="2FE6648D">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上游：中国境内商用车整车物流市场</w:t>
                  </w:r>
                </w:p>
                <w:p w14:paraId="34AC5090">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物流发展：如上所述，北汽福田：如上所述</w:t>
                  </w:r>
                </w:p>
                <w:p w14:paraId="519B67E6">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下游：2024年中国境内商用车市场</w:t>
                  </w:r>
                </w:p>
                <w:p w14:paraId="51EDB640">
                  <w:pPr>
                    <w:widowControl/>
                    <w:snapToGrid w:val="0"/>
                    <w:jc w:val="center"/>
                    <w:rPr>
                      <w:rFonts w:hint="eastAsia" w:ascii="宋体" w:hAnsi="宋体"/>
                      <w:bCs/>
                      <w:color w:val="000000"/>
                      <w:kern w:val="0"/>
                      <w:sz w:val="24"/>
                      <w:lang w:val="en-GB" w:bidi="ar-AE"/>
                    </w:rPr>
                  </w:pPr>
                  <w:r>
                    <w:rPr>
                      <w:rFonts w:hint="eastAsia" w:ascii="宋体" w:hAnsi="宋体"/>
                      <w:bCs/>
                      <w:color w:val="000000"/>
                      <w:kern w:val="0"/>
                      <w:sz w:val="24"/>
                      <w:lang w:val="en-GB" w:bidi="ar-AE"/>
                    </w:rPr>
                    <w:t>北汽福田：如上所述</w:t>
                  </w:r>
                </w:p>
              </w:tc>
            </w:tr>
          </w:tbl>
          <w:p w14:paraId="63611E23">
            <w:pPr>
              <w:widowControl/>
              <w:snapToGrid w:val="0"/>
              <w:rPr>
                <w:rFonts w:hint="eastAsia" w:ascii="宋体" w:hAnsi="宋体"/>
                <w:bCs/>
                <w:color w:val="000000"/>
                <w:kern w:val="0"/>
                <w:sz w:val="24"/>
                <w:lang w:val="en-GB" w:bidi="ar-AE"/>
              </w:rPr>
            </w:pPr>
          </w:p>
        </w:tc>
      </w:tr>
    </w:tbl>
    <w:p w14:paraId="41D2C3E6">
      <w:pPr>
        <w:rPr>
          <w:rFonts w:ascii="Arial" w:hAnsi="Arial" w:cs="Arial"/>
        </w:rPr>
      </w:pPr>
    </w:p>
    <w:p w14:paraId="422C332F"/>
    <w:sectPr>
      <w:endnotePr>
        <w:numFmt w:val="decimal"/>
      </w:endnotePr>
      <w:pgSz w:w="11906" w:h="16838"/>
      <w:pgMar w:top="1984" w:right="1474" w:bottom="1644" w:left="147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0000000000000000000"/>
    <w:charset w:val="00"/>
    <w:family w:val="auto"/>
    <w:pitch w:val="default"/>
    <w:sig w:usb0="00000000" w:usb1="00000000" w:usb2="00000000" w:usb3="00000000" w:csb0="0000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Simplified Arabic">
    <w:altName w:val="Times New Roman"/>
    <w:panose1 w:val="00000000000000000000"/>
    <w:charset w:val="B2"/>
    <w:family w:val="roman"/>
    <w:pitch w:val="default"/>
    <w:sig w:usb0="00000000" w:usb1="00000000" w:usb2="00000008" w:usb3="00000000" w:csb0="00000041" w:csb1="00000000"/>
  </w:font>
  <w:font w:name="等线 Ligh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68"/>
    <w:rsid w:val="00272619"/>
    <w:rsid w:val="00320A03"/>
    <w:rsid w:val="00556EFC"/>
    <w:rsid w:val="00645452"/>
    <w:rsid w:val="009877ED"/>
    <w:rsid w:val="009922A7"/>
    <w:rsid w:val="00A030A2"/>
    <w:rsid w:val="00B35393"/>
    <w:rsid w:val="00B40A68"/>
    <w:rsid w:val="00DA6990"/>
    <w:rsid w:val="5FFFD0F2"/>
    <w:rsid w:val="D8F47E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8"/>
    <w:qFormat/>
    <w:uiPriority w:val="9"/>
    <w:pPr>
      <w:keepNext/>
      <w:keepLines/>
      <w:spacing w:before="480" w:after="80" w:line="259" w:lineRule="auto"/>
      <w:outlineLvl w:val="0"/>
    </w:pPr>
    <w:rPr>
      <w:rFonts w:asciiTheme="majorHAnsi" w:hAnsiTheme="majorHAnsi" w:eastAsiaTheme="majorEastAsia" w:cstheme="majorBidi"/>
      <w:color w:val="104862" w:themeColor="accent1" w:themeShade="BF"/>
      <w:kern w:val="0"/>
      <w:sz w:val="48"/>
      <w:szCs w:val="48"/>
      <w14:ligatures w14:val="standardContextual"/>
    </w:rPr>
  </w:style>
  <w:style w:type="paragraph" w:styleId="3">
    <w:name w:val="heading 2"/>
    <w:basedOn w:val="1"/>
    <w:next w:val="1"/>
    <w:link w:val="19"/>
    <w:semiHidden/>
    <w:unhideWhenUsed/>
    <w:qFormat/>
    <w:uiPriority w:val="9"/>
    <w:pPr>
      <w:keepNext/>
      <w:keepLines/>
      <w:spacing w:before="160" w:after="80" w:line="259" w:lineRule="auto"/>
      <w:outlineLvl w:val="1"/>
    </w:pPr>
    <w:rPr>
      <w:rFonts w:asciiTheme="majorHAnsi" w:hAnsiTheme="majorHAnsi" w:eastAsiaTheme="majorEastAsia" w:cstheme="majorBidi"/>
      <w:color w:val="104862" w:themeColor="accent1" w:themeShade="BF"/>
      <w:kern w:val="0"/>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259" w:lineRule="auto"/>
      <w:outlineLvl w:val="2"/>
    </w:pPr>
    <w:rPr>
      <w:rFonts w:asciiTheme="majorHAnsi" w:hAnsiTheme="majorHAnsi" w:eastAsiaTheme="majorEastAsia" w:cstheme="majorBidi"/>
      <w:color w:val="104862" w:themeColor="accent1" w:themeShade="BF"/>
      <w:kern w:val="0"/>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259" w:lineRule="auto"/>
      <w:outlineLvl w:val="3"/>
    </w:pPr>
    <w:rPr>
      <w:rFonts w:asciiTheme="minorHAnsi" w:hAnsiTheme="minorHAnsi" w:eastAsiaTheme="minorEastAsia" w:cstheme="majorBidi"/>
      <w:color w:val="104862" w:themeColor="accent1" w:themeShade="BF"/>
      <w:kern w:val="0"/>
      <w:sz w:val="28"/>
      <w:szCs w:val="28"/>
      <w14:ligatures w14:val="standardContextual"/>
    </w:rPr>
  </w:style>
  <w:style w:type="paragraph" w:styleId="6">
    <w:name w:val="heading 5"/>
    <w:basedOn w:val="1"/>
    <w:next w:val="1"/>
    <w:link w:val="22"/>
    <w:semiHidden/>
    <w:unhideWhenUsed/>
    <w:qFormat/>
    <w:uiPriority w:val="9"/>
    <w:pPr>
      <w:keepNext/>
      <w:keepLines/>
      <w:spacing w:before="80" w:after="40" w:line="259" w:lineRule="auto"/>
      <w:outlineLvl w:val="4"/>
    </w:pPr>
    <w:rPr>
      <w:rFonts w:asciiTheme="minorHAnsi" w:hAnsiTheme="minorHAnsi" w:eastAsiaTheme="minorEastAsia" w:cstheme="majorBidi"/>
      <w:color w:val="104862" w:themeColor="accent1" w:themeShade="BF"/>
      <w:kern w:val="0"/>
      <w:sz w:val="24"/>
      <w14:ligatures w14:val="standardContextual"/>
    </w:rPr>
  </w:style>
  <w:style w:type="paragraph" w:styleId="7">
    <w:name w:val="heading 6"/>
    <w:basedOn w:val="1"/>
    <w:next w:val="1"/>
    <w:link w:val="23"/>
    <w:semiHidden/>
    <w:unhideWhenUsed/>
    <w:qFormat/>
    <w:uiPriority w:val="9"/>
    <w:pPr>
      <w:keepNext/>
      <w:keepLines/>
      <w:spacing w:before="40" w:line="259" w:lineRule="auto"/>
      <w:outlineLvl w:val="5"/>
    </w:pPr>
    <w:rPr>
      <w:rFonts w:asciiTheme="minorHAnsi" w:hAnsiTheme="minorHAnsi" w:eastAsiaTheme="minorEastAsia" w:cstheme="majorBidi"/>
      <w:b/>
      <w:bCs/>
      <w:color w:val="104862" w:themeColor="accent1" w:themeShade="BF"/>
      <w:kern w:val="0"/>
      <w:sz w:val="22"/>
      <w:szCs w:val="22"/>
      <w14:ligatures w14:val="standardContextual"/>
    </w:rPr>
  </w:style>
  <w:style w:type="paragraph" w:styleId="8">
    <w:name w:val="heading 7"/>
    <w:basedOn w:val="1"/>
    <w:next w:val="1"/>
    <w:link w:val="24"/>
    <w:semiHidden/>
    <w:unhideWhenUsed/>
    <w:qFormat/>
    <w:uiPriority w:val="9"/>
    <w:pPr>
      <w:keepNext/>
      <w:keepLines/>
      <w:spacing w:before="40" w:line="259" w:lineRule="auto"/>
      <w:outlineLvl w:val="6"/>
    </w:pPr>
    <w:rPr>
      <w:rFonts w:asciiTheme="minorHAnsi" w:hAnsiTheme="minorHAnsi" w:eastAsiaTheme="minorEastAsia" w:cstheme="majorBidi"/>
      <w:b/>
      <w:bCs/>
      <w:color w:val="595959" w:themeColor="text1" w:themeTint="A6"/>
      <w:kern w:val="0"/>
      <w:sz w:val="22"/>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59" w:lineRule="auto"/>
      <w:outlineLvl w:val="7"/>
    </w:pPr>
    <w:rPr>
      <w:rFonts w:asciiTheme="minorHAnsi" w:hAnsiTheme="minorHAnsi" w:eastAsiaTheme="minorEastAsia" w:cstheme="majorBidi"/>
      <w:color w:val="595959" w:themeColor="text1" w:themeTint="A6"/>
      <w:kern w:val="0"/>
      <w:sz w:val="22"/>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59" w:lineRule="auto"/>
      <w:outlineLvl w:val="8"/>
    </w:pPr>
    <w:rPr>
      <w:rFonts w:asciiTheme="minorHAnsi" w:hAnsiTheme="minorHAnsi" w:eastAsiaTheme="majorEastAsia" w:cstheme="majorBidi"/>
      <w:color w:val="595959" w:themeColor="text1" w:themeTint="A6"/>
      <w:kern w:val="0"/>
      <w:sz w:val="22"/>
      <w:szCs w:val="22"/>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link w:val="38"/>
    <w:qFormat/>
    <w:uiPriority w:val="0"/>
    <w:pPr>
      <w:spacing w:after="240" w:line="240" w:lineRule="auto"/>
      <w:jc w:val="both"/>
    </w:pPr>
    <w:rPr>
      <w:rFonts w:ascii="Times New Roman" w:hAnsi="Times New Roman" w:eastAsia="宋体" w:cs="Simplified Arabic"/>
      <w:sz w:val="24"/>
      <w:szCs w:val="24"/>
      <w:lang w:val="en-GB" w:eastAsia="en-GB" w:bidi="ar-AE"/>
      <w14:ligatures w14:val="none"/>
    </w:rPr>
  </w:style>
  <w:style w:type="paragraph" w:styleId="12">
    <w:name w:val="footer"/>
    <w:basedOn w:val="1"/>
    <w:link w:val="37"/>
    <w:unhideWhenUsed/>
    <w:qFormat/>
    <w:uiPriority w:val="99"/>
    <w:pPr>
      <w:tabs>
        <w:tab w:val="center" w:pos="4153"/>
        <w:tab w:val="right" w:pos="8306"/>
      </w:tabs>
      <w:snapToGrid w:val="0"/>
      <w:spacing w:after="160"/>
      <w:jc w:val="left"/>
    </w:pPr>
    <w:rPr>
      <w:rFonts w:asciiTheme="minorHAnsi" w:hAnsiTheme="minorHAnsi" w:eastAsiaTheme="minorEastAsia" w:cstheme="minorBidi"/>
      <w:kern w:val="0"/>
      <w:sz w:val="18"/>
      <w:szCs w:val="18"/>
      <w14:ligatures w14:val="standardContextual"/>
    </w:rPr>
  </w:style>
  <w:style w:type="paragraph" w:styleId="13">
    <w:name w:val="header"/>
    <w:basedOn w:val="1"/>
    <w:link w:val="36"/>
    <w:unhideWhenUsed/>
    <w:qFormat/>
    <w:uiPriority w:val="99"/>
    <w:pPr>
      <w:tabs>
        <w:tab w:val="center" w:pos="4153"/>
        <w:tab w:val="right" w:pos="8306"/>
      </w:tabs>
      <w:snapToGrid w:val="0"/>
      <w:spacing w:after="160"/>
      <w:jc w:val="center"/>
    </w:pPr>
    <w:rPr>
      <w:rFonts w:asciiTheme="minorHAnsi" w:hAnsiTheme="minorHAnsi" w:eastAsiaTheme="minorEastAsia" w:cstheme="minorBidi"/>
      <w:kern w:val="0"/>
      <w:sz w:val="18"/>
      <w:szCs w:val="18"/>
      <w14:ligatures w14:val="standardContextual"/>
    </w:rPr>
  </w:style>
  <w:style w:type="paragraph" w:styleId="14">
    <w:name w:val="Subtitle"/>
    <w:basedOn w:val="1"/>
    <w:next w:val="1"/>
    <w:link w:val="28"/>
    <w:qFormat/>
    <w:uiPriority w:val="11"/>
    <w:pPr>
      <w:spacing w:after="160" w:line="259" w:lineRule="auto"/>
      <w:jc w:val="center"/>
    </w:pPr>
    <w:rPr>
      <w:rFonts w:asciiTheme="majorHAnsi" w:hAnsiTheme="majorHAnsi" w:eastAsiaTheme="majorEastAsia" w:cstheme="majorBidi"/>
      <w:color w:val="595959" w:themeColor="text1" w:themeTint="A6"/>
      <w:spacing w:val="15"/>
      <w:kern w:val="0"/>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59" w:lineRule="auto"/>
      <w:jc w:val="center"/>
    </w:pPr>
    <w:rPr>
      <w:rFonts w:asciiTheme="minorHAnsi" w:hAnsiTheme="minorHAnsi" w:eastAsiaTheme="minorEastAsia" w:cstheme="minorBidi"/>
      <w:i/>
      <w:iCs/>
      <w:color w:val="404040" w:themeColor="text1" w:themeTint="BF"/>
      <w:kern w:val="0"/>
      <w:sz w:val="22"/>
      <w:szCs w:val="22"/>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59" w:lineRule="auto"/>
      <w:ind w:left="720"/>
      <w:contextualSpacing/>
    </w:pPr>
    <w:rPr>
      <w:rFonts w:asciiTheme="minorHAnsi" w:hAnsiTheme="minorHAnsi" w:eastAsiaTheme="minorEastAsia" w:cstheme="minorBidi"/>
      <w:kern w:val="0"/>
      <w:sz w:val="22"/>
      <w:szCs w:val="22"/>
      <w14:ligatures w14:val="standardContextual"/>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eastAsiaTheme="minorEastAsia" w:cstheme="minorBidi"/>
      <w:i/>
      <w:iCs/>
      <w:color w:val="104862" w:themeColor="accent1" w:themeShade="BF"/>
      <w:kern w:val="0"/>
      <w:sz w:val="22"/>
      <w:szCs w:val="22"/>
      <w14:ligatures w14:val="standardContextual"/>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正文文本 字符"/>
    <w:basedOn w:val="17"/>
    <w:link w:val="11"/>
    <w:qFormat/>
    <w:uiPriority w:val="0"/>
    <w:rPr>
      <w:rFonts w:ascii="Times New Roman" w:hAnsi="Times New Roman" w:eastAsia="宋体" w:cs="Simplified Arabic"/>
      <w:sz w:val="24"/>
      <w:szCs w:val="24"/>
      <w:lang w:val="en-GB" w:eastAsia="en-GB" w:bidi="ar-AE"/>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175</Words>
  <Characters>998</Characters>
  <Lines>8</Lines>
  <Paragraphs>2</Paragraphs>
  <TotalTime>1</TotalTime>
  <ScaleCrop>false</ScaleCrop>
  <LinksUpToDate>false</LinksUpToDate>
  <CharactersWithSpaces>1171</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2025-11-28T23:07:00Z</dcterms:created>
  <dc:creator>ZL</dc:creator>
  <cp:lastModifiedBy>scjuser</cp:lastModifiedBy>
  <dcterms:modified xsi:type="dcterms:W3CDTF">2025-11-28T16:32:29Z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7B3EBC007698CA94045D29694F63C408_42</vt:lpwstr>
  </property>
</Properties>
</file>